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5B6ADB" w:rsidRDefault="001E6E75" w:rsidP="00727BA3">
      <w:pPr>
        <w:pStyle w:val="aa"/>
        <w:spacing w:after="0"/>
        <w:ind w:firstLine="567"/>
        <w:jc w:val="both"/>
        <w:rPr>
          <w:rFonts w:eastAsia="Times New Roman"/>
          <w:b/>
          <w:lang w:val="uk-UA"/>
        </w:rPr>
      </w:pPr>
      <w:r w:rsidRPr="001E6E75">
        <w:rPr>
          <w:rFonts w:eastAsia="Times New Roman"/>
          <w:b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</w:t>
      </w:r>
      <w:r w:rsidR="005B6ADB">
        <w:rPr>
          <w:rFonts w:eastAsia="Times New Roman"/>
          <w:b/>
          <w:lang w:val="uk-UA"/>
        </w:rPr>
        <w:t>:</w:t>
      </w:r>
    </w:p>
    <w:p w:rsidR="005B6ADB" w:rsidRDefault="005B6ADB" w:rsidP="00727BA3">
      <w:pPr>
        <w:pStyle w:val="aa"/>
        <w:spacing w:after="0"/>
        <w:ind w:firstLine="567"/>
        <w:jc w:val="both"/>
        <w:rPr>
          <w:rFonts w:eastAsia="Times New Roman"/>
          <w:b/>
          <w:lang w:val="uk-UA"/>
        </w:rPr>
      </w:pPr>
    </w:p>
    <w:p w:rsidR="005B6ADB" w:rsidRPr="005B6ADB" w:rsidRDefault="005B6ADB" w:rsidP="00727BA3">
      <w:pPr>
        <w:pStyle w:val="aa"/>
        <w:spacing w:after="0"/>
        <w:ind w:firstLine="567"/>
        <w:jc w:val="both"/>
        <w:rPr>
          <w:rFonts w:eastAsia="Times New Roman"/>
          <w:lang w:val="uk-UA"/>
        </w:rPr>
      </w:pPr>
      <w:r w:rsidRPr="005B6ADB">
        <w:rPr>
          <w:rFonts w:eastAsia="Times New Roman"/>
          <w:b/>
          <w:lang w:val="uk-UA"/>
        </w:rPr>
        <w:t>Найменування об'єкта оцінки:</w:t>
      </w:r>
      <w:r w:rsidRPr="005B6ADB">
        <w:rPr>
          <w:rFonts w:eastAsia="Times New Roman"/>
          <w:lang w:val="uk-UA"/>
        </w:rPr>
        <w:t xml:space="preserve"> єдиний майновий комплекс господарської асоціації «Електроспецбуд»;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Місцезнаходження об'єкта оцінки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: Київська область, м. Бориспіль, вул. Ушакова, 23;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проведення незалежної оцінки: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вартості єдиного майнового комплексу з метою продовження терміну дії договору оренди;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Телефон: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(04595) 7-22-38</w:t>
      </w:r>
    </w:p>
    <w:p w:rsidR="005B6ADB" w:rsidRPr="005B6ADB" w:rsidRDefault="005B6ADB" w:rsidP="00727B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Основні види продукції (послуг), що виробляються: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31.01 Виробництво меблів для офісів і підприємств торгівлі;</w:t>
      </w:r>
    </w:p>
    <w:p w:rsidR="005B6ADB" w:rsidRPr="005B6ADB" w:rsidRDefault="005B6ADB" w:rsidP="00727B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Кількість об'єктів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активів), од.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будівлі та споруди - 7; 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транспорті засоби - 4; 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обладнання та інвентар - 18;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Остаточний перелік майна для проведення оцінки буде узгоджений при укладанні договору з суб’єктом оціночної діяльності на підставі результатів проведеної інвентаризації;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Балансова залишкова вартість основних засобів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: станом на 31.12.2004 становить 1161</w:t>
      </w:r>
      <w:r w:rsidRPr="005B6ADB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>607 грн;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Місце розташування земельної ділянки: 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Київська область, м. Бориспіль, вул. Ушакова, 23;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Наявність об'єктів, що містять  державну таємницю:</w:t>
      </w:r>
      <w:r w:rsidRPr="005B6AD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ні;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Дата оцінки: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28.02.2019;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Замовник: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РВ ФДМУ по Київській області;</w:t>
      </w:r>
    </w:p>
    <w:p w:rsidR="005B6ADB" w:rsidRP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6ADB" w:rsidRDefault="005B6ADB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B6A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Платник:</w:t>
      </w:r>
      <w:r w:rsidRPr="005B6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B6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КП «Українське спеціалізоване управління зв’язку».</w:t>
      </w:r>
    </w:p>
    <w:p w:rsidR="00727BA3" w:rsidRDefault="00727BA3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27BA3" w:rsidRPr="00727BA3" w:rsidRDefault="00727BA3" w:rsidP="00727BA3">
      <w:pPr>
        <w:pStyle w:val="ab"/>
        <w:spacing w:before="120" w:after="120"/>
        <w:ind w:left="0" w:firstLine="567"/>
        <w:contextualSpacing/>
        <w:jc w:val="both"/>
        <w:rPr>
          <w:b/>
          <w:szCs w:val="24"/>
          <w:lang w:val="uk-UA"/>
        </w:rPr>
      </w:pPr>
      <w:r w:rsidRPr="00727BA3">
        <w:rPr>
          <w:szCs w:val="24"/>
          <w:lang w:val="uk-UA"/>
        </w:rPr>
        <w:t xml:space="preserve">Конкурсний відбір суб’єкта оціночної діяльності буде здійснюватися відповідно до </w:t>
      </w:r>
      <w:r w:rsidRPr="00727BA3">
        <w:rPr>
          <w:b/>
          <w:szCs w:val="24"/>
          <w:lang w:val="uk-UA"/>
        </w:rPr>
        <w:t>Положення про конкурсний відбір суб’єктів оціночної діяльності, затвердженого наказом Фонду державного майна України 31.12.2015 № 2075, зареєстрованого в Міністерстві юстиції України 15.01.2016 за № 60/28190 (у редакції наказу Фонду державного майна України від 16.01.2018  № 47) (далі – Положення)</w:t>
      </w:r>
      <w:r w:rsidRPr="00727BA3">
        <w:rPr>
          <w:szCs w:val="24"/>
          <w:lang w:val="uk-UA"/>
        </w:rPr>
        <w:t xml:space="preserve">, </w:t>
      </w:r>
      <w:r w:rsidRPr="00727BA3">
        <w:rPr>
          <w:b/>
          <w:szCs w:val="24"/>
          <w:lang w:val="uk-UA"/>
        </w:rPr>
        <w:t xml:space="preserve">та з урахуванням умов цього оголошення. </w:t>
      </w:r>
    </w:p>
    <w:p w:rsidR="00727BA3" w:rsidRDefault="00727BA3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27BA3" w:rsidRPr="00727BA3" w:rsidRDefault="00727BA3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27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Очікувана найбільша ціна надання посл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уг з оцінки об’єкта </w:t>
      </w:r>
      <w:r w:rsidRPr="00727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r w:rsidR="008E7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14 880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727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грн.</w:t>
      </w:r>
    </w:p>
    <w:p w:rsidR="00727BA3" w:rsidRPr="005B6ADB" w:rsidRDefault="00727BA3" w:rsidP="0072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27BA3" w:rsidRPr="0027272C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272C">
        <w:rPr>
          <w:rFonts w:ascii="Times New Roman" w:hAnsi="Times New Roman"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27272C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27272C"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Pr="0027272C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Положення про конкурсний </w:t>
      </w:r>
      <w:r w:rsidRPr="0027272C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8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9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10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27BA3" w:rsidRPr="001E6E75" w:rsidRDefault="00727BA3" w:rsidP="00727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10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років.</w:t>
      </w:r>
    </w:p>
    <w:p w:rsidR="00727BA3" w:rsidRPr="001E6E75" w:rsidRDefault="00727BA3" w:rsidP="00727B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проспект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Голосіївсь</w:t>
      </w:r>
      <w:r>
        <w:rPr>
          <w:rFonts w:ascii="Times New Roman" w:hAnsi="Times New Roman"/>
          <w:sz w:val="24"/>
          <w:szCs w:val="24"/>
          <w:lang w:val="uk-UA"/>
        </w:rPr>
        <w:t>кий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727BA3" w:rsidRPr="0027272C" w:rsidRDefault="00727BA3" w:rsidP="00727B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272C">
        <w:rPr>
          <w:rFonts w:ascii="Times New Roman" w:hAnsi="Times New Roman"/>
          <w:b/>
          <w:sz w:val="24"/>
          <w:szCs w:val="24"/>
          <w:lang w:val="uk-UA"/>
        </w:rPr>
        <w:t>Конкурс відбудеться за адресою: м. Київ, просп. Голосіївський, 50  (Регіональне відділення ФДМУ по Київській області) о 1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Pr="0027272C">
        <w:rPr>
          <w:rFonts w:ascii="Times New Roman" w:hAnsi="Times New Roman"/>
          <w:b/>
          <w:sz w:val="24"/>
          <w:szCs w:val="24"/>
          <w:lang w:val="uk-UA"/>
        </w:rPr>
        <w:t>.00, кім. 606, телефон  для довідок 200-25-29.</w:t>
      </w:r>
    </w:p>
    <w:p w:rsidR="00727BA3" w:rsidRPr="001E6E75" w:rsidRDefault="00727BA3" w:rsidP="0072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33DF" w:rsidRDefault="005C33DF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D21" w:rsidRPr="00B21CE1" w:rsidRDefault="005B5D2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222281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B5D21" w:rsidRDefault="005B5D2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B5D21" w:rsidRPr="00B21CE1" w:rsidRDefault="005B5D2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C5528F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C33DF" w:rsidRPr="00B21CE1" w:rsidRDefault="005C33DF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1316B3" w:rsidSect="005B5D21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B6" w:rsidRDefault="002E0CB6" w:rsidP="00B2159A">
      <w:pPr>
        <w:spacing w:after="0" w:line="240" w:lineRule="auto"/>
      </w:pPr>
      <w:r>
        <w:separator/>
      </w:r>
    </w:p>
  </w:endnote>
  <w:endnote w:type="continuationSeparator" w:id="1">
    <w:p w:rsidR="002E0CB6" w:rsidRDefault="002E0CB6" w:rsidP="00B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B6" w:rsidRDefault="002E0CB6" w:rsidP="00B2159A">
      <w:pPr>
        <w:spacing w:after="0" w:line="240" w:lineRule="auto"/>
      </w:pPr>
      <w:r>
        <w:separator/>
      </w:r>
    </w:p>
  </w:footnote>
  <w:footnote w:type="continuationSeparator" w:id="1">
    <w:p w:rsidR="002E0CB6" w:rsidRDefault="002E0CB6" w:rsidP="00B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21" w:rsidRPr="005B5D21" w:rsidRDefault="005B5D21" w:rsidP="005B5D21">
    <w:pPr>
      <w:pStyle w:val="a6"/>
      <w:jc w:val="right"/>
      <w:rPr>
        <w:rFonts w:ascii="Times New Roman" w:hAnsi="Times New Roman" w:cs="Times New Roman"/>
        <w:b/>
        <w:sz w:val="20"/>
        <w:szCs w:val="20"/>
        <w:lang w:val="uk-UA"/>
      </w:rPr>
    </w:pPr>
    <w:r w:rsidRPr="005B5D21">
      <w:rPr>
        <w:rFonts w:ascii="Times New Roman" w:hAnsi="Times New Roman" w:cs="Times New Roman"/>
        <w:b/>
        <w:sz w:val="20"/>
        <w:szCs w:val="20"/>
        <w:lang w:val="uk-UA"/>
      </w:rPr>
      <w:t>Додаток до листа від 19.02.2019 №46-10-896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4FC8"/>
    <w:multiLevelType w:val="hybridMultilevel"/>
    <w:tmpl w:val="9A9CC352"/>
    <w:lvl w:ilvl="0" w:tplc="C3E01914">
      <w:start w:val="1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75"/>
    <w:rsid w:val="0001698C"/>
    <w:rsid w:val="0004609B"/>
    <w:rsid w:val="0005578F"/>
    <w:rsid w:val="0006078E"/>
    <w:rsid w:val="00074635"/>
    <w:rsid w:val="00075F19"/>
    <w:rsid w:val="00077E3F"/>
    <w:rsid w:val="00077F9A"/>
    <w:rsid w:val="001316B3"/>
    <w:rsid w:val="00146D07"/>
    <w:rsid w:val="00153ABD"/>
    <w:rsid w:val="00191187"/>
    <w:rsid w:val="0019564E"/>
    <w:rsid w:val="001E6E75"/>
    <w:rsid w:val="0020249C"/>
    <w:rsid w:val="00216736"/>
    <w:rsid w:val="00222281"/>
    <w:rsid w:val="00274CFA"/>
    <w:rsid w:val="002D2CD8"/>
    <w:rsid w:val="002E0CB6"/>
    <w:rsid w:val="002E36C1"/>
    <w:rsid w:val="002F6DA6"/>
    <w:rsid w:val="00306091"/>
    <w:rsid w:val="003757FB"/>
    <w:rsid w:val="00380C56"/>
    <w:rsid w:val="003A6B74"/>
    <w:rsid w:val="004110E1"/>
    <w:rsid w:val="00427B66"/>
    <w:rsid w:val="0045733F"/>
    <w:rsid w:val="004625BE"/>
    <w:rsid w:val="00471E44"/>
    <w:rsid w:val="0047379A"/>
    <w:rsid w:val="00482B75"/>
    <w:rsid w:val="004D3609"/>
    <w:rsid w:val="004E37D7"/>
    <w:rsid w:val="004E562A"/>
    <w:rsid w:val="004F0172"/>
    <w:rsid w:val="004F3CAA"/>
    <w:rsid w:val="00571B0C"/>
    <w:rsid w:val="0057419D"/>
    <w:rsid w:val="0058134B"/>
    <w:rsid w:val="005B5D21"/>
    <w:rsid w:val="005B6ADB"/>
    <w:rsid w:val="005C33DF"/>
    <w:rsid w:val="005E2ECF"/>
    <w:rsid w:val="005F1C00"/>
    <w:rsid w:val="00617E6C"/>
    <w:rsid w:val="00643F47"/>
    <w:rsid w:val="00666207"/>
    <w:rsid w:val="00680BA6"/>
    <w:rsid w:val="00685A29"/>
    <w:rsid w:val="006B64A6"/>
    <w:rsid w:val="00705513"/>
    <w:rsid w:val="00713C87"/>
    <w:rsid w:val="0072305C"/>
    <w:rsid w:val="00727BA3"/>
    <w:rsid w:val="0073398C"/>
    <w:rsid w:val="0074501F"/>
    <w:rsid w:val="00747DCC"/>
    <w:rsid w:val="00774204"/>
    <w:rsid w:val="0078109A"/>
    <w:rsid w:val="00786C7B"/>
    <w:rsid w:val="007B5AED"/>
    <w:rsid w:val="007D1EDD"/>
    <w:rsid w:val="00861403"/>
    <w:rsid w:val="00870613"/>
    <w:rsid w:val="008B7932"/>
    <w:rsid w:val="008E7077"/>
    <w:rsid w:val="008F1D65"/>
    <w:rsid w:val="008F63E6"/>
    <w:rsid w:val="008F7568"/>
    <w:rsid w:val="0099785F"/>
    <w:rsid w:val="009E03E5"/>
    <w:rsid w:val="00A01312"/>
    <w:rsid w:val="00A04618"/>
    <w:rsid w:val="00A25440"/>
    <w:rsid w:val="00A37C15"/>
    <w:rsid w:val="00A527FF"/>
    <w:rsid w:val="00A63F14"/>
    <w:rsid w:val="00AA161B"/>
    <w:rsid w:val="00AB4CAF"/>
    <w:rsid w:val="00AD44F7"/>
    <w:rsid w:val="00AE074A"/>
    <w:rsid w:val="00AE4C1E"/>
    <w:rsid w:val="00B05F96"/>
    <w:rsid w:val="00B2159A"/>
    <w:rsid w:val="00B21CE1"/>
    <w:rsid w:val="00B32EB3"/>
    <w:rsid w:val="00B61E04"/>
    <w:rsid w:val="00B73837"/>
    <w:rsid w:val="00B81161"/>
    <w:rsid w:val="00C156D4"/>
    <w:rsid w:val="00C47454"/>
    <w:rsid w:val="00C5528F"/>
    <w:rsid w:val="00C6583A"/>
    <w:rsid w:val="00C95C4E"/>
    <w:rsid w:val="00CB5049"/>
    <w:rsid w:val="00CC36D6"/>
    <w:rsid w:val="00CD0487"/>
    <w:rsid w:val="00CE7A51"/>
    <w:rsid w:val="00CF241D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435F9"/>
    <w:rsid w:val="00EC5D05"/>
    <w:rsid w:val="00EE0C1A"/>
    <w:rsid w:val="00F2103F"/>
    <w:rsid w:val="00F2252D"/>
    <w:rsid w:val="00F63FD5"/>
    <w:rsid w:val="00F71753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59A"/>
  </w:style>
  <w:style w:type="paragraph" w:styleId="a8">
    <w:name w:val="footer"/>
    <w:basedOn w:val="a"/>
    <w:link w:val="a9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59A"/>
  </w:style>
  <w:style w:type="paragraph" w:styleId="aa">
    <w:name w:val="Normal (Web)"/>
    <w:basedOn w:val="a"/>
    <w:uiPriority w:val="99"/>
    <w:semiHidden/>
    <w:unhideWhenUsed/>
    <w:rsid w:val="005B6ADB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727B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727B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z006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62BB-7167-4466-A07E-AEB9890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53</cp:revision>
  <cp:lastPrinted>2019-02-20T09:15:00Z</cp:lastPrinted>
  <dcterms:created xsi:type="dcterms:W3CDTF">2018-11-01T11:40:00Z</dcterms:created>
  <dcterms:modified xsi:type="dcterms:W3CDTF">2019-02-20T09:32:00Z</dcterms:modified>
</cp:coreProperties>
</file>