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5E" w:rsidRPr="00180E4D" w:rsidRDefault="00206A5E" w:rsidP="00180E4D">
      <w:pPr>
        <w:spacing w:line="278" w:lineRule="exact"/>
        <w:ind w:right="6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180E4D">
        <w:rPr>
          <w:rFonts w:ascii="Times New Roman" w:hAnsi="Times New Roman" w:cs="Times New Roman"/>
          <w:b/>
          <w:lang w:val="ru-RU"/>
        </w:rPr>
        <w:t>ІНФОРМАЦІЯ</w:t>
      </w:r>
    </w:p>
    <w:p w:rsidR="00206A5E" w:rsidRDefault="00206A5E" w:rsidP="0025552A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lang w:val="ru-RU"/>
        </w:rPr>
      </w:pPr>
      <w:r w:rsidRPr="00180E4D">
        <w:rPr>
          <w:rFonts w:ascii="Times New Roman" w:hAnsi="Times New Roman" w:cs="Times New Roman"/>
          <w:b/>
          <w:lang w:val="ru-RU"/>
        </w:rPr>
        <w:t xml:space="preserve">Регіонального відділення ФДМУ по Київській області про підсумки конкурсу від </w:t>
      </w:r>
      <w:r>
        <w:rPr>
          <w:rFonts w:ascii="Times New Roman" w:hAnsi="Times New Roman" w:cs="Times New Roman"/>
          <w:b/>
          <w:lang w:val="ru-RU"/>
        </w:rPr>
        <w:t>14.03.2019</w:t>
      </w:r>
    </w:p>
    <w:p w:rsidR="00206A5E" w:rsidRPr="00180E4D" w:rsidRDefault="00206A5E" w:rsidP="0025552A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180E4D">
        <w:rPr>
          <w:rFonts w:ascii="Times New Roman" w:hAnsi="Times New Roman" w:cs="Times New Roman"/>
          <w:b/>
          <w:lang w:val="ru-RU"/>
        </w:rPr>
        <w:t xml:space="preserve">№ </w:t>
      </w:r>
      <w:r>
        <w:rPr>
          <w:rFonts w:ascii="Times New Roman" w:hAnsi="Times New Roman" w:cs="Times New Roman"/>
          <w:b/>
          <w:lang w:val="ru-RU"/>
        </w:rPr>
        <w:t>6/19</w:t>
      </w:r>
      <w:r w:rsidRPr="00180E4D">
        <w:rPr>
          <w:rFonts w:ascii="Times New Roman" w:hAnsi="Times New Roman" w:cs="Times New Roman"/>
          <w:b/>
          <w:lang w:val="ru-RU"/>
        </w:rPr>
        <w:t>-ОР по відбору суб’єктів оціночної діяльності, які будуть залучені до проведення незалежної оцінки об'єктів оренди:</w:t>
      </w:r>
    </w:p>
    <w:p w:rsidR="00206A5E" w:rsidRPr="00180E4D" w:rsidRDefault="00206A5E" w:rsidP="0025552A">
      <w:pPr>
        <w:spacing w:line="230" w:lineRule="exact"/>
        <w:ind w:left="-709" w:right="-143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val="ru-RU" w:eastAsia="ru-RU"/>
        </w:rPr>
      </w:pPr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Мета проведення незалежної оцінки - визначення ринкової або спеціальної вартості </w:t>
      </w:r>
      <w:r w:rsidRPr="001C298B">
        <w:rPr>
          <w:rFonts w:ascii="Times New Roman" w:hAnsi="Times New Roman" w:cs="Times New Roman"/>
          <w:b/>
          <w:bCs/>
          <w:i/>
          <w:sz w:val="20"/>
          <w:szCs w:val="20"/>
        </w:rPr>
        <w:t>з метою укладання договору оренди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або </w:t>
      </w:r>
      <w:r w:rsidRPr="00180E4D">
        <w:rPr>
          <w:rFonts w:ascii="Times New Roman" w:hAnsi="Times New Roman" w:cs="Times New Roman"/>
          <w:i/>
          <w:sz w:val="20"/>
          <w:szCs w:val="20"/>
        </w:rPr>
        <w:t xml:space="preserve">з метою </w:t>
      </w:r>
      <w:r w:rsidRPr="001C298B">
        <w:rPr>
          <w:rFonts w:ascii="Times New Roman" w:hAnsi="Times New Roman" w:cs="Times New Roman"/>
          <w:b/>
          <w:bCs/>
          <w:i/>
          <w:sz w:val="20"/>
          <w:szCs w:val="20"/>
        </w:rPr>
        <w:t>продовження договору оренди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206A5E" w:rsidRDefault="00206A5E" w:rsidP="0025552A">
      <w:pPr>
        <w:ind w:left="-709" w:right="-143"/>
        <w:jc w:val="both"/>
        <w:rPr>
          <w:lang w:val="ru-RU"/>
        </w:rPr>
      </w:pPr>
    </w:p>
    <w:tbl>
      <w:tblPr>
        <w:tblW w:w="10416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"/>
        <w:gridCol w:w="4961"/>
        <w:gridCol w:w="1826"/>
        <w:gridCol w:w="1271"/>
        <w:gridCol w:w="1890"/>
        <w:gridCol w:w="25"/>
      </w:tblGrid>
      <w:tr w:rsidR="00206A5E" w:rsidTr="002375A2">
        <w:trPr>
          <w:gridAfter w:val="1"/>
          <w:wAfter w:w="25" w:type="dxa"/>
          <w:trHeight w:hRule="exact" w:val="7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6A5E" w:rsidRPr="00D87EDC" w:rsidRDefault="00206A5E" w:rsidP="00180E4D">
            <w:pPr>
              <w:pStyle w:val="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D87EDC">
              <w:rPr>
                <w:rStyle w:val="2Arial"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1C298B">
            <w:pPr>
              <w:pStyle w:val="20"/>
              <w:shd w:val="clear" w:color="auto" w:fill="auto"/>
              <w:spacing w:line="260" w:lineRule="exact"/>
              <w:rPr>
                <w:b w:val="0"/>
                <w:i/>
                <w:sz w:val="20"/>
                <w:szCs w:val="20"/>
              </w:rPr>
            </w:pPr>
            <w:r w:rsidRPr="00D87EDC">
              <w:rPr>
                <w:rStyle w:val="2Arial2"/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uk-UA"/>
              </w:rPr>
              <w:t>Назва об'єктів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1C298B">
            <w:pPr>
              <w:pStyle w:val="20"/>
              <w:shd w:val="clear" w:color="auto" w:fill="auto"/>
              <w:spacing w:line="230" w:lineRule="exact"/>
              <w:rPr>
                <w:b w:val="0"/>
                <w:i/>
                <w:sz w:val="20"/>
                <w:szCs w:val="20"/>
              </w:rPr>
            </w:pPr>
            <w:r w:rsidRPr="00D87EDC">
              <w:rPr>
                <w:rStyle w:val="210"/>
                <w:b/>
                <w:color w:val="000000"/>
                <w:sz w:val="20"/>
                <w:szCs w:val="20"/>
                <w:lang w:eastAsia="uk-UA"/>
              </w:rPr>
              <w:t>Переможець - Суб’єкт оціночної діяльності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1C298B">
            <w:pPr>
              <w:pStyle w:val="20"/>
              <w:shd w:val="clear" w:color="auto" w:fill="auto"/>
              <w:spacing w:line="210" w:lineRule="exact"/>
              <w:rPr>
                <w:b w:val="0"/>
                <w:i/>
                <w:sz w:val="20"/>
                <w:szCs w:val="20"/>
              </w:rPr>
            </w:pPr>
            <w:r w:rsidRPr="00D87EDC">
              <w:rPr>
                <w:rStyle w:val="210"/>
                <w:b/>
                <w:color w:val="000000"/>
                <w:sz w:val="20"/>
                <w:szCs w:val="20"/>
                <w:lang w:eastAsia="uk-UA"/>
              </w:rPr>
              <w:t>Вартість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6A5E" w:rsidRPr="00D87EDC" w:rsidRDefault="00206A5E" w:rsidP="001C298B">
            <w:pPr>
              <w:pStyle w:val="20"/>
              <w:shd w:val="clear" w:color="auto" w:fill="auto"/>
              <w:rPr>
                <w:b w:val="0"/>
                <w:i/>
                <w:sz w:val="20"/>
                <w:szCs w:val="20"/>
              </w:rPr>
            </w:pPr>
            <w:r w:rsidRPr="00D87EDC">
              <w:rPr>
                <w:rStyle w:val="210"/>
                <w:b/>
                <w:color w:val="000000"/>
                <w:sz w:val="20"/>
                <w:szCs w:val="20"/>
                <w:lang w:eastAsia="uk-UA"/>
              </w:rPr>
              <w:t>Строк виконання робіт (день)</w:t>
            </w:r>
          </w:p>
        </w:tc>
      </w:tr>
      <w:tr w:rsidR="00206A5E" w:rsidRPr="00180E4D" w:rsidTr="002375A2">
        <w:trPr>
          <w:trHeight w:hRule="exact" w:val="293"/>
        </w:trPr>
        <w:tc>
          <w:tcPr>
            <w:tcW w:w="104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6A5E" w:rsidRPr="00D87EDC" w:rsidRDefault="00206A5E" w:rsidP="00180E4D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87EDC">
              <w:rPr>
                <w:rStyle w:val="2Arial"/>
                <w:color w:val="000000"/>
                <w:sz w:val="20"/>
                <w:szCs w:val="20"/>
                <w:lang w:eastAsia="uk-UA"/>
              </w:rPr>
              <w:t>Визначення вартості об’єкта з метою укладання договору оренди</w:t>
            </w:r>
          </w:p>
        </w:tc>
      </w:tr>
      <w:tr w:rsidR="00206A5E" w:rsidTr="00755FE8">
        <w:trPr>
          <w:gridAfter w:val="1"/>
          <w:wAfter w:w="25" w:type="dxa"/>
          <w:trHeight w:hRule="exact" w:val="165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sz w:val="20"/>
                <w:szCs w:val="20"/>
              </w:rPr>
            </w:pPr>
            <w:r w:rsidRPr="00D87EDC">
              <w:rPr>
                <w:rStyle w:val="2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6A5E" w:rsidRPr="00D87EDC" w:rsidRDefault="00206A5E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hAnsi="Gautam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Нерухоме майно, загальною площею 737,00 кв.м, а саме: нежитлове приміщення, площею 637,00 кв.м, та прибудинкова територія, площею 100,00 кв.м, що знаходяться за адресою за адресою: Київська обл., м. Бровари, вул. О. Білана, 1 та перебуває на балансі Пошуково-зйомочної експедиції №60 КП «Кіровгеологія»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391979">
            <w:pPr>
              <w:pStyle w:val="20"/>
              <w:shd w:val="clear" w:color="auto" w:fill="auto"/>
              <w:spacing w:line="230" w:lineRule="exact"/>
              <w:rPr>
                <w:rFonts w:ascii="Calibri" w:hAnsi="Calibri" w:cs="Gautami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sz w:val="20"/>
                <w:szCs w:val="20"/>
                <w:lang w:val="uk-UA"/>
              </w:rPr>
              <w:t>ПП «САНТ-2000»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391979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3 300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6A5E" w:rsidRPr="00D87EDC" w:rsidRDefault="00206A5E" w:rsidP="00391979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206A5E" w:rsidTr="00AD12FB">
        <w:trPr>
          <w:gridAfter w:val="1"/>
          <w:wAfter w:w="25" w:type="dxa"/>
          <w:trHeight w:hRule="exact" w:val="126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sz w:val="20"/>
                <w:szCs w:val="20"/>
              </w:rPr>
            </w:pPr>
            <w:r w:rsidRPr="00D87EDC">
              <w:rPr>
                <w:rStyle w:val="2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6A5E" w:rsidRPr="00D87EDC" w:rsidRDefault="00206A5E" w:rsidP="009B3CE0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hAnsi="Gautam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Arial" w:hAnsi="Arial" w:cs="Arial"/>
                <w:b w:val="0"/>
                <w:color w:val="000000"/>
                <w:sz w:val="20"/>
                <w:szCs w:val="20"/>
                <w:lang w:val="uk-UA"/>
              </w:rPr>
              <w:t>Приміщення автогаражу площею 275,40 кв.м, що знаходиться за адресою: Київська обл., Вишгородський р-н, с. Демидів, вул. Морська, 6, та перебуває на балансі Басейнового управління водних ресурсів середнього Дніпра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9224A7">
            <w:pPr>
              <w:pStyle w:val="20"/>
              <w:shd w:val="clear" w:color="auto" w:fill="auto"/>
              <w:spacing w:line="230" w:lineRule="exact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sz w:val="20"/>
                <w:szCs w:val="20"/>
                <w:lang w:val="uk-UA"/>
              </w:rPr>
              <w:t>ДП «Європейський центр консалтингу та оцінки»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9224A7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2 600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6A5E" w:rsidRPr="00D87EDC" w:rsidRDefault="00206A5E" w:rsidP="009224A7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206A5E" w:rsidTr="00AD12FB">
        <w:trPr>
          <w:gridAfter w:val="1"/>
          <w:wAfter w:w="25" w:type="dxa"/>
          <w:trHeight w:hRule="exact" w:val="213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sz w:val="20"/>
                <w:szCs w:val="20"/>
              </w:rPr>
            </w:pPr>
            <w:r w:rsidRPr="00D87EDC">
              <w:rPr>
                <w:rStyle w:val="2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6A5E" w:rsidRPr="00D87EDC" w:rsidRDefault="00206A5E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hAnsi="Gautami" w:cs="Gautami"/>
                <w:b w:val="0"/>
                <w:sz w:val="20"/>
                <w:szCs w:val="20"/>
              </w:rPr>
            </w:pPr>
            <w:r w:rsidRPr="00D87EDC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Нерухоме державне майно загальною площею </w:t>
            </w:r>
            <w:smartTag w:uri="urn:schemas-microsoft-com:office:smarttags" w:element="metricconverter">
              <w:smartTagPr>
                <w:attr w:name="ProductID" w:val="14 959,0 кв. м"/>
              </w:smartTagPr>
              <w:r w:rsidRPr="00D87EDC">
                <w:rPr>
                  <w:rFonts w:ascii="Arial" w:hAnsi="Arial" w:cs="Arial"/>
                  <w:b w:val="0"/>
                  <w:sz w:val="20"/>
                  <w:szCs w:val="20"/>
                  <w:lang w:val="uk-UA"/>
                </w:rPr>
                <w:t>14 959,0 кв. м</w:t>
              </w:r>
            </w:smartTag>
            <w:r w:rsidRPr="00D87EDC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, що розташоване за адресою: Україна, 07400  м Бровари, Київської обл., Промвузол, а саме: будівля цеху залізних порошків, площею 13 368,4 кв.м; частина приміщень Адміністративно-Побутового Корпусу з столовою площею: 1 279,0 кв.м; площадка шлакопереробки, площею 311,6 кв.м, та обліковуються на балансі Державного підприємства «Завод порошкової металургії»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391979">
            <w:pPr>
              <w:pStyle w:val="20"/>
              <w:shd w:val="clear" w:color="auto" w:fill="auto"/>
              <w:spacing w:line="230" w:lineRule="exact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sz w:val="20"/>
                <w:szCs w:val="20"/>
                <w:lang w:val="uk-UA"/>
              </w:rPr>
              <w:t>ТОВ «ДОКУМЕНТИ-УКРАЇНА»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C83479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6 350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6A5E" w:rsidRPr="00D87EDC" w:rsidRDefault="00206A5E" w:rsidP="00C83479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206A5E" w:rsidTr="00F945D7">
        <w:trPr>
          <w:gridAfter w:val="1"/>
          <w:wAfter w:w="25" w:type="dxa"/>
          <w:trHeight w:hRule="exact" w:val="126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sz w:val="20"/>
                <w:szCs w:val="20"/>
              </w:rPr>
            </w:pPr>
            <w:r w:rsidRPr="00D87EDC">
              <w:rPr>
                <w:rStyle w:val="2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6A5E" w:rsidRPr="00D87EDC" w:rsidRDefault="00206A5E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hAnsi="Gautami" w:cs="Gautami"/>
                <w:b w:val="0"/>
                <w:sz w:val="20"/>
                <w:szCs w:val="20"/>
              </w:rPr>
            </w:pPr>
            <w:r w:rsidRPr="00D87EDC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Частина приміщення №78 на 3-му поверсі пасажирського терміналу «D», загальною площею </w:t>
            </w:r>
            <w:smartTag w:uri="urn:schemas-microsoft-com:office:smarttags" w:element="metricconverter">
              <w:smartTagPr>
                <w:attr w:name="ProductID" w:val="25,00 кв. м"/>
              </w:smartTagPr>
              <w:r w:rsidRPr="00D87EDC">
                <w:rPr>
                  <w:rFonts w:ascii="Arial" w:hAnsi="Arial" w:cs="Arial"/>
                  <w:b w:val="0"/>
                  <w:sz w:val="20"/>
                  <w:szCs w:val="20"/>
                  <w:lang w:val="uk-UA"/>
                </w:rPr>
                <w:t>25,00 кв. м</w:t>
              </w:r>
            </w:smartTag>
            <w:r w:rsidRPr="00D87EDC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(інв №47578), що розміщена за адресою: Київська обл., м. Бориспіль, Аеропорт, та перебуває на балансі ДП «МА «Бориспіль»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F945D7">
            <w:pPr>
              <w:pStyle w:val="20"/>
              <w:spacing w:line="230" w:lineRule="exact"/>
              <w:rPr>
                <w:rFonts w:ascii="Calibri" w:hAnsi="Calibri" w:cs="Calibri"/>
                <w:sz w:val="20"/>
                <w:szCs w:val="20"/>
              </w:rPr>
            </w:pPr>
            <w:r w:rsidRPr="00D87EDC">
              <w:rPr>
                <w:rFonts w:ascii="Calibri" w:hAnsi="Calibri" w:cs="Calibri"/>
                <w:sz w:val="20"/>
                <w:szCs w:val="20"/>
                <w:lang w:val="uk-UA"/>
              </w:rPr>
              <w:t>ТОВ «Консалтінг-центр»</w:t>
            </w:r>
            <w:r w:rsidRPr="00D87E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206A5E" w:rsidRPr="00D87EDC" w:rsidRDefault="00206A5E" w:rsidP="00180E4D">
            <w:pPr>
              <w:pStyle w:val="20"/>
              <w:shd w:val="clear" w:color="auto" w:fill="auto"/>
              <w:spacing w:line="23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180E4D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2 730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6A5E" w:rsidRPr="00D87EDC" w:rsidRDefault="00206A5E" w:rsidP="00180E4D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4</w:t>
            </w:r>
          </w:p>
        </w:tc>
      </w:tr>
      <w:tr w:rsidR="00206A5E" w:rsidTr="00714353">
        <w:trPr>
          <w:gridAfter w:val="1"/>
          <w:wAfter w:w="25" w:type="dxa"/>
          <w:trHeight w:hRule="exact" w:val="14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sz w:val="20"/>
                <w:szCs w:val="20"/>
              </w:rPr>
            </w:pPr>
            <w:r w:rsidRPr="00D87EDC">
              <w:rPr>
                <w:rStyle w:val="2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6A5E" w:rsidRPr="00D87EDC" w:rsidRDefault="00206A5E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hAnsi="Gautam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Частина твердого покриття «Дорога №1 (№47783)», загальною площею </w:t>
            </w:r>
            <w:smartTag w:uri="urn:schemas-microsoft-com:office:smarttags" w:element="metricconverter">
              <w:smartTagPr>
                <w:attr w:name="ProductID" w:val="100,00 кв. м"/>
              </w:smartTagPr>
              <w:r w:rsidRPr="00D87EDC">
                <w:rPr>
                  <w:rFonts w:ascii="Arial" w:hAnsi="Arial" w:cs="Arial"/>
                  <w:b w:val="0"/>
                  <w:sz w:val="20"/>
                  <w:szCs w:val="20"/>
                  <w:lang w:val="uk-UA"/>
                </w:rPr>
                <w:t>100,00 кв. м</w:t>
              </w:r>
            </w:smartTag>
            <w:r w:rsidRPr="00D87EDC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(інв 47783), що розміщена на земельній ділянці в межах Гірської сільської ради Бориспільської району Київської області,  Бориспіль -7 обл.,  та перебуває на балансі ДП «МА «Бориспіль»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9224A7">
            <w:pPr>
              <w:pStyle w:val="20"/>
              <w:shd w:val="clear" w:color="auto" w:fill="auto"/>
              <w:spacing w:line="230" w:lineRule="exact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sz w:val="20"/>
                <w:szCs w:val="20"/>
                <w:lang w:val="uk-UA"/>
              </w:rPr>
              <w:t>ДП «Європейський центр консалтингу та оцінки»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9224A7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2 600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6A5E" w:rsidRPr="00D87EDC" w:rsidRDefault="00206A5E" w:rsidP="009224A7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206A5E" w:rsidTr="009D1A25">
        <w:trPr>
          <w:gridAfter w:val="1"/>
          <w:wAfter w:w="25" w:type="dxa"/>
          <w:trHeight w:hRule="exact" w:val="125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color w:val="000000"/>
                <w:sz w:val="20"/>
                <w:szCs w:val="20"/>
                <w:lang w:val="uk-UA" w:eastAsia="uk-UA"/>
              </w:rPr>
            </w:pPr>
            <w:r w:rsidRPr="00D87EDC">
              <w:rPr>
                <w:rStyle w:val="2Arial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6A5E" w:rsidRPr="00D87EDC" w:rsidRDefault="00206A5E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hAnsi="Gautam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Гідротехнічні споруди (ставка № 1), код КОАТУУ 3220000000, що розташована за адресою: Київська обл., Білоцерківський район, Храпачівська сільська рада, с. Храпачі та перебуває на балансі ДП «Укрриба»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9224A7">
            <w:pPr>
              <w:pStyle w:val="20"/>
              <w:shd w:val="clear" w:color="auto" w:fill="auto"/>
              <w:spacing w:line="230" w:lineRule="exact"/>
              <w:rPr>
                <w:rFonts w:ascii="Calibri" w:hAnsi="Calibri" w:cs="Gautami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sz w:val="20"/>
                <w:szCs w:val="20"/>
                <w:lang w:val="uk-UA"/>
              </w:rPr>
              <w:t>ПП «ГАРАНТ-ЕКСПЕРТ»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9224A7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10 780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A5E" w:rsidRPr="00D87EDC" w:rsidRDefault="00206A5E" w:rsidP="009224A7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206A5E" w:rsidTr="009D1A25">
        <w:trPr>
          <w:gridAfter w:val="1"/>
          <w:wAfter w:w="25" w:type="dxa"/>
          <w:trHeight w:hRule="exact" w:val="141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3B477A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color w:val="000000"/>
                <w:sz w:val="20"/>
                <w:szCs w:val="20"/>
                <w:lang w:val="uk-UA" w:eastAsia="uk-UA"/>
              </w:rPr>
            </w:pPr>
            <w:r w:rsidRPr="00D87EDC">
              <w:rPr>
                <w:rStyle w:val="2Arial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6A5E" w:rsidRPr="00D87EDC" w:rsidRDefault="00206A5E" w:rsidP="003B477A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hAnsi="Gautam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Гідротехнічні споруди (ставка № 10 А) код КОАТУУ 3220000000, що розташована за адресою: Київська обл., Васильківський район, Лосятинська сільська рада, с. Лосятин та перебуває на балансі ДП «Укрриба»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0A5EE3">
            <w:pPr>
              <w:pStyle w:val="20"/>
              <w:shd w:val="clear" w:color="auto" w:fill="auto"/>
              <w:spacing w:line="230" w:lineRule="exact"/>
              <w:rPr>
                <w:rFonts w:ascii="Calibri" w:hAnsi="Calibri" w:cs="Gautami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sz w:val="20"/>
                <w:szCs w:val="20"/>
                <w:lang w:val="uk-UA"/>
              </w:rPr>
              <w:t>ТОВ «Агенція консалтингових</w:t>
            </w:r>
          </w:p>
          <w:p w:rsidR="00206A5E" w:rsidRPr="00D87EDC" w:rsidRDefault="00206A5E" w:rsidP="000A5EE3">
            <w:pPr>
              <w:pStyle w:val="20"/>
              <w:shd w:val="clear" w:color="auto" w:fill="auto"/>
              <w:spacing w:line="230" w:lineRule="exact"/>
              <w:rPr>
                <w:rFonts w:ascii="Calibri" w:hAnsi="Calibri" w:cs="Gautami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sz w:val="20"/>
                <w:szCs w:val="20"/>
                <w:lang w:val="uk-UA"/>
              </w:rPr>
              <w:t>послуг»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0A5EE3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10 950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A5E" w:rsidRPr="00D87EDC" w:rsidRDefault="00206A5E" w:rsidP="000A5EE3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206A5E" w:rsidRPr="00180E4D" w:rsidTr="002D76A0">
        <w:trPr>
          <w:trHeight w:hRule="exact" w:val="288"/>
        </w:trPr>
        <w:tc>
          <w:tcPr>
            <w:tcW w:w="104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6A5E" w:rsidRPr="00D87EDC" w:rsidRDefault="00206A5E" w:rsidP="00EB239B">
            <w:pPr>
              <w:pStyle w:val="20"/>
              <w:shd w:val="clear" w:color="auto" w:fill="auto"/>
              <w:spacing w:line="190" w:lineRule="exact"/>
              <w:rPr>
                <w:rFonts w:ascii="Gautami" w:hAnsi="Gautami" w:cs="Gautami"/>
                <w:sz w:val="20"/>
                <w:szCs w:val="20"/>
              </w:rPr>
            </w:pPr>
            <w:r w:rsidRPr="00D87EDC">
              <w:rPr>
                <w:rStyle w:val="2Arial"/>
                <w:rFonts w:ascii="Gautami" w:hAnsi="Gautami" w:cs="Gautami"/>
                <w:color w:val="000000"/>
                <w:sz w:val="20"/>
                <w:szCs w:val="20"/>
                <w:lang w:eastAsia="uk-UA"/>
              </w:rPr>
              <w:t>Визначення вартості об’єкта з метою продовження договору оренди</w:t>
            </w:r>
          </w:p>
        </w:tc>
      </w:tr>
      <w:tr w:rsidR="00206A5E" w:rsidTr="002D76A0">
        <w:trPr>
          <w:gridAfter w:val="1"/>
          <w:wAfter w:w="25" w:type="dxa"/>
          <w:trHeight w:hRule="exact" w:val="145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EB239B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color w:val="000000"/>
                <w:sz w:val="20"/>
                <w:szCs w:val="20"/>
                <w:lang w:val="uk-UA" w:eastAsia="uk-UA"/>
              </w:rPr>
            </w:pPr>
            <w:r w:rsidRPr="00D87EDC">
              <w:rPr>
                <w:rStyle w:val="2Arial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6A5E" w:rsidRPr="00D87EDC" w:rsidRDefault="00206A5E" w:rsidP="00EB239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hAnsi="Gautam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Arial" w:hAnsi="Arial" w:cs="Arial"/>
                <w:b w:val="0"/>
                <w:color w:val="000000"/>
                <w:sz w:val="20"/>
                <w:szCs w:val="20"/>
                <w:lang w:val="uk-UA"/>
              </w:rPr>
              <w:t xml:space="preserve">Частини нежитлових приміщень, загальною площею </w:t>
            </w:r>
            <w:smartTag w:uri="urn:schemas-microsoft-com:office:smarttags" w:element="metricconverter">
              <w:smartTagPr>
                <w:attr w:name="ProductID" w:val="15,00 кв. м"/>
              </w:smartTagPr>
              <w:r w:rsidRPr="00D87EDC">
                <w:rPr>
                  <w:rFonts w:ascii="Arial" w:hAnsi="Arial" w:cs="Arial"/>
                  <w:b w:val="0"/>
                  <w:color w:val="000000"/>
                  <w:sz w:val="20"/>
                  <w:szCs w:val="20"/>
                  <w:lang w:val="uk-UA"/>
                </w:rPr>
                <w:t>15,00 кв. м</w:t>
              </w:r>
            </w:smartTag>
            <w:r w:rsidRPr="00D87EDC">
              <w:rPr>
                <w:rFonts w:ascii="Arial" w:hAnsi="Arial" w:cs="Arial"/>
                <w:b w:val="0"/>
                <w:color w:val="000000"/>
                <w:sz w:val="20"/>
                <w:szCs w:val="20"/>
                <w:lang w:val="uk-UA"/>
              </w:rPr>
              <w:t>, що розміщені за адресою: Київська обл., Києво-Святошинський р-н, м. Вишневе, вул. Лесі Українки, 88 та перебуває на балансі Управління Державної казначейської служби України у Києво-Святошинському районі Київської області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EB239B">
            <w:pPr>
              <w:pStyle w:val="20"/>
              <w:shd w:val="clear" w:color="auto" w:fill="auto"/>
              <w:spacing w:line="230" w:lineRule="exact"/>
              <w:rPr>
                <w:rFonts w:ascii="Calibri" w:hAnsi="Calibri" w:cs="Gautami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sz w:val="20"/>
                <w:szCs w:val="20"/>
                <w:lang w:val="uk-UA"/>
              </w:rPr>
              <w:t>ФО-П Чебаков Олексій Іванович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6A5E" w:rsidRPr="00D87EDC" w:rsidRDefault="00206A5E" w:rsidP="00EB239B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2 700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A5E" w:rsidRPr="00D87EDC" w:rsidRDefault="00206A5E" w:rsidP="00EB239B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 w:rsidRPr="00D87EDC"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</w:tbl>
    <w:p w:rsidR="00206A5E" w:rsidRDefault="00206A5E" w:rsidP="00554ADB">
      <w:pPr>
        <w:ind w:left="-567"/>
      </w:pPr>
      <w:r>
        <w:t xml:space="preserve">  </w:t>
      </w:r>
    </w:p>
    <w:p w:rsidR="00206A5E" w:rsidRPr="00C9178B" w:rsidRDefault="00206A5E" w:rsidP="001016AD">
      <w:pPr>
        <w:rPr>
          <w:sz w:val="12"/>
          <w:szCs w:val="12"/>
        </w:rPr>
      </w:pPr>
    </w:p>
    <w:p w:rsidR="00206A5E" w:rsidRPr="00C9178B" w:rsidRDefault="00206A5E" w:rsidP="00554ADB">
      <w:pPr>
        <w:ind w:left="-567"/>
        <w:rPr>
          <w:sz w:val="14"/>
          <w:szCs w:val="14"/>
        </w:rPr>
      </w:pPr>
      <w:r w:rsidRPr="00C9178B">
        <w:rPr>
          <w:rFonts w:ascii="Times New Roman" w:hAnsi="Times New Roman" w:cs="Times New Roman"/>
          <w:sz w:val="14"/>
          <w:szCs w:val="14"/>
        </w:rPr>
        <w:t>Штепура К.В.</w:t>
      </w:r>
    </w:p>
    <w:p w:rsidR="00206A5E" w:rsidRPr="00C9178B" w:rsidRDefault="00206A5E" w:rsidP="00C9178B">
      <w:pPr>
        <w:ind w:left="-567"/>
        <w:rPr>
          <w:sz w:val="14"/>
          <w:szCs w:val="14"/>
        </w:rPr>
      </w:pPr>
      <w:r w:rsidRPr="00C9178B">
        <w:rPr>
          <w:color w:val="auto"/>
          <w:sz w:val="14"/>
          <w:szCs w:val="14"/>
          <w:lang w:eastAsia="ru-RU"/>
        </w:rPr>
        <w:sym w:font="Wingdings 2" w:char="F027"/>
      </w:r>
      <w:r w:rsidRPr="00C9178B">
        <w:rPr>
          <w:color w:val="auto"/>
          <w:sz w:val="14"/>
          <w:szCs w:val="14"/>
          <w:lang w:eastAsia="ru-RU"/>
        </w:rPr>
        <w:t xml:space="preserve"> </w:t>
      </w:r>
      <w:r w:rsidRPr="00C9178B">
        <w:rPr>
          <w:sz w:val="14"/>
          <w:szCs w:val="14"/>
        </w:rPr>
        <w:t>200-25-29</w:t>
      </w:r>
    </w:p>
    <w:sectPr w:rsidR="00206A5E" w:rsidRPr="00C9178B" w:rsidSect="00D87EDC">
      <w:headerReference w:type="default" r:id="rId6"/>
      <w:pgSz w:w="11906" w:h="16838"/>
      <w:pgMar w:top="180" w:right="850" w:bottom="0" w:left="1701" w:header="16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A5E" w:rsidRDefault="00206A5E">
      <w:r>
        <w:separator/>
      </w:r>
    </w:p>
  </w:endnote>
  <w:endnote w:type="continuationSeparator" w:id="0">
    <w:p w:rsidR="00206A5E" w:rsidRDefault="00206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B0604020202020204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A5E" w:rsidRDefault="00206A5E">
      <w:r>
        <w:separator/>
      </w:r>
    </w:p>
  </w:footnote>
  <w:footnote w:type="continuationSeparator" w:id="0">
    <w:p w:rsidR="00206A5E" w:rsidRDefault="00206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5E" w:rsidRPr="00D87EDC" w:rsidRDefault="00206A5E" w:rsidP="00D87EDC">
    <w:pPr>
      <w:pStyle w:val="Header"/>
      <w:jc w:val="right"/>
      <w:rPr>
        <w:sz w:val="20"/>
        <w:szCs w:val="20"/>
      </w:rPr>
    </w:pPr>
    <w:r w:rsidRPr="00D87EDC">
      <w:rPr>
        <w:sz w:val="20"/>
        <w:szCs w:val="20"/>
      </w:rPr>
      <w:t>« Додаток до листа від 19.03.2019 № 46-10-1365»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E4D"/>
    <w:rsid w:val="00036E59"/>
    <w:rsid w:val="00047EC5"/>
    <w:rsid w:val="000567E6"/>
    <w:rsid w:val="00065057"/>
    <w:rsid w:val="00077F9A"/>
    <w:rsid w:val="000A575B"/>
    <w:rsid w:val="000A5EE3"/>
    <w:rsid w:val="000E5584"/>
    <w:rsid w:val="001016AD"/>
    <w:rsid w:val="00124B86"/>
    <w:rsid w:val="00133DBB"/>
    <w:rsid w:val="00180E4D"/>
    <w:rsid w:val="001843FC"/>
    <w:rsid w:val="001B0D7E"/>
    <w:rsid w:val="001C298B"/>
    <w:rsid w:val="001D276D"/>
    <w:rsid w:val="001E6E75"/>
    <w:rsid w:val="00206A5E"/>
    <w:rsid w:val="00221D07"/>
    <w:rsid w:val="002279D1"/>
    <w:rsid w:val="002375A2"/>
    <w:rsid w:val="002476AC"/>
    <w:rsid w:val="00251C2E"/>
    <w:rsid w:val="0025552A"/>
    <w:rsid w:val="00262299"/>
    <w:rsid w:val="002A5F46"/>
    <w:rsid w:val="002B2228"/>
    <w:rsid w:val="002D41EF"/>
    <w:rsid w:val="002D76A0"/>
    <w:rsid w:val="003319B9"/>
    <w:rsid w:val="003505E0"/>
    <w:rsid w:val="00391979"/>
    <w:rsid w:val="00394C7E"/>
    <w:rsid w:val="003B477A"/>
    <w:rsid w:val="003E6DDA"/>
    <w:rsid w:val="003F6C5C"/>
    <w:rsid w:val="00436A90"/>
    <w:rsid w:val="004A07E9"/>
    <w:rsid w:val="004A5C23"/>
    <w:rsid w:val="004B4DA2"/>
    <w:rsid w:val="004D6AB3"/>
    <w:rsid w:val="0051511F"/>
    <w:rsid w:val="00515665"/>
    <w:rsid w:val="00516C6C"/>
    <w:rsid w:val="00554ADB"/>
    <w:rsid w:val="00571712"/>
    <w:rsid w:val="0058134B"/>
    <w:rsid w:val="005C3658"/>
    <w:rsid w:val="00601B4C"/>
    <w:rsid w:val="0061323F"/>
    <w:rsid w:val="006250D3"/>
    <w:rsid w:val="00633FFF"/>
    <w:rsid w:val="006408A1"/>
    <w:rsid w:val="00644B81"/>
    <w:rsid w:val="00670D19"/>
    <w:rsid w:val="00676AE0"/>
    <w:rsid w:val="006A23AB"/>
    <w:rsid w:val="006B36C5"/>
    <w:rsid w:val="006D3203"/>
    <w:rsid w:val="00701B6E"/>
    <w:rsid w:val="00713C87"/>
    <w:rsid w:val="00714353"/>
    <w:rsid w:val="00755FE8"/>
    <w:rsid w:val="007809E6"/>
    <w:rsid w:val="007F01E3"/>
    <w:rsid w:val="00870613"/>
    <w:rsid w:val="00877B75"/>
    <w:rsid w:val="008971ED"/>
    <w:rsid w:val="008D393D"/>
    <w:rsid w:val="008F1243"/>
    <w:rsid w:val="008F63E6"/>
    <w:rsid w:val="00920CF9"/>
    <w:rsid w:val="009224A7"/>
    <w:rsid w:val="009B3CE0"/>
    <w:rsid w:val="009D1A25"/>
    <w:rsid w:val="00A01312"/>
    <w:rsid w:val="00A023DF"/>
    <w:rsid w:val="00A25BD8"/>
    <w:rsid w:val="00AB7555"/>
    <w:rsid w:val="00AD12FB"/>
    <w:rsid w:val="00AF409F"/>
    <w:rsid w:val="00B141CD"/>
    <w:rsid w:val="00B22068"/>
    <w:rsid w:val="00B634D8"/>
    <w:rsid w:val="00C251C4"/>
    <w:rsid w:val="00C33D40"/>
    <w:rsid w:val="00C643E2"/>
    <w:rsid w:val="00C75D12"/>
    <w:rsid w:val="00C81315"/>
    <w:rsid w:val="00C8198A"/>
    <w:rsid w:val="00C83479"/>
    <w:rsid w:val="00C9178B"/>
    <w:rsid w:val="00CA0604"/>
    <w:rsid w:val="00CA378E"/>
    <w:rsid w:val="00D358CE"/>
    <w:rsid w:val="00D55001"/>
    <w:rsid w:val="00D87EDC"/>
    <w:rsid w:val="00DA6A53"/>
    <w:rsid w:val="00DC0316"/>
    <w:rsid w:val="00DD2B25"/>
    <w:rsid w:val="00DD35AB"/>
    <w:rsid w:val="00DE5B86"/>
    <w:rsid w:val="00E153B2"/>
    <w:rsid w:val="00E2598E"/>
    <w:rsid w:val="00E42AB1"/>
    <w:rsid w:val="00E57C57"/>
    <w:rsid w:val="00E63FA4"/>
    <w:rsid w:val="00E66C1D"/>
    <w:rsid w:val="00EA5B48"/>
    <w:rsid w:val="00EB239B"/>
    <w:rsid w:val="00F04E8C"/>
    <w:rsid w:val="00F15F99"/>
    <w:rsid w:val="00F945D7"/>
    <w:rsid w:val="00FA3658"/>
    <w:rsid w:val="00FA3BB3"/>
    <w:rsid w:val="00FB2FF6"/>
    <w:rsid w:val="00FC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4D"/>
    <w:pPr>
      <w:widowControl w:val="0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180E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uiPriority w:val="99"/>
    <w:rsid w:val="00180E4D"/>
    <w:rPr>
      <w:rFonts w:ascii="Arial" w:hAnsi="Arial" w:cs="Arial"/>
      <w:sz w:val="19"/>
      <w:szCs w:val="19"/>
    </w:rPr>
  </w:style>
  <w:style w:type="character" w:customStyle="1" w:styleId="2Arial2">
    <w:name w:val="Основной текст (2) + Arial2"/>
    <w:aliases w:val="13 pt"/>
    <w:basedOn w:val="2"/>
    <w:uiPriority w:val="99"/>
    <w:rsid w:val="00180E4D"/>
    <w:rPr>
      <w:rFonts w:ascii="Arial" w:hAnsi="Arial" w:cs="Arial"/>
      <w:sz w:val="26"/>
      <w:szCs w:val="26"/>
    </w:rPr>
  </w:style>
  <w:style w:type="character" w:customStyle="1" w:styleId="210">
    <w:name w:val="Основной текст (2) + 10"/>
    <w:aliases w:val="5 pt3,Курсив"/>
    <w:basedOn w:val="2"/>
    <w:uiPriority w:val="99"/>
    <w:rsid w:val="00180E4D"/>
    <w:rPr>
      <w:i/>
      <w:iCs/>
      <w:sz w:val="21"/>
      <w:szCs w:val="21"/>
    </w:rPr>
  </w:style>
  <w:style w:type="paragraph" w:customStyle="1" w:styleId="20">
    <w:name w:val="Основной текст (2)"/>
    <w:basedOn w:val="Normal"/>
    <w:link w:val="2"/>
    <w:uiPriority w:val="99"/>
    <w:rsid w:val="00180E4D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C9178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EC2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rsid w:val="00C917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EC2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309</TotalTime>
  <Pages>1</Pages>
  <Words>455</Words>
  <Characters>2600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47</cp:revision>
  <cp:lastPrinted>2019-02-15T07:33:00Z</cp:lastPrinted>
  <dcterms:created xsi:type="dcterms:W3CDTF">2018-11-08T13:02:00Z</dcterms:created>
  <dcterms:modified xsi:type="dcterms:W3CDTF">2019-03-20T07:43:00Z</dcterms:modified>
</cp:coreProperties>
</file>