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16.01.2020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 № 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1/20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322E28" w:rsidTr="009A36F7">
        <w:trPr>
          <w:trHeight w:hRule="exact" w:val="2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9A36F7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E418DD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Нежитлові приміщення загальною площею 1426,2 кв. м, а саме: нежитлові приміщення - площею 1143,40 кв. м, актову залу - площею 282,80 кв. м, що знаходяться на першому та другому поверхах, за адресою: Київська обл., м. Вишневе, вул. Святошинська, 29, та перебувають на балансі державної установи «Український дім фарфоро-фаянсової промисловості»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322E28" w:rsidRDefault="004A7505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«Гарант-Експертиза»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3650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71018" w:rsidRPr="00D71018" w:rsidTr="009A36F7">
        <w:trPr>
          <w:trHeight w:hRule="exact" w:val="15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9A36F7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нежитлового приміщення площею 20,00 кв. м, на 3-му поверсі пасажирського терміналу «D» (в стерильній зоні), яка розташована за адресою: Київська обл., Бориспільський р-н, вул. Бориспіль-7 та перебуває на балансі </w:t>
            </w:r>
            <w:proofErr w:type="spellStart"/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4A7505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4A75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9A36F7" w:rsidRPr="00D71018" w:rsidTr="009A36F7">
        <w:trPr>
          <w:trHeight w:hRule="exact" w:val="16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9A36F7" w:rsidRDefault="009A36F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325B19" w:rsidRDefault="009A36F7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площею 10,00 кв. м, на 2-му поверсі пасажирського терміналу «F» з </w:t>
            </w:r>
            <w:proofErr w:type="spellStart"/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легких конструкцій (в стерильній зоні), яка розташована за адресою: Київська обл., Бориспільський р-н, вул. Бориспіль-7, та перебуває на балансі </w:t>
            </w:r>
            <w:proofErr w:type="spellStart"/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325B1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8A1E22" w:rsidRDefault="004A7505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A75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ДП</w:t>
            </w:r>
            <w:proofErr w:type="spellEnd"/>
            <w:r w:rsidRPr="004A75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F7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9A36F7" w:rsidRPr="00D71018" w:rsidTr="009A36F7">
        <w:trPr>
          <w:trHeight w:hRule="exact" w:val="16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9A36F7" w:rsidRDefault="009A36F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325B19" w:rsidRDefault="009A36F7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6300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68 площею 100,00 кв. м, на 1-му поверсі пасажирського терміналу «F» з </w:t>
            </w:r>
            <w:proofErr w:type="spellStart"/>
            <w:r w:rsidRPr="0086300E">
              <w:rPr>
                <w:rFonts w:ascii="Arial" w:hAnsi="Arial" w:cs="Arial"/>
                <w:b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86300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легких конструкцій, яке розташована за адресою: Київська обл., Бориспільський р-н, Бориспіль-7 та перебуває на балансі </w:t>
            </w:r>
            <w:proofErr w:type="spellStart"/>
            <w:r w:rsidRPr="0086300E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6300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8A1E22" w:rsidRDefault="004A7505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A75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ДП</w:t>
            </w:r>
            <w:proofErr w:type="spellEnd"/>
            <w:r w:rsidRPr="004A75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F7" w:rsidRPr="00D71018" w:rsidRDefault="004A75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8A1E2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E22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8A1E22" w:rsidRPr="009A36F7" w:rsidTr="00534305">
        <w:trPr>
          <w:trHeight w:hRule="exact" w:val="15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9A36F7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9A36F7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нежилого приміщення</w:t>
            </w:r>
            <w:r w:rsidRPr="00A459E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3,0 </w:t>
            </w:r>
            <w:proofErr w:type="spellStart"/>
            <w:r w:rsidRPr="00A459ED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A459ED">
              <w:rPr>
                <w:rFonts w:ascii="Arial" w:hAnsi="Arial" w:cs="Arial"/>
                <w:b/>
                <w:sz w:val="20"/>
                <w:szCs w:val="20"/>
                <w:lang w:val="uk-UA"/>
              </w:rPr>
              <w:t>,  що розташоване за адресою: Київська обл., м. Славутич, вул. 77-ї Гвардійської дивізії, 7/11 та перебуває на балансі Державного спеціалізованого підприємства «Чорнобильська АЕС»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9A36F7" w:rsidRDefault="004A750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Алла Олексіївна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4A75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3360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4A75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322E28" w:rsidRPr="009A36F7" w:rsidTr="00534305">
        <w:trPr>
          <w:trHeight w:hRule="exact" w:val="1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9A36F7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9A36F7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ежитлове приміщення будівлі 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автоцеху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загальною площею 310,0 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що розташоване за адресою: Київська область, м. Бровари, вул. О.Білана, 1, та перебуває на балансі Пошуково-зйомочної експедиції № 60 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КП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Кіровгеологія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534305" w:rsidRDefault="004A750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D71018" w:rsidRDefault="004A75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E28" w:rsidRPr="00D71018" w:rsidRDefault="004A75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534305" w:rsidRPr="009A36F7" w:rsidTr="009A36F7">
        <w:trPr>
          <w:trHeight w:hRule="exact" w:val="22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9A36F7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9A36F7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нежитлового приміщення на першому поверсі технічної будівлі загальною площею 2,0 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що знаходиться за адресою: Київська обл., м. Бориспіль, 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Міжнародний аеропорт «Бориспіль» та перебуває на балансі Регіонального структурного підрозділу (РСП) «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Київцентраеро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» Державного підприємства обслуговування повітряного руху України (</w:t>
            </w:r>
            <w:proofErr w:type="spellStart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Украерорух</w:t>
            </w:r>
            <w:proofErr w:type="spellEnd"/>
            <w:r w:rsidRPr="00513CEF">
              <w:rPr>
                <w:rFonts w:ascii="Arial" w:hAnsi="Arial" w:cs="Arial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534305" w:rsidRDefault="004A7505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</w:t>
            </w:r>
            <w:proofErr w:type="spellStart"/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Авто-експрес</w:t>
            </w:r>
            <w:proofErr w:type="spellEnd"/>
            <w:r w:rsidRPr="004A75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4A7505" w:rsidP="0053430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4A7505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534305" w:rsidRPr="00D71018" w:rsidTr="009A36F7">
        <w:trPr>
          <w:trHeight w:hRule="exact" w:val="17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9A36F7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9A36F7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Нежитлове приміщення площею 1,0 </w:t>
            </w:r>
            <w:proofErr w:type="spellStart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що розташоване за адресою: Київська обл., </w:t>
            </w:r>
            <w:proofErr w:type="spellStart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>Миронівський</w:t>
            </w:r>
            <w:proofErr w:type="spellEnd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р-н, с. </w:t>
            </w:r>
            <w:proofErr w:type="spellStart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>Маслівка</w:t>
            </w:r>
            <w:proofErr w:type="spellEnd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вул. Незалежності 66 та перебуває на балансі </w:t>
            </w:r>
            <w:proofErr w:type="spellStart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>Маслівського</w:t>
            </w:r>
            <w:proofErr w:type="spellEnd"/>
            <w:r w:rsidRPr="00F977F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аграрного технікуму ім. П. Х. Гаркавого Білоцерківського національного аграрного університету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8A1E22" w:rsidRDefault="004A750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4A7505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4A7505">
              <w:rPr>
                <w:rFonts w:eastAsia="Calibri" w:cs="Gautami"/>
                <w:b/>
                <w:bCs/>
                <w:sz w:val="20"/>
                <w:szCs w:val="20"/>
              </w:rPr>
              <w:t xml:space="preserve"> «ЛЮКС-ЕКСПЕРТ»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4A75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4A75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534305" w:rsidRPr="008A1E22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sectPr w:rsidR="0079138E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C2D8A"/>
    <w:rsid w:val="002D3DC6"/>
    <w:rsid w:val="002F1ED7"/>
    <w:rsid w:val="00322E28"/>
    <w:rsid w:val="003234E6"/>
    <w:rsid w:val="00335853"/>
    <w:rsid w:val="003858AA"/>
    <w:rsid w:val="003A2A2A"/>
    <w:rsid w:val="003B5ED8"/>
    <w:rsid w:val="00456152"/>
    <w:rsid w:val="004A7505"/>
    <w:rsid w:val="00534305"/>
    <w:rsid w:val="00572C69"/>
    <w:rsid w:val="005E578C"/>
    <w:rsid w:val="006364CA"/>
    <w:rsid w:val="006C2BAC"/>
    <w:rsid w:val="00734F8C"/>
    <w:rsid w:val="0078059C"/>
    <w:rsid w:val="0079138E"/>
    <w:rsid w:val="008A1E22"/>
    <w:rsid w:val="008C195B"/>
    <w:rsid w:val="00926F18"/>
    <w:rsid w:val="009A36F7"/>
    <w:rsid w:val="009D5D9E"/>
    <w:rsid w:val="00A260B5"/>
    <w:rsid w:val="00A60302"/>
    <w:rsid w:val="00A609B8"/>
    <w:rsid w:val="00AD4473"/>
    <w:rsid w:val="00B80DEE"/>
    <w:rsid w:val="00BA0AE2"/>
    <w:rsid w:val="00C779E4"/>
    <w:rsid w:val="00C80CAB"/>
    <w:rsid w:val="00C826B9"/>
    <w:rsid w:val="00C85E14"/>
    <w:rsid w:val="00D57466"/>
    <w:rsid w:val="00D71018"/>
    <w:rsid w:val="00E16F03"/>
    <w:rsid w:val="00E42F43"/>
    <w:rsid w:val="00E54D8E"/>
    <w:rsid w:val="00EA331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cp:lastPrinted>2020-01-17T08:29:00Z</cp:lastPrinted>
  <dcterms:created xsi:type="dcterms:W3CDTF">2019-08-22T08:19:00Z</dcterms:created>
  <dcterms:modified xsi:type="dcterms:W3CDTF">2020-01-17T08:29:00Z</dcterms:modified>
</cp:coreProperties>
</file>