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D5" w:rsidRPr="003537D7" w:rsidRDefault="00304AD5" w:rsidP="00E75FCD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304AD5" w:rsidRPr="003537D7" w:rsidRDefault="00304AD5" w:rsidP="00E75FCD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FA0B40">
        <w:rPr>
          <w:rFonts w:ascii="Times New Roman" w:hAnsi="Times New Roman"/>
          <w:b/>
          <w:szCs w:val="24"/>
          <w:lang w:val="uk-UA"/>
        </w:rPr>
        <w:t xml:space="preserve">Регіонального відділення </w:t>
      </w:r>
      <w:r>
        <w:rPr>
          <w:rFonts w:ascii="Times New Roman" w:hAnsi="Times New Roman"/>
          <w:b/>
          <w:szCs w:val="24"/>
          <w:lang w:val="uk-UA"/>
        </w:rPr>
        <w:t>Фонду державного майна України</w:t>
      </w:r>
      <w:r w:rsidRPr="00FA0B40">
        <w:rPr>
          <w:rFonts w:ascii="Times New Roman" w:hAnsi="Times New Roman"/>
          <w:b/>
          <w:szCs w:val="24"/>
          <w:lang w:val="uk-UA"/>
        </w:rPr>
        <w:t xml:space="preserve"> по Київській, Черкаській та Чернігівській областях</w:t>
      </w:r>
      <w:r w:rsidRPr="003537D7">
        <w:rPr>
          <w:rFonts w:ascii="Times New Roman" w:hAnsi="Times New Roman"/>
          <w:b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304AD5" w:rsidRPr="00E75FCD" w:rsidRDefault="00304AD5" w:rsidP="00E75FC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862278">
        <w:rPr>
          <w:rFonts w:ascii="Arial" w:hAnsi="Arial" w:cs="Arial"/>
          <w:b/>
          <w:sz w:val="20"/>
          <w:szCs w:val="20"/>
          <w:lang w:val="uk-UA"/>
        </w:rPr>
        <w:t xml:space="preserve">Під'їзна залізнична колія протяжністю </w:t>
      </w:r>
      <w:smartTag w:uri="urn:schemas-microsoft-com:office:smarttags" w:element="metricconverter">
        <w:smartTagPr>
          <w:attr w:name="ProductID" w:val="2996 м"/>
        </w:smartTagPr>
        <w:r w:rsidRPr="00862278">
          <w:rPr>
            <w:rFonts w:ascii="Arial" w:hAnsi="Arial" w:cs="Arial"/>
            <w:b/>
            <w:sz w:val="20"/>
            <w:szCs w:val="20"/>
            <w:lang w:val="uk-UA"/>
          </w:rPr>
          <w:t>2996 м</w:t>
        </w:r>
      </w:smartTag>
      <w:r w:rsidRPr="00862278">
        <w:rPr>
          <w:rFonts w:ascii="Arial" w:hAnsi="Arial" w:cs="Arial"/>
          <w:b/>
          <w:sz w:val="20"/>
          <w:szCs w:val="20"/>
          <w:lang w:val="uk-UA"/>
        </w:rPr>
        <w:t>,  яка розміщена за адресою: Київська обл., Рокитнянський р-н, с. Ольшаниця, від залізничної станції Ольшаниця до території каменедробильного заводу в с. Бушеве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 Платник: </w:t>
      </w:r>
      <w:r w:rsidRPr="00862278">
        <w:rPr>
          <w:rFonts w:ascii="Arial" w:hAnsi="Arial" w:cs="Arial"/>
          <w:sz w:val="20"/>
          <w:szCs w:val="20"/>
          <w:lang w:val="uk-UA"/>
        </w:rPr>
        <w:t>ТОВ «КСЛ»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4</w:t>
      </w:r>
      <w:r w:rsidRPr="00C7686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  <w:lang w:val="uk-UA"/>
        </w:rPr>
        <w:t>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862278">
        <w:rPr>
          <w:rFonts w:ascii="Arial" w:hAnsi="Arial" w:cs="Arial"/>
          <w:sz w:val="20"/>
          <w:szCs w:val="20"/>
          <w:lang w:val="uk-UA"/>
        </w:rPr>
        <w:t>споруди, зокрема аналогічного функціонального призначення.</w:t>
      </w:r>
    </w:p>
    <w:p w:rsidR="00304AD5" w:rsidRDefault="00304AD5" w:rsidP="00E75FC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D97750">
        <w:rPr>
          <w:rFonts w:ascii="Arial" w:hAnsi="Arial" w:cs="Arial"/>
          <w:b/>
          <w:sz w:val="20"/>
          <w:szCs w:val="20"/>
          <w:lang w:val="uk-UA"/>
        </w:rPr>
        <w:t xml:space="preserve">Асфальтно-бетонований майданчик, інв. № 000000000001998, площею </w:t>
      </w:r>
      <w:smartTag w:uri="urn:schemas-microsoft-com:office:smarttags" w:element="metricconverter">
        <w:smartTagPr>
          <w:attr w:name="ProductID" w:val="140,0 кв. м"/>
        </w:smartTagPr>
        <w:r w:rsidRPr="00D97750">
          <w:rPr>
            <w:rFonts w:ascii="Arial" w:hAnsi="Arial" w:cs="Arial"/>
            <w:b/>
            <w:sz w:val="20"/>
            <w:szCs w:val="20"/>
            <w:lang w:val="uk-UA"/>
          </w:rPr>
          <w:t>140,0 кв. м</w:t>
        </w:r>
      </w:smartTag>
      <w:r w:rsidRPr="00D97750">
        <w:rPr>
          <w:rFonts w:ascii="Arial" w:hAnsi="Arial" w:cs="Arial"/>
          <w:b/>
          <w:sz w:val="20"/>
          <w:szCs w:val="20"/>
          <w:lang w:val="uk-UA"/>
        </w:rPr>
        <w:t>, який розташований на території КПП «Дитятки» за адресою: Київська обл., Іванківський р-н, зона відчуження та зона безумовного (обов’язкового) відселення, КПП «Дитятки», та обліковується на балансі ДП «Центр організаційно-технічного і інформаційного забезпечення управління зоною відчуження»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 Платник: </w:t>
      </w:r>
      <w:r w:rsidRPr="00D97750">
        <w:rPr>
          <w:rFonts w:ascii="Arial" w:hAnsi="Arial" w:cs="Arial"/>
          <w:sz w:val="20"/>
          <w:szCs w:val="20"/>
          <w:lang w:val="uk-UA"/>
        </w:rPr>
        <w:t>ТОВ «ЧОРНОБИЛЬ ЕКСКЛЮЗИВ ТУРС»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C76861">
        <w:rPr>
          <w:rFonts w:ascii="Arial" w:hAnsi="Arial" w:cs="Arial"/>
          <w:sz w:val="20"/>
          <w:szCs w:val="20"/>
        </w:rPr>
        <w:t>336</w:t>
      </w:r>
      <w:r>
        <w:rPr>
          <w:rFonts w:ascii="Arial" w:hAnsi="Arial" w:cs="Arial"/>
          <w:sz w:val="20"/>
          <w:szCs w:val="20"/>
          <w:lang w:val="uk-UA"/>
        </w:rPr>
        <w:t>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AA1D89">
        <w:rPr>
          <w:rFonts w:ascii="Arial" w:hAnsi="Arial" w:cs="Arial"/>
          <w:sz w:val="20"/>
          <w:szCs w:val="20"/>
        </w:rPr>
        <w:t>майданчики, замощення аналогічного функціонального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304AD5" w:rsidRPr="004043BA" w:rsidRDefault="00304AD5" w:rsidP="004043B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3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Частина нежитлового приміщення</w:t>
      </w:r>
      <w:r w:rsidRPr="00B1097C">
        <w:rPr>
          <w:rFonts w:ascii="Arial" w:hAnsi="Arial" w:cs="Arial"/>
          <w:b/>
          <w:sz w:val="20"/>
          <w:szCs w:val="20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1,00 кв. м"/>
        </w:smartTagPr>
        <w:r>
          <w:rPr>
            <w:rFonts w:ascii="Arial" w:hAnsi="Arial" w:cs="Arial"/>
            <w:b/>
            <w:sz w:val="20"/>
            <w:szCs w:val="20"/>
            <w:lang w:val="uk-UA"/>
          </w:rPr>
          <w:t>1</w:t>
        </w:r>
        <w:r w:rsidRPr="00B1097C">
          <w:rPr>
            <w:rFonts w:ascii="Arial" w:hAnsi="Arial" w:cs="Arial"/>
            <w:b/>
            <w:sz w:val="20"/>
            <w:szCs w:val="20"/>
            <w:lang w:val="uk-UA"/>
          </w:rPr>
          <w:t>,</w:t>
        </w:r>
        <w:r>
          <w:rPr>
            <w:rFonts w:ascii="Arial" w:hAnsi="Arial" w:cs="Arial"/>
            <w:b/>
            <w:sz w:val="20"/>
            <w:szCs w:val="20"/>
            <w:lang w:val="uk-UA"/>
          </w:rPr>
          <w:t>0</w:t>
        </w:r>
        <w:r w:rsidRPr="00B1097C">
          <w:rPr>
            <w:rFonts w:ascii="Arial" w:hAnsi="Arial" w:cs="Arial"/>
            <w:b/>
            <w:sz w:val="20"/>
            <w:szCs w:val="20"/>
            <w:lang w:val="uk-UA"/>
          </w:rPr>
          <w:t>0 кв. м</w:t>
        </w:r>
      </w:smartTag>
      <w:r>
        <w:rPr>
          <w:rFonts w:ascii="Arial" w:hAnsi="Arial" w:cs="Arial"/>
          <w:b/>
          <w:sz w:val="20"/>
          <w:szCs w:val="20"/>
          <w:lang w:val="uk-UA"/>
        </w:rPr>
        <w:t>, що</w:t>
      </w:r>
      <w:r w:rsidRPr="00B1097C">
        <w:rPr>
          <w:rFonts w:ascii="Arial" w:hAnsi="Arial" w:cs="Arial"/>
          <w:b/>
          <w:sz w:val="20"/>
          <w:szCs w:val="20"/>
          <w:lang w:val="uk-UA"/>
        </w:rPr>
        <w:t xml:space="preserve"> роз</w:t>
      </w:r>
      <w:r>
        <w:rPr>
          <w:rFonts w:ascii="Arial" w:hAnsi="Arial" w:cs="Arial"/>
          <w:b/>
          <w:sz w:val="20"/>
          <w:szCs w:val="20"/>
          <w:lang w:val="uk-UA"/>
        </w:rPr>
        <w:t xml:space="preserve">ташоване за адресою: Київська обл., </w:t>
      </w:r>
      <w:r w:rsidRPr="00B1097C">
        <w:rPr>
          <w:rFonts w:ascii="Arial" w:hAnsi="Arial" w:cs="Arial"/>
          <w:b/>
          <w:sz w:val="20"/>
          <w:szCs w:val="20"/>
          <w:lang w:val="uk-UA"/>
        </w:rPr>
        <w:t xml:space="preserve">м. </w:t>
      </w:r>
      <w:r>
        <w:rPr>
          <w:rFonts w:ascii="Arial" w:hAnsi="Arial" w:cs="Arial"/>
          <w:b/>
          <w:sz w:val="20"/>
          <w:szCs w:val="20"/>
          <w:lang w:val="uk-UA"/>
        </w:rPr>
        <w:t>Переяслав</w:t>
      </w:r>
      <w:r w:rsidRPr="00B1097C">
        <w:rPr>
          <w:rFonts w:ascii="Arial" w:hAnsi="Arial" w:cs="Arial"/>
          <w:b/>
          <w:sz w:val="20"/>
          <w:szCs w:val="20"/>
          <w:lang w:val="uk-UA"/>
        </w:rPr>
        <w:t xml:space="preserve">, вул. </w:t>
      </w:r>
      <w:r>
        <w:rPr>
          <w:rFonts w:ascii="Arial" w:hAnsi="Arial" w:cs="Arial"/>
          <w:b/>
          <w:sz w:val="20"/>
          <w:szCs w:val="20"/>
          <w:lang w:val="uk-UA"/>
        </w:rPr>
        <w:t>Сухомлинського, 30</w:t>
      </w:r>
      <w:r w:rsidRPr="00B1097C">
        <w:rPr>
          <w:rFonts w:ascii="Arial" w:hAnsi="Arial" w:cs="Arial"/>
          <w:b/>
          <w:sz w:val="20"/>
          <w:szCs w:val="20"/>
          <w:lang w:val="uk-UA"/>
        </w:rPr>
        <w:t xml:space="preserve"> та перебуває на балансі </w:t>
      </w:r>
      <w:r>
        <w:rPr>
          <w:rFonts w:ascii="Arial" w:hAnsi="Arial" w:cs="Arial"/>
          <w:b/>
          <w:sz w:val="20"/>
          <w:szCs w:val="20"/>
          <w:lang w:val="uk-UA"/>
        </w:rPr>
        <w:t>ДВНЗ «Переяслав-Хмельницького державного педагогічного університету імені Г.Сковороди»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вартості об’єкта з </w:t>
      </w:r>
      <w:r w:rsidRPr="00611046">
        <w:rPr>
          <w:rFonts w:ascii="Arial" w:hAnsi="Arial" w:cs="Arial"/>
          <w:sz w:val="20"/>
          <w:szCs w:val="20"/>
          <w:lang w:val="uk-UA"/>
        </w:rPr>
        <w:t>метою продовження терміну дії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30.11.2019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Замовник: Регіональне відділення Фонду державного майна України по Київській, Черкаській та Чернігівській областях.  Платник: </w:t>
      </w:r>
      <w:r>
        <w:rPr>
          <w:rFonts w:ascii="Arial" w:hAnsi="Arial" w:cs="Arial"/>
          <w:sz w:val="20"/>
          <w:szCs w:val="20"/>
          <w:lang w:val="uk-UA"/>
        </w:rPr>
        <w:t>АТ «Ощадбанк»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приміщення, частини  будівель для розміщення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</w:t>
      </w:r>
      <w:r w:rsidRPr="004043BA">
        <w:rPr>
          <w:rFonts w:ascii="Arial" w:hAnsi="Arial" w:cs="Arial"/>
          <w:sz w:val="20"/>
          <w:szCs w:val="20"/>
          <w:lang w:val="uk-UA"/>
        </w:rPr>
        <w:t>банкоматів, автоматів з розливів напоїв, інших автоматів.</w:t>
      </w:r>
    </w:p>
    <w:p w:rsidR="00304AD5" w:rsidRPr="004A05C4" w:rsidRDefault="00304AD5" w:rsidP="004A05C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 xml:space="preserve">Частина приміщення №1 площею 170,0 кв.м. в будівлі Док-ангара «Східний» (інв.№47504), що знаходиться за адресою: Київська обл., м. Бориспіль, Міжнародний аеропорт «Бориспіль» </w:t>
      </w:r>
      <w:r w:rsidRPr="00B1097C">
        <w:rPr>
          <w:rFonts w:ascii="Arial" w:hAnsi="Arial" w:cs="Arial"/>
          <w:b/>
          <w:sz w:val="20"/>
          <w:szCs w:val="20"/>
          <w:lang w:val="uk-UA"/>
        </w:rPr>
        <w:t>та перебуває на балансі ДП 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.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вартості об’єкта з </w:t>
      </w:r>
      <w:r w:rsidRPr="00611046">
        <w:rPr>
          <w:rFonts w:ascii="Arial" w:hAnsi="Arial" w:cs="Arial"/>
          <w:sz w:val="20"/>
          <w:szCs w:val="20"/>
          <w:lang w:val="uk-UA"/>
        </w:rPr>
        <w:t>метою продовження терміну дії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31.12.2019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>
        <w:rPr>
          <w:rFonts w:ascii="Arial" w:hAnsi="Arial" w:cs="Arial"/>
          <w:sz w:val="20"/>
          <w:szCs w:val="20"/>
          <w:lang w:val="uk-UA"/>
        </w:rPr>
        <w:t>ПАТ «Авіакомпанія «МАУ»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2800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адміністративного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304AD5" w:rsidRPr="00E75FCD" w:rsidRDefault="00304AD5" w:rsidP="005A4E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5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C76861">
        <w:rPr>
          <w:rFonts w:ascii="Arial" w:hAnsi="Arial" w:cs="Arial"/>
          <w:b/>
          <w:sz w:val="20"/>
          <w:szCs w:val="20"/>
          <w:lang w:val="uk-UA"/>
        </w:rPr>
        <w:t xml:space="preserve">Одноповерхова нежитлова будівля загальною площею </w:t>
      </w:r>
      <w:smartTag w:uri="urn:schemas-microsoft-com:office:smarttags" w:element="metricconverter">
        <w:smartTagPr>
          <w:attr w:name="ProductID" w:val="118,60 кв. м"/>
        </w:smartTagPr>
        <w:r w:rsidRPr="00C76861">
          <w:rPr>
            <w:rFonts w:ascii="Arial" w:hAnsi="Arial" w:cs="Arial"/>
            <w:b/>
            <w:sz w:val="20"/>
            <w:szCs w:val="20"/>
            <w:lang w:val="uk-UA"/>
          </w:rPr>
          <w:t>118,60 кв. м</w:t>
        </w:r>
      </w:smartTag>
      <w:r w:rsidRPr="00C76861">
        <w:rPr>
          <w:rFonts w:ascii="Arial" w:hAnsi="Arial" w:cs="Arial"/>
          <w:b/>
          <w:sz w:val="20"/>
          <w:szCs w:val="20"/>
          <w:lang w:val="uk-UA"/>
        </w:rPr>
        <w:t>, розташована за адресою: Київська обл., смт Ставище, вул. Паркова, 10/1 та перебуває на балансі Ставищенської районної державної адміністрації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 Платник: </w:t>
      </w:r>
      <w:r w:rsidRPr="00F87F58">
        <w:rPr>
          <w:rFonts w:ascii="Arial" w:hAnsi="Arial" w:cs="Arial"/>
          <w:sz w:val="20"/>
          <w:szCs w:val="20"/>
          <w:lang w:val="uk-UA"/>
        </w:rPr>
        <w:t>Релігійна громада Римсько-Католицької парафії Пресвятої Трійці у смт Ставище Київської області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E16C0F">
        <w:rPr>
          <w:rFonts w:ascii="Arial" w:hAnsi="Arial" w:cs="Arial"/>
          <w:sz w:val="20"/>
          <w:szCs w:val="20"/>
          <w:lang w:val="uk-UA"/>
        </w:rPr>
        <w:t>48</w:t>
      </w:r>
      <w:r>
        <w:rPr>
          <w:rFonts w:ascii="Arial" w:hAnsi="Arial" w:cs="Arial"/>
          <w:sz w:val="20"/>
          <w:szCs w:val="20"/>
          <w:lang w:val="uk-UA"/>
        </w:rPr>
        <w:t>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окремі будівлі, зокрема порівняної площі.</w:t>
      </w:r>
    </w:p>
    <w:p w:rsidR="00304AD5" w:rsidRPr="00E75FCD" w:rsidRDefault="00304AD5" w:rsidP="005A4E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6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21767B">
        <w:rPr>
          <w:rFonts w:ascii="Arial" w:hAnsi="Arial" w:cs="Arial"/>
          <w:b/>
          <w:sz w:val="20"/>
          <w:szCs w:val="20"/>
          <w:lang w:val="uk-UA"/>
        </w:rPr>
        <w:t xml:space="preserve">Частина нежитлового приміщення </w:t>
      </w:r>
      <w:r>
        <w:rPr>
          <w:rFonts w:ascii="Arial" w:hAnsi="Arial" w:cs="Arial"/>
          <w:b/>
          <w:sz w:val="20"/>
          <w:szCs w:val="20"/>
          <w:lang w:val="uk-UA"/>
        </w:rPr>
        <w:t xml:space="preserve">будівлі виробничого корпусу № 3 </w:t>
      </w:r>
      <w:r w:rsidRPr="0021767B">
        <w:rPr>
          <w:rFonts w:ascii="Arial" w:hAnsi="Arial" w:cs="Arial"/>
          <w:b/>
          <w:sz w:val="20"/>
          <w:szCs w:val="20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402,50 кв. м"/>
        </w:smartTagPr>
        <w:smartTag w:uri="urn:schemas-microsoft-com:office:smarttags" w:element="metricconverter">
          <w:smartTagPr>
            <w:attr w:name="ProductID" w:val="402,50 кв. м"/>
          </w:smartTagPr>
          <w:r w:rsidRPr="0021767B">
            <w:rPr>
              <w:rFonts w:ascii="Arial" w:hAnsi="Arial" w:cs="Arial"/>
              <w:b/>
              <w:sz w:val="20"/>
              <w:szCs w:val="20"/>
              <w:lang w:val="uk-UA"/>
            </w:rPr>
            <w:t>402,50 кв. м</w:t>
          </w:r>
        </w:smartTag>
        <w:r>
          <w:rPr>
            <w:rFonts w:ascii="Arial" w:hAnsi="Arial" w:cs="Arial"/>
            <w:b/>
            <w:sz w:val="20"/>
            <w:szCs w:val="20"/>
            <w:lang w:val="uk-UA"/>
          </w:rPr>
          <w:t>.</w:t>
        </w:r>
      </w:smartTag>
      <w:r w:rsidRPr="0021767B">
        <w:rPr>
          <w:rFonts w:ascii="Arial" w:hAnsi="Arial" w:cs="Arial"/>
          <w:b/>
          <w:sz w:val="20"/>
          <w:szCs w:val="20"/>
          <w:lang w:val="uk-UA"/>
        </w:rPr>
        <w:t>, яка розташована за адресою: Київська обл.</w:t>
      </w:r>
      <w:r>
        <w:rPr>
          <w:rFonts w:ascii="Arial" w:hAnsi="Arial" w:cs="Arial"/>
          <w:b/>
          <w:sz w:val="20"/>
          <w:szCs w:val="20"/>
          <w:lang w:val="uk-UA"/>
        </w:rPr>
        <w:t>, м. Бровари, вул. О. Білана, 1</w:t>
      </w:r>
      <w:r w:rsidRPr="0021767B">
        <w:rPr>
          <w:rFonts w:ascii="Arial" w:hAnsi="Arial" w:cs="Arial"/>
          <w:b/>
          <w:sz w:val="20"/>
          <w:szCs w:val="20"/>
          <w:lang w:val="uk-UA"/>
        </w:rPr>
        <w:t xml:space="preserve"> та перебуває на балансі Пошуково-зйомочної експедиції № 60 КП «Кіровгеологія»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 Платник: </w:t>
      </w:r>
      <w:r w:rsidRPr="00EF07AB">
        <w:rPr>
          <w:rFonts w:ascii="Arial" w:hAnsi="Arial" w:cs="Arial"/>
          <w:sz w:val="20"/>
          <w:szCs w:val="20"/>
        </w:rPr>
        <w:t xml:space="preserve">    </w:t>
      </w:r>
      <w:r w:rsidRPr="00295BDD">
        <w:rPr>
          <w:rFonts w:ascii="Arial" w:hAnsi="Arial" w:cs="Arial"/>
          <w:sz w:val="20"/>
          <w:szCs w:val="20"/>
          <w:lang w:val="uk-UA"/>
        </w:rPr>
        <w:t>ФО-П Гресько Р. В.</w:t>
      </w:r>
      <w:r w:rsidRPr="002D352E">
        <w:rPr>
          <w:sz w:val="28"/>
          <w:szCs w:val="28"/>
          <w:lang w:val="uk-UA"/>
        </w:rPr>
        <w:t xml:space="preserve">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будівель</w:t>
      </w:r>
      <w:r>
        <w:rPr>
          <w:rFonts w:ascii="Arial" w:hAnsi="Arial" w:cs="Arial"/>
          <w:sz w:val="20"/>
          <w:szCs w:val="20"/>
          <w:lang w:val="uk-UA"/>
        </w:rPr>
        <w:t xml:space="preserve"> виробничого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304AD5" w:rsidRPr="00E75FCD" w:rsidRDefault="00304AD5" w:rsidP="005A4E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7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Складське приміщення</w:t>
      </w:r>
      <w:r w:rsidRPr="008024B2">
        <w:rPr>
          <w:rFonts w:ascii="Arial" w:hAnsi="Arial" w:cs="Arial"/>
          <w:b/>
          <w:sz w:val="20"/>
          <w:szCs w:val="20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540,0 кв. м"/>
        </w:smartTagPr>
        <w:smartTag w:uri="urn:schemas-microsoft-com:office:smarttags" w:element="metricconverter">
          <w:smartTagPr>
            <w:attr w:name="ProductID" w:val="540,0 кв. м"/>
          </w:smartTagPr>
          <w:r w:rsidRPr="008024B2">
            <w:rPr>
              <w:rFonts w:ascii="Arial" w:hAnsi="Arial" w:cs="Arial"/>
              <w:b/>
              <w:sz w:val="20"/>
              <w:szCs w:val="20"/>
              <w:lang w:val="uk-UA"/>
            </w:rPr>
            <w:t>540,0 кв. м</w:t>
          </w:r>
        </w:smartTag>
        <w:r>
          <w:rPr>
            <w:rFonts w:ascii="Arial" w:hAnsi="Arial" w:cs="Arial"/>
            <w:b/>
            <w:sz w:val="20"/>
            <w:szCs w:val="20"/>
            <w:lang w:val="uk-UA"/>
          </w:rPr>
          <w:t>.</w:t>
        </w:r>
      </w:smartTag>
      <w:r w:rsidRPr="008024B2">
        <w:rPr>
          <w:rFonts w:ascii="Arial" w:hAnsi="Arial" w:cs="Arial"/>
          <w:b/>
          <w:sz w:val="20"/>
          <w:szCs w:val="20"/>
          <w:lang w:val="uk-UA"/>
        </w:rPr>
        <w:t xml:space="preserve"> та офісне приміщення інв. № 01-024 площею </w:t>
      </w:r>
      <w:r>
        <w:rPr>
          <w:rFonts w:ascii="Arial" w:hAnsi="Arial" w:cs="Arial"/>
          <w:b/>
          <w:sz w:val="20"/>
          <w:szCs w:val="20"/>
          <w:lang w:val="uk-UA"/>
        </w:rPr>
        <w:t>33,7 кв.</w:t>
      </w:r>
      <w:r w:rsidRPr="008024B2">
        <w:rPr>
          <w:rFonts w:ascii="Arial" w:hAnsi="Arial" w:cs="Arial"/>
          <w:b/>
          <w:sz w:val="20"/>
          <w:szCs w:val="20"/>
          <w:lang w:val="uk-UA"/>
        </w:rPr>
        <w:t>м</w:t>
      </w:r>
      <w:r>
        <w:rPr>
          <w:rFonts w:ascii="Arial" w:hAnsi="Arial" w:cs="Arial"/>
          <w:b/>
          <w:sz w:val="20"/>
          <w:szCs w:val="20"/>
          <w:lang w:val="uk-UA"/>
        </w:rPr>
        <w:t>.</w:t>
      </w:r>
      <w:r w:rsidRPr="008024B2">
        <w:rPr>
          <w:rFonts w:ascii="Arial" w:hAnsi="Arial" w:cs="Arial"/>
          <w:b/>
          <w:sz w:val="20"/>
          <w:szCs w:val="20"/>
          <w:lang w:val="uk-UA"/>
        </w:rPr>
        <w:t>,</w:t>
      </w:r>
      <w:r>
        <w:rPr>
          <w:rFonts w:ascii="Arial" w:hAnsi="Arial" w:cs="Arial"/>
          <w:b/>
          <w:sz w:val="20"/>
          <w:szCs w:val="20"/>
          <w:lang w:val="uk-UA"/>
        </w:rPr>
        <w:t xml:space="preserve"> які</w:t>
      </w:r>
      <w:r w:rsidRPr="008024B2">
        <w:rPr>
          <w:rFonts w:ascii="Arial" w:hAnsi="Arial" w:cs="Arial"/>
          <w:b/>
          <w:sz w:val="20"/>
          <w:szCs w:val="20"/>
          <w:lang w:val="uk-UA"/>
        </w:rPr>
        <w:t xml:space="preserve"> розташовані за адресою: Київська обл., смт К</w:t>
      </w:r>
      <w:r>
        <w:rPr>
          <w:rFonts w:ascii="Arial" w:hAnsi="Arial" w:cs="Arial"/>
          <w:b/>
          <w:sz w:val="20"/>
          <w:szCs w:val="20"/>
          <w:lang w:val="uk-UA"/>
        </w:rPr>
        <w:t>оцюбинське, вул. Пономарьова, 2</w:t>
      </w:r>
      <w:r w:rsidRPr="008024B2">
        <w:rPr>
          <w:rFonts w:ascii="Arial" w:hAnsi="Arial" w:cs="Arial"/>
          <w:b/>
          <w:sz w:val="20"/>
          <w:szCs w:val="20"/>
          <w:lang w:val="uk-UA"/>
        </w:rPr>
        <w:t xml:space="preserve"> та перебувають на балансі державного господарського об'єднання «Консорціум «Військово-будівельна індустрія»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 Платник: </w:t>
      </w:r>
      <w:r w:rsidRPr="00A2151A">
        <w:rPr>
          <w:rFonts w:ascii="Arial" w:hAnsi="Arial" w:cs="Arial"/>
          <w:sz w:val="20"/>
          <w:szCs w:val="20"/>
          <w:lang w:val="uk-UA"/>
        </w:rPr>
        <w:t>ТОВ «Кострижівський комбінат будівельних матеріалів»</w:t>
      </w:r>
      <w:r>
        <w:rPr>
          <w:rFonts w:ascii="Arial" w:hAnsi="Arial" w:cs="Arial"/>
          <w:sz w:val="20"/>
          <w:szCs w:val="20"/>
          <w:lang w:val="uk-UA"/>
        </w:rPr>
        <w:t>.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8100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нерухомість комплексного використання (об’єкти, які поєднують два та більше видів функціонального призначення)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304AD5" w:rsidRPr="00074C34" w:rsidRDefault="00304AD5" w:rsidP="00074C3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8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AD6DF3">
        <w:rPr>
          <w:rFonts w:ascii="Arial" w:hAnsi="Arial" w:cs="Arial"/>
          <w:b/>
          <w:sz w:val="20"/>
          <w:szCs w:val="20"/>
          <w:lang w:val="uk-UA"/>
        </w:rPr>
        <w:t>Нежитлові прим</w:t>
      </w:r>
      <w:r>
        <w:rPr>
          <w:rFonts w:ascii="Arial" w:hAnsi="Arial" w:cs="Arial"/>
          <w:b/>
          <w:sz w:val="20"/>
          <w:szCs w:val="20"/>
          <w:lang w:val="uk-UA"/>
        </w:rPr>
        <w:t>іщення ветеринарної лабораторії</w:t>
      </w:r>
      <w:r w:rsidRPr="00AD6DF3">
        <w:rPr>
          <w:rFonts w:ascii="Arial" w:hAnsi="Arial" w:cs="Arial"/>
          <w:b/>
          <w:sz w:val="20"/>
          <w:szCs w:val="20"/>
          <w:lang w:val="uk-UA"/>
        </w:rPr>
        <w:t xml:space="preserve"> загальною площею </w:t>
      </w:r>
      <w:smartTag w:uri="urn:schemas-microsoft-com:office:smarttags" w:element="metricconverter">
        <w:smartTagPr>
          <w:attr w:name="ProductID" w:val="144,80 кв. м"/>
        </w:smartTagPr>
        <w:r w:rsidRPr="00AD6DF3">
          <w:rPr>
            <w:rFonts w:ascii="Arial" w:hAnsi="Arial" w:cs="Arial"/>
            <w:b/>
            <w:sz w:val="20"/>
            <w:szCs w:val="20"/>
            <w:lang w:val="uk-UA"/>
          </w:rPr>
          <w:t>144,80 кв. м</w:t>
        </w:r>
      </w:smartTag>
      <w:r w:rsidRPr="00AD6DF3">
        <w:rPr>
          <w:rFonts w:ascii="Arial" w:hAnsi="Arial" w:cs="Arial"/>
          <w:b/>
          <w:sz w:val="20"/>
          <w:szCs w:val="20"/>
          <w:lang w:val="uk-UA"/>
        </w:rPr>
        <w:t>, розташовані за адресою: Київська обл., м</w:t>
      </w:r>
      <w:r>
        <w:rPr>
          <w:rFonts w:ascii="Arial" w:hAnsi="Arial" w:cs="Arial"/>
          <w:b/>
          <w:sz w:val="20"/>
          <w:szCs w:val="20"/>
          <w:lang w:val="uk-UA"/>
        </w:rPr>
        <w:t>. Бровари, вул. Т. Шевченка, 4а  та обліковую</w:t>
      </w:r>
      <w:r w:rsidRPr="00AD6DF3">
        <w:rPr>
          <w:rFonts w:ascii="Arial" w:hAnsi="Arial" w:cs="Arial"/>
          <w:b/>
          <w:sz w:val="20"/>
          <w:szCs w:val="20"/>
          <w:lang w:val="uk-UA"/>
        </w:rPr>
        <w:t>ться на балансі Броварської районної державної лікарні ветеринарної медицини.</w:t>
      </w:r>
      <w:r>
        <w:rPr>
          <w:b/>
          <w:sz w:val="28"/>
          <w:szCs w:val="28"/>
          <w:lang w:val="uk-UA"/>
        </w:rPr>
        <w:t xml:space="preserve">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 Платник: </w:t>
      </w:r>
      <w:r w:rsidRPr="001166C4">
        <w:rPr>
          <w:rFonts w:ascii="Arial" w:hAnsi="Arial" w:cs="Arial"/>
          <w:sz w:val="20"/>
          <w:szCs w:val="20"/>
          <w:lang w:val="uk-UA"/>
        </w:rPr>
        <w:t>Благодійний фонд «Міжнародний фонд захисту тварин «Право на життя»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2A6DFD">
        <w:rPr>
          <w:rFonts w:ascii="Arial" w:hAnsi="Arial" w:cs="Arial"/>
          <w:sz w:val="20"/>
          <w:szCs w:val="20"/>
          <w:lang w:val="uk-UA"/>
        </w:rPr>
        <w:t>приміщення, частини будівель адміністративного, торгівельного призначення.</w:t>
      </w:r>
    </w:p>
    <w:p w:rsidR="00304AD5" w:rsidRDefault="00304AD5" w:rsidP="00E75FC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304AD5" w:rsidRPr="00FA0B40" w:rsidRDefault="00304AD5" w:rsidP="00E75FCD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Учасникам конкурсу необхідно подати до Регіонального відділення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 по Київській, Черкаській та Чернігівській областях конкурсну документацію,</w:t>
      </w:r>
      <w:r w:rsidRPr="00FA0B40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від 16.01.2018  за № 47, зареєстрованим в  Міністерстві юстиції України 20.02.2018 за № 198/31650 (далі – Положення) складається із:</w:t>
      </w:r>
    </w:p>
    <w:p w:rsidR="00304AD5" w:rsidRPr="00FA0B40" w:rsidRDefault="00304AD5" w:rsidP="00E75FC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304AD5" w:rsidRPr="00FA0B40" w:rsidRDefault="00304AD5" w:rsidP="00E75FCD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304AD5" w:rsidRPr="00FA0B40" w:rsidRDefault="00304AD5" w:rsidP="00E75FCD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304AD5" w:rsidRPr="00FA0B40" w:rsidRDefault="00304AD5" w:rsidP="00E75FCD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304AD5" w:rsidRPr="00FA0B40" w:rsidRDefault="00304AD5" w:rsidP="00E75FCD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-заява про участь у конкурсі з відбору суб’єктів оціночної діяльності за встановленою формою (</w:t>
      </w:r>
      <w:hyperlink r:id="rId6" w:anchor="n162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304AD5" w:rsidRPr="00FA0B40" w:rsidRDefault="00304AD5" w:rsidP="00E75FCD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304AD5" w:rsidRPr="00FA0B40" w:rsidRDefault="00304AD5" w:rsidP="00E75FCD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304AD5" w:rsidRPr="00FA0B40" w:rsidRDefault="00304AD5" w:rsidP="00E75FCD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304AD5" w:rsidRPr="00FA0B40" w:rsidRDefault="00304AD5" w:rsidP="00E75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FA0B40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</w:t>
      </w:r>
      <w:r w:rsidRPr="003208A9">
        <w:rPr>
          <w:rFonts w:ascii="Times New Roman" w:hAnsi="Times New Roman"/>
          <w:sz w:val="24"/>
          <w:szCs w:val="24"/>
          <w:lang w:val="uk-UA"/>
        </w:rPr>
        <w:t>Регіональне відділення 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304AD5" w:rsidRPr="00FA0B40" w:rsidRDefault="00304AD5" w:rsidP="00E75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>
        <w:rPr>
          <w:rFonts w:ascii="Times New Roman" w:hAnsi="Times New Roman"/>
          <w:sz w:val="24"/>
          <w:szCs w:val="24"/>
          <w:lang w:val="uk-UA"/>
        </w:rPr>
        <w:t>26.1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.2019р. за адресою: м. Київ, просп. Голосіївський, 50  (Регіональне відділення </w:t>
      </w:r>
      <w:r w:rsidRPr="003208A9">
        <w:rPr>
          <w:rFonts w:ascii="Times New Roman" w:hAnsi="Times New Roman"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областях) о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FA0B40">
        <w:rPr>
          <w:rFonts w:ascii="Times New Roman" w:hAnsi="Times New Roman"/>
          <w:sz w:val="24"/>
          <w:szCs w:val="24"/>
          <w:lang w:val="uk-UA"/>
        </w:rPr>
        <w:t>:00, кім. 606, телефон  для довідок 200-25-29.</w:t>
      </w:r>
    </w:p>
    <w:p w:rsidR="00304AD5" w:rsidRDefault="00304AD5" w:rsidP="00E75F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4AD5" w:rsidRPr="003537D7" w:rsidRDefault="00304AD5" w:rsidP="00E75F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4AD5" w:rsidRPr="00F66DEC" w:rsidRDefault="00304AD5" w:rsidP="00E75FCD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20"/>
          <w:szCs w:val="20"/>
          <w:lang w:val="uk-UA"/>
        </w:rPr>
      </w:pPr>
      <w:r w:rsidRPr="00F66DEC">
        <w:rPr>
          <w:rFonts w:ascii="Times New Roman" w:hAnsi="Times New Roman"/>
          <w:sz w:val="20"/>
          <w:szCs w:val="20"/>
          <w:lang w:val="uk-UA"/>
        </w:rPr>
        <w:sym w:font="Wingdings 2" w:char="F027"/>
      </w:r>
      <w:r w:rsidRPr="00F66DEC">
        <w:rPr>
          <w:rFonts w:ascii="Times New Roman" w:hAnsi="Times New Roman"/>
          <w:sz w:val="20"/>
          <w:szCs w:val="20"/>
          <w:lang w:val="uk-UA"/>
        </w:rPr>
        <w:t xml:space="preserve"> 200-25-29</w:t>
      </w:r>
    </w:p>
    <w:p w:rsidR="00304AD5" w:rsidRDefault="00304AD5" w:rsidP="00E75FCD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Катерина ШТЕПУРА</w:t>
      </w:r>
    </w:p>
    <w:p w:rsidR="00304AD5" w:rsidRDefault="00304AD5" w:rsidP="00074C34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24"/>
          <w:szCs w:val="24"/>
          <w:lang w:val="uk-UA"/>
        </w:rPr>
      </w:pPr>
      <w:r w:rsidRPr="00FF0FAF">
        <w:rPr>
          <w:rFonts w:ascii="Times New Roman" w:hAnsi="Times New Roman"/>
          <w:sz w:val="20"/>
          <w:szCs w:val="20"/>
          <w:lang w:val="uk-UA"/>
        </w:rPr>
        <w:t>Наталія СТЕПАНОВА</w:t>
      </w:r>
    </w:p>
    <w:sectPr w:rsidR="00304AD5" w:rsidSect="00D977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FCD"/>
    <w:rsid w:val="00043491"/>
    <w:rsid w:val="000639F7"/>
    <w:rsid w:val="00074C34"/>
    <w:rsid w:val="00074D31"/>
    <w:rsid w:val="00095F2A"/>
    <w:rsid w:val="000F5BB8"/>
    <w:rsid w:val="001166C4"/>
    <w:rsid w:val="001503A7"/>
    <w:rsid w:val="001963F4"/>
    <w:rsid w:val="001B2B66"/>
    <w:rsid w:val="001D0005"/>
    <w:rsid w:val="001E6E75"/>
    <w:rsid w:val="002100D3"/>
    <w:rsid w:val="0021767B"/>
    <w:rsid w:val="002206E9"/>
    <w:rsid w:val="00231EF8"/>
    <w:rsid w:val="002935FA"/>
    <w:rsid w:val="00295BDD"/>
    <w:rsid w:val="002A6DFD"/>
    <w:rsid w:val="002D352E"/>
    <w:rsid w:val="002E6C12"/>
    <w:rsid w:val="002F1481"/>
    <w:rsid w:val="002F312E"/>
    <w:rsid w:val="00304AD5"/>
    <w:rsid w:val="003208A9"/>
    <w:rsid w:val="003537D7"/>
    <w:rsid w:val="003753F2"/>
    <w:rsid w:val="003D0B3B"/>
    <w:rsid w:val="003E23AF"/>
    <w:rsid w:val="003F57FE"/>
    <w:rsid w:val="004043BA"/>
    <w:rsid w:val="0040658D"/>
    <w:rsid w:val="0040791B"/>
    <w:rsid w:val="00435412"/>
    <w:rsid w:val="0048368C"/>
    <w:rsid w:val="004A05C4"/>
    <w:rsid w:val="004C5416"/>
    <w:rsid w:val="00517E98"/>
    <w:rsid w:val="00534280"/>
    <w:rsid w:val="00540E6C"/>
    <w:rsid w:val="0056745D"/>
    <w:rsid w:val="005A4E7B"/>
    <w:rsid w:val="00611046"/>
    <w:rsid w:val="00697C99"/>
    <w:rsid w:val="006A42C3"/>
    <w:rsid w:val="0075128E"/>
    <w:rsid w:val="00773DAF"/>
    <w:rsid w:val="00784D24"/>
    <w:rsid w:val="008024B2"/>
    <w:rsid w:val="00862278"/>
    <w:rsid w:val="009315C8"/>
    <w:rsid w:val="00932FEF"/>
    <w:rsid w:val="00946EA6"/>
    <w:rsid w:val="009916AF"/>
    <w:rsid w:val="009E34DB"/>
    <w:rsid w:val="00A2151A"/>
    <w:rsid w:val="00AA1D89"/>
    <w:rsid w:val="00AD6DF3"/>
    <w:rsid w:val="00AF03EB"/>
    <w:rsid w:val="00B0000C"/>
    <w:rsid w:val="00B1097C"/>
    <w:rsid w:val="00B25170"/>
    <w:rsid w:val="00B97383"/>
    <w:rsid w:val="00BB326A"/>
    <w:rsid w:val="00BB7EB1"/>
    <w:rsid w:val="00BC78BC"/>
    <w:rsid w:val="00C76861"/>
    <w:rsid w:val="00CB68B7"/>
    <w:rsid w:val="00CC6948"/>
    <w:rsid w:val="00D04098"/>
    <w:rsid w:val="00D125D2"/>
    <w:rsid w:val="00D26205"/>
    <w:rsid w:val="00D64620"/>
    <w:rsid w:val="00D97750"/>
    <w:rsid w:val="00E16C0F"/>
    <w:rsid w:val="00E75FCD"/>
    <w:rsid w:val="00EF07AB"/>
    <w:rsid w:val="00F01858"/>
    <w:rsid w:val="00F03623"/>
    <w:rsid w:val="00F03A39"/>
    <w:rsid w:val="00F15305"/>
    <w:rsid w:val="00F45FCD"/>
    <w:rsid w:val="00F4725F"/>
    <w:rsid w:val="00F66DEC"/>
    <w:rsid w:val="00F74E89"/>
    <w:rsid w:val="00F87F58"/>
    <w:rsid w:val="00F94936"/>
    <w:rsid w:val="00FA0B40"/>
    <w:rsid w:val="00FF0FAF"/>
    <w:rsid w:val="00FF27A1"/>
    <w:rsid w:val="00FF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C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325</TotalTime>
  <Pages>2</Pages>
  <Words>1356</Words>
  <Characters>7735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50</cp:revision>
  <cp:lastPrinted>2019-12-04T06:09:00Z</cp:lastPrinted>
  <dcterms:created xsi:type="dcterms:W3CDTF">2019-10-28T12:33:00Z</dcterms:created>
  <dcterms:modified xsi:type="dcterms:W3CDTF">2019-12-05T12:44:00Z</dcterms:modified>
</cp:coreProperties>
</file>