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C9" w:rsidRPr="003537D7" w:rsidRDefault="00CF47C9" w:rsidP="0010002E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CF47C9" w:rsidRPr="003537D7" w:rsidRDefault="00CF47C9" w:rsidP="0010002E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CF47C9" w:rsidRDefault="00CF47C9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Нежитлове п</w:t>
      </w:r>
      <w:r>
        <w:rPr>
          <w:rFonts w:ascii="Arial" w:hAnsi="Arial" w:cs="Arial"/>
          <w:b/>
          <w:sz w:val="20"/>
          <w:szCs w:val="20"/>
          <w:lang w:val="uk-UA"/>
        </w:rPr>
        <w:t xml:space="preserve">риміщення, площею </w:t>
      </w:r>
      <w:smartTag w:uri="urn:schemas-microsoft-com:office:smarttags" w:element="metricconverter">
        <w:smartTagPr>
          <w:attr w:name="ProductID" w:val="16,4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16,4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обл., м. Українка, вул. Зв'язку, 1 та перебуває на балансі Київської міської дирекції ПАТ «Укрпошта»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0555B3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  <w:lang w:val="uk-UA"/>
        </w:rPr>
        <w:t>.0</w:t>
      </w:r>
      <w:r w:rsidRPr="00BE549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ФО-П Шиян В.В.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CF47C9" w:rsidRDefault="00CF47C9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Частина нежитлових п</w:t>
      </w:r>
      <w:r>
        <w:rPr>
          <w:rFonts w:ascii="Arial" w:hAnsi="Arial" w:cs="Arial"/>
          <w:b/>
          <w:sz w:val="20"/>
          <w:szCs w:val="20"/>
          <w:lang w:val="uk-UA"/>
        </w:rPr>
        <w:t xml:space="preserve">риміщень в будівлі ЦТЕ №2 (Техбудівля №2) площею </w:t>
      </w:r>
      <w:smartTag w:uri="urn:schemas-microsoft-com:office:smarttags" w:element="metricconverter">
        <w:smartTagPr>
          <w:attr w:name="ProductID" w:val="100,44 кв. м"/>
        </w:smartTagPr>
        <w:smartTag w:uri="urn:schemas-microsoft-com:office:smarttags" w:element="metricconverter">
          <w:smartTagPr>
            <w:attr w:name="ProductID" w:val="100,44 кв. м"/>
          </w:smartTagPr>
          <w:r>
            <w:rPr>
              <w:rFonts w:ascii="Arial" w:hAnsi="Arial" w:cs="Arial"/>
              <w:b/>
              <w:sz w:val="20"/>
              <w:szCs w:val="20"/>
              <w:lang w:val="uk-UA"/>
            </w:rPr>
            <w:t>100,44 кв. м</w:t>
          </w:r>
        </w:smartTag>
        <w:r>
          <w:rPr>
            <w:rFonts w:ascii="Arial" w:hAnsi="Arial" w:cs="Arial"/>
            <w:b/>
            <w:sz w:val="20"/>
            <w:szCs w:val="20"/>
            <w:lang w:val="uk-UA"/>
          </w:rPr>
          <w:t>,</w:t>
        </w:r>
      </w:smartTag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обл., м. Переяслав, вул. О.Богданова, 9 та перебуває на балансі КП «Укрспецзв'язок»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BE5496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  <w:lang w:val="uk-UA"/>
        </w:rPr>
        <w:t>.0</w:t>
      </w:r>
      <w:r w:rsidRPr="00BE549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>Платник:</w:t>
      </w:r>
      <w:r>
        <w:rPr>
          <w:rFonts w:ascii="Arial" w:hAnsi="Arial" w:cs="Arial"/>
          <w:sz w:val="20"/>
          <w:szCs w:val="20"/>
          <w:lang w:val="uk-UA"/>
        </w:rPr>
        <w:t xml:space="preserve"> ПАТ «Розрахунковий центр з обслуговування договорів на фінансових ринках».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CF47C9" w:rsidRPr="00BE5496" w:rsidRDefault="00CF47C9" w:rsidP="002464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47C9" w:rsidRPr="00C562E8" w:rsidRDefault="00CF47C9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F47C9" w:rsidRPr="00FA0B40" w:rsidRDefault="00CF47C9" w:rsidP="0010002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CF47C9" w:rsidRPr="00FA0B40" w:rsidRDefault="00CF47C9" w:rsidP="001000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CF47C9" w:rsidRPr="00FA0B40" w:rsidRDefault="00CF47C9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F47C9" w:rsidRPr="00FA0B40" w:rsidRDefault="00CF47C9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CF47C9" w:rsidRPr="00FA0B40" w:rsidRDefault="00CF47C9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CF47C9" w:rsidRPr="00FA0B40" w:rsidRDefault="00CF47C9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CF47C9" w:rsidRPr="00FA0B40" w:rsidRDefault="00CF47C9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F47C9" w:rsidRPr="00FA0B40" w:rsidRDefault="00CF47C9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CF47C9" w:rsidRPr="00FA0B40" w:rsidRDefault="00CF47C9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F47C9" w:rsidRPr="00FA0B40" w:rsidRDefault="00CF47C9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F47C9" w:rsidRDefault="00CF47C9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Pr="0024644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  <w:lang w:val="uk-UA"/>
        </w:rPr>
        <w:t>.03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CF47C9" w:rsidRPr="0010002E" w:rsidRDefault="00CF47C9" w:rsidP="001000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F47C9" w:rsidRDefault="00CF47C9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CF47C9" w:rsidRDefault="00CF47C9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CF47C9" w:rsidRDefault="00CF47C9" w:rsidP="0011440B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CF47C9" w:rsidRPr="00F66DEC" w:rsidRDefault="00CF47C9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CF47C9" w:rsidRPr="0024644F" w:rsidRDefault="00CF47C9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Ярослав Супрун</w:t>
      </w:r>
    </w:p>
    <w:sectPr w:rsidR="00CF47C9" w:rsidRPr="0024644F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2E"/>
    <w:rsid w:val="00021A6E"/>
    <w:rsid w:val="0003507B"/>
    <w:rsid w:val="000555B3"/>
    <w:rsid w:val="00067524"/>
    <w:rsid w:val="000902C5"/>
    <w:rsid w:val="0009180B"/>
    <w:rsid w:val="000A32E0"/>
    <w:rsid w:val="0010002E"/>
    <w:rsid w:val="0011440B"/>
    <w:rsid w:val="00193DC9"/>
    <w:rsid w:val="001A2F97"/>
    <w:rsid w:val="001C5E1F"/>
    <w:rsid w:val="001E6E75"/>
    <w:rsid w:val="00211A0A"/>
    <w:rsid w:val="00217A3F"/>
    <w:rsid w:val="00222EEB"/>
    <w:rsid w:val="002250A2"/>
    <w:rsid w:val="0024644F"/>
    <w:rsid w:val="00261A58"/>
    <w:rsid w:val="00261FE3"/>
    <w:rsid w:val="002628F2"/>
    <w:rsid w:val="00275218"/>
    <w:rsid w:val="002C75C0"/>
    <w:rsid w:val="002E09B7"/>
    <w:rsid w:val="00301E5B"/>
    <w:rsid w:val="003071A7"/>
    <w:rsid w:val="00311D93"/>
    <w:rsid w:val="003208A9"/>
    <w:rsid w:val="00332547"/>
    <w:rsid w:val="0033427D"/>
    <w:rsid w:val="003369D9"/>
    <w:rsid w:val="003448CA"/>
    <w:rsid w:val="003537D7"/>
    <w:rsid w:val="00373E4D"/>
    <w:rsid w:val="00381A6F"/>
    <w:rsid w:val="00392114"/>
    <w:rsid w:val="003D4DDD"/>
    <w:rsid w:val="00415907"/>
    <w:rsid w:val="00446C4B"/>
    <w:rsid w:val="00462521"/>
    <w:rsid w:val="004D53B5"/>
    <w:rsid w:val="005012BD"/>
    <w:rsid w:val="005172D2"/>
    <w:rsid w:val="0052474A"/>
    <w:rsid w:val="00562F2D"/>
    <w:rsid w:val="005647B9"/>
    <w:rsid w:val="00613D8F"/>
    <w:rsid w:val="006456C3"/>
    <w:rsid w:val="0069432F"/>
    <w:rsid w:val="00695BF0"/>
    <w:rsid w:val="006A19B3"/>
    <w:rsid w:val="006E368F"/>
    <w:rsid w:val="006E3AE7"/>
    <w:rsid w:val="00753C08"/>
    <w:rsid w:val="00755156"/>
    <w:rsid w:val="00796B51"/>
    <w:rsid w:val="007A55DA"/>
    <w:rsid w:val="007C75FD"/>
    <w:rsid w:val="0083584D"/>
    <w:rsid w:val="00845215"/>
    <w:rsid w:val="00862777"/>
    <w:rsid w:val="0088361E"/>
    <w:rsid w:val="008878B6"/>
    <w:rsid w:val="008A0E91"/>
    <w:rsid w:val="008A5AFB"/>
    <w:rsid w:val="008B70A0"/>
    <w:rsid w:val="008C1065"/>
    <w:rsid w:val="008C470D"/>
    <w:rsid w:val="008E0506"/>
    <w:rsid w:val="008E5BEB"/>
    <w:rsid w:val="00924A8C"/>
    <w:rsid w:val="00942809"/>
    <w:rsid w:val="009624FE"/>
    <w:rsid w:val="00962B9A"/>
    <w:rsid w:val="009634BC"/>
    <w:rsid w:val="00966EC5"/>
    <w:rsid w:val="009A2BC9"/>
    <w:rsid w:val="00A1409D"/>
    <w:rsid w:val="00A42305"/>
    <w:rsid w:val="00A51D22"/>
    <w:rsid w:val="00A8480B"/>
    <w:rsid w:val="00AC7617"/>
    <w:rsid w:val="00B022F2"/>
    <w:rsid w:val="00B27568"/>
    <w:rsid w:val="00B46139"/>
    <w:rsid w:val="00B75AC3"/>
    <w:rsid w:val="00B77DDC"/>
    <w:rsid w:val="00B82861"/>
    <w:rsid w:val="00B966E9"/>
    <w:rsid w:val="00BA255E"/>
    <w:rsid w:val="00BB0186"/>
    <w:rsid w:val="00BB326A"/>
    <w:rsid w:val="00BE5496"/>
    <w:rsid w:val="00BF78DE"/>
    <w:rsid w:val="00C14028"/>
    <w:rsid w:val="00C205CA"/>
    <w:rsid w:val="00C445A4"/>
    <w:rsid w:val="00C562E8"/>
    <w:rsid w:val="00C77350"/>
    <w:rsid w:val="00CF0E60"/>
    <w:rsid w:val="00CF47C9"/>
    <w:rsid w:val="00CF757C"/>
    <w:rsid w:val="00D32597"/>
    <w:rsid w:val="00D90688"/>
    <w:rsid w:val="00D9170D"/>
    <w:rsid w:val="00D94476"/>
    <w:rsid w:val="00D97750"/>
    <w:rsid w:val="00DA0979"/>
    <w:rsid w:val="00DB6400"/>
    <w:rsid w:val="00DC4585"/>
    <w:rsid w:val="00DD3EC4"/>
    <w:rsid w:val="00DF1391"/>
    <w:rsid w:val="00E13A13"/>
    <w:rsid w:val="00E47847"/>
    <w:rsid w:val="00E75FCD"/>
    <w:rsid w:val="00EA10A8"/>
    <w:rsid w:val="00EC7938"/>
    <w:rsid w:val="00ED6884"/>
    <w:rsid w:val="00EE68C1"/>
    <w:rsid w:val="00EF1CED"/>
    <w:rsid w:val="00EF1E15"/>
    <w:rsid w:val="00F01ADA"/>
    <w:rsid w:val="00F154FA"/>
    <w:rsid w:val="00F313CE"/>
    <w:rsid w:val="00F44081"/>
    <w:rsid w:val="00F64C65"/>
    <w:rsid w:val="00F66DEC"/>
    <w:rsid w:val="00F733BE"/>
    <w:rsid w:val="00FA0B40"/>
    <w:rsid w:val="00FB60BD"/>
    <w:rsid w:val="00FC1D39"/>
    <w:rsid w:val="00FE278D"/>
    <w:rsid w:val="00FF080F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2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660</Words>
  <Characters>3763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92</cp:revision>
  <cp:lastPrinted>2020-02-26T05:56:00Z</cp:lastPrinted>
  <dcterms:created xsi:type="dcterms:W3CDTF">2020-02-14T13:39:00Z</dcterms:created>
  <dcterms:modified xsi:type="dcterms:W3CDTF">2020-03-04T07:55:00Z</dcterms:modified>
</cp:coreProperties>
</file>