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theme/themeOverride1.xml" ContentType="application/vnd.openxmlformats-officedocument.themeOverride+xml"/>
  <Override PartName="/word/footer7.xml" ContentType="application/vnd.openxmlformats-officedocument.wordprocessingml.footer+xml"/>
  <Override PartName="/word/header1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charts/chart6.xml" ContentType="application/vnd.openxmlformats-officedocument.drawingml.chart+xml"/>
  <Override PartName="/word/charts/chart7.xml" ContentType="application/vnd.openxmlformats-officedocument.drawingml.chart+xml"/>
  <Override PartName="/word/header2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theme/themeOverride2.xml" ContentType="application/vnd.openxmlformats-officedocument.themeOverride+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24.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charts/chart8.xml" ContentType="application/vnd.openxmlformats-officedocument.drawingml.chart+xml"/>
  <Override PartName="/word/header22.xml" ContentType="application/vnd.openxmlformats-officedocument.wordprocessingml.head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B99" w:rsidRPr="00242020" w:rsidRDefault="00095093" w:rsidP="000A7B99">
      <w:pPr>
        <w:jc w:val="right"/>
        <w:rPr>
          <w:highlight w:val="red"/>
        </w:rPr>
      </w:pPr>
      <w:r>
        <w:rPr>
          <w:noProof/>
          <w:lang w:eastAsia="uk-UA"/>
        </w:rPr>
        <w:pict>
          <v:rect id="Прямоугольник 194" o:spid="_x0000_s1026" style="position:absolute;left:0;text-align:left;margin-left:-4.9pt;margin-top:-44pt;width:499.5pt;height:43.5pt;z-index:2516628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" fillcolor="white [3212]" stroked="f" strokeweight="1pt"/>
        </w:pict>
      </w:r>
      <w:r w:rsidRPr="00095093">
        <w:rPr>
          <w:noProof/>
          <w:highlight w:val="red"/>
          <w:lang w:eastAsia="uk-UA"/>
        </w:rPr>
        <w:pict>
          <v:rect id="Прямоугольник 200" o:spid="_x0000_s1053" style="position:absolute;left:0;text-align:left;margin-left:0;margin-top:0;width:58.5pt;height:756.85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" fillcolor="blue" stroked="f" strokecolor="#339" strokeweight="6pt">
            <v:fill color2="yellow" rotate="t" angle="90" focus="100%" type="gradient"/>
          </v:rect>
        </w:pict>
      </w:r>
    </w:p>
    <w:p w:rsidR="000A7B99" w:rsidRPr="00242020" w:rsidRDefault="000A7B99" w:rsidP="000A7B99">
      <w:pPr>
        <w:ind w:left="1134" w:right="-83" w:firstLine="0"/>
        <w:jc w:val="center"/>
      </w:pPr>
      <w:r w:rsidRPr="00242020">
        <w:rPr>
          <w:noProof/>
          <w:lang w:eastAsia="uk-UA"/>
        </w:rPr>
        <w:drawing>
          <wp:inline distT="0" distB="0" distL="0" distR="0">
            <wp:extent cx="571500" cy="800100"/>
            <wp:effectExtent l="0" t="0" r="0" b="0"/>
            <wp:docPr id="25" name="Рисунок 25" descr="330px-Lesser_Coat_of_Arms_of_Ukraine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0px-Lesser_Coat_of_Arms_of_Ukraine_svg"/>
                    <pic:cNvPicPr>
                      <a:picLocks noChangeAspect="1" noChangeArrowheads="1"/>
                    </pic:cNvPicPr>
                  </pic:nvPicPr>
                  <pic:blipFill>
                    <a:blip r:embed="rId8" cstate="print">
                      <a:lum bright="-1600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88199A" w:rsidRPr="00242020" w:rsidRDefault="0088199A"/>
    <w:p w:rsidR="00D226C3" w:rsidRPr="00242020" w:rsidRDefault="00095093" w:rsidP="000A7B99">
      <w:pPr>
        <w:ind w:firstLine="1134"/>
      </w:pPr>
      <w:r w:rsidRPr="00095093">
        <w:rPr>
          <w:noProof/>
          <w:color w:val="333399"/>
          <w:sz w:val="40"/>
          <w:szCs w:val="40"/>
          <w:lang w:eastAsia="uk-UA"/>
        </w:rPr>
      </w:r>
      <w:r w:rsidR="004F12E3" w:rsidRPr="00095093">
        <w:rPr>
          <w:noProof/>
          <w:color w:val="333399"/>
          <w:sz w:val="40"/>
          <w:szCs w:val="40"/>
          <w:lang w:eastAsia="uk-UA"/>
        </w:rPr>
        <w:pict>
          <v:shapetype id="_x0000_t202" coordsize="21600,21600" o:spt="202" path="m,l,21600r21600,l21600,xe">
            <v:stroke joinstyle="miter"/>
            <v:path gradientshapeok="t" o:connecttype="rect"/>
          </v:shapetype>
          <v:shape id="Надпись 201" o:spid="_x0000_s1074" type="#_x0000_t202" style="width:422.25pt;height:27pt;visibility:visible;mso-position-horizontal-relative:char;mso-position-vertical-relative:line" filled="f" stroked="f">
            <v:stroke joinstyle="round"/>
            <o:lock v:ext="edit" shapetype="t"/>
            <v:textbox style="mso-fit-shape-to-text:t">
              <w:txbxContent>
                <w:p w:rsidR="00DF1F08" w:rsidRDefault="00DF1F08" w:rsidP="000A7B99">
                  <w:pPr>
                    <w:pStyle w:val="ad"/>
                    <w:spacing w:before="0" w:beforeAutospacing="0" w:after="0" w:afterAutospacing="0"/>
                    <w:jc w:val="center"/>
                  </w:pPr>
                  <w:r>
                    <w:rPr>
                      <w:shadow/>
                      <w:color w:val="336699"/>
                      <w:sz w:val="48"/>
                      <w:szCs w:val="48"/>
                    </w:rPr>
                    <w:t>Фонд державного майна України</w:t>
                  </w:r>
                </w:p>
              </w:txbxContent>
            </v:textbox>
            <w10:wrap type="none"/>
            <w10:anchorlock/>
          </v:shape>
        </w:pict>
      </w:r>
    </w:p>
    <w:p w:rsidR="00D226C3" w:rsidRPr="00242020" w:rsidRDefault="002D0EA6">
      <w:r>
        <w:rPr>
          <w:noProof/>
          <w:lang w:eastAsia="uk-UA"/>
        </w:rPr>
        <w:drawing>
          <wp:anchor distT="0" distB="0" distL="114300" distR="114300" simplePos="0" relativeHeight="251687424" behindDoc="1" locked="0" layoutInCell="1" allowOverlap="1">
            <wp:simplePos x="0" y="0"/>
            <wp:positionH relativeFrom="margin">
              <wp:posOffset>2995295</wp:posOffset>
            </wp:positionH>
            <wp:positionV relativeFrom="paragraph">
              <wp:posOffset>162560</wp:posOffset>
            </wp:positionV>
            <wp:extent cx="942975" cy="1247775"/>
            <wp:effectExtent l="0" t="0" r="0" b="0"/>
            <wp:wrapNone/>
            <wp:docPr id="3" name="Рисунок 1" descr="7"/>
            <wp:cNvGraphicFramePr/>
            <a:graphic xmlns:a="http://schemas.openxmlformats.org/drawingml/2006/main">
              <a:graphicData uri="http://schemas.openxmlformats.org/drawingml/2006/picture">
                <pic:pic xmlns:pic="http://schemas.openxmlformats.org/drawingml/2006/picture">
                  <pic:nvPicPr>
                    <pic:cNvPr id="16387" name="Picture 3" descr="7"/>
                    <pic:cNvPicPr>
                      <a:picLocks noChangeAspect="1" noChangeArrowheads="1"/>
                    </pic:cNvPicPr>
                  </pic:nvPicPr>
                  <pic:blipFill>
                    <a:blip r:embed="rId9" cstate="print">
                      <a:extLst>
                        <a:ext uri="{28A0092B-C50C-407E-A947-70E740481C1C}">
                          <a14:useLocalDpi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0"/>
                        </a:ext>
                      </a:extLst>
                    </a:blip>
                    <a:srcRect r="63158"/>
                    <a:stretch>
                      <a:fillRect/>
                    </a:stretch>
                  </pic:blipFill>
                  <pic:spPr bwMode="auto">
                    <a:xfrm>
                      <a:off x="0" y="0"/>
                      <a:ext cx="942975" cy="1247775"/>
                    </a:xfrm>
                    <a:prstGeom prst="rect">
                      <a:avLst/>
                    </a:prstGeom>
                    <a:noFill/>
                    <a:ln>
                      <a:noFill/>
                    </a:ln>
                    <a:extLst>
                      <a:ext uri="{909E8E84-426E-40DD-AFC4-6F175D3DCCD1}">
                        <a14:hiddenFill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anchor>
        </w:drawing>
      </w:r>
    </w:p>
    <w:p w:rsidR="00D226C3" w:rsidRPr="00242020" w:rsidRDefault="00D226C3"/>
    <w:p w:rsidR="00D226C3" w:rsidRPr="00242020" w:rsidRDefault="00D226C3"/>
    <w:p w:rsidR="00D226C3" w:rsidRPr="00242020" w:rsidRDefault="00D226C3"/>
    <w:p w:rsidR="00D226C3" w:rsidRPr="00242020" w:rsidRDefault="00D226C3"/>
    <w:p w:rsidR="00D226C3" w:rsidRPr="00242020" w:rsidRDefault="00D226C3"/>
    <w:p w:rsidR="00D226C3" w:rsidRPr="00242020" w:rsidRDefault="00D226C3"/>
    <w:p w:rsidR="00D226C3" w:rsidRPr="00242020" w:rsidRDefault="00D226C3"/>
    <w:p w:rsidR="00D226C3" w:rsidRPr="00242020" w:rsidRDefault="00D226C3"/>
    <w:p w:rsidR="00D226C3" w:rsidRPr="00242020" w:rsidRDefault="00D226C3"/>
    <w:p w:rsidR="00D226C3" w:rsidRPr="00242020" w:rsidRDefault="00D226C3"/>
    <w:p w:rsidR="00D226C3" w:rsidRPr="00242020" w:rsidRDefault="00095093" w:rsidP="000A7B99">
      <w:pPr>
        <w:ind w:left="1064" w:firstLine="0"/>
      </w:pPr>
      <w:r w:rsidRPr="00095093">
        <w:rPr>
          <w:noProof/>
          <w:color w:val="333399"/>
          <w:sz w:val="56"/>
          <w:szCs w:val="56"/>
          <w:lang w:eastAsia="uk-UA"/>
        </w:rPr>
      </w:r>
      <w:r w:rsidR="004F12E3" w:rsidRPr="00095093">
        <w:rPr>
          <w:noProof/>
          <w:color w:val="333399"/>
          <w:sz w:val="56"/>
          <w:szCs w:val="56"/>
          <w:lang w:eastAsia="uk-UA"/>
        </w:rPr>
        <w:pict>
          <v:shape id="Надпись 219" o:spid="_x0000_s1073" type="#_x0000_t202" style="width:436.5pt;height:190.5pt;visibility:visible;mso-position-horizontal-relative:char;mso-position-vertical-relative:line" filled="f" stroked="f">
            <v:stroke joinstyle="round"/>
            <o:lock v:ext="edit" shapetype="t"/>
            <v:textbox style="mso-fit-shape-to-text:t">
              <w:txbxContent>
                <w:p w:rsidR="00DF1F08" w:rsidRDefault="00DF1F08" w:rsidP="000A7B99">
                  <w:pPr>
                    <w:pStyle w:val="ad"/>
                    <w:spacing w:before="0" w:beforeAutospacing="0" w:after="0" w:afterAutospacing="0"/>
                    <w:jc w:val="center"/>
                  </w:pPr>
                  <w:r>
                    <w:rPr>
                      <w:shadow/>
                      <w:color w:val="336699"/>
                      <w:sz w:val="56"/>
                      <w:szCs w:val="56"/>
                    </w:rPr>
                    <w:t xml:space="preserve">Звіт про роботу </w:t>
                  </w:r>
                </w:p>
                <w:p w:rsidR="00DF1F08" w:rsidRDefault="00DF1F08" w:rsidP="000A7B99">
                  <w:pPr>
                    <w:pStyle w:val="ad"/>
                    <w:spacing w:before="0" w:beforeAutospacing="0" w:after="0" w:afterAutospacing="0"/>
                    <w:jc w:val="center"/>
                  </w:pPr>
                  <w:r>
                    <w:rPr>
                      <w:shadow/>
                      <w:color w:val="336699"/>
                      <w:sz w:val="56"/>
                      <w:szCs w:val="56"/>
                    </w:rPr>
                    <w:t>Фонду державного майна України,</w:t>
                  </w:r>
                </w:p>
                <w:p w:rsidR="00DF1F08" w:rsidRDefault="00DF1F08" w:rsidP="000A7B99">
                  <w:pPr>
                    <w:pStyle w:val="ad"/>
                    <w:spacing w:before="0" w:beforeAutospacing="0" w:after="0" w:afterAutospacing="0"/>
                    <w:jc w:val="center"/>
                  </w:pPr>
                  <w:r>
                    <w:rPr>
                      <w:shadow/>
                      <w:color w:val="336699"/>
                      <w:sz w:val="56"/>
                      <w:szCs w:val="56"/>
                    </w:rPr>
                    <w:t xml:space="preserve">хід та результати виконання </w:t>
                  </w:r>
                </w:p>
                <w:p w:rsidR="00DF1F08" w:rsidRDefault="00DF1F08" w:rsidP="000A7B99">
                  <w:pPr>
                    <w:pStyle w:val="ad"/>
                    <w:spacing w:before="0" w:beforeAutospacing="0" w:after="0" w:afterAutospacing="0"/>
                    <w:jc w:val="center"/>
                  </w:pPr>
                  <w:r>
                    <w:rPr>
                      <w:shadow/>
                      <w:color w:val="336699"/>
                      <w:sz w:val="56"/>
                      <w:szCs w:val="56"/>
                    </w:rPr>
                    <w:t xml:space="preserve">Державної програми приватизації </w:t>
                  </w:r>
                </w:p>
                <w:p w:rsidR="00DF1F08" w:rsidRDefault="00DF1F08" w:rsidP="000A7B99">
                  <w:pPr>
                    <w:pStyle w:val="ad"/>
                    <w:spacing w:before="0" w:beforeAutospacing="0" w:after="0" w:afterAutospacing="0"/>
                    <w:jc w:val="center"/>
                  </w:pPr>
                  <w:r>
                    <w:rPr>
                      <w:shadow/>
                      <w:color w:val="336699"/>
                      <w:sz w:val="56"/>
                      <w:szCs w:val="56"/>
                    </w:rPr>
                    <w:t>у 201</w:t>
                  </w:r>
                  <w:r>
                    <w:rPr>
                      <w:shadow/>
                      <w:color w:val="336699"/>
                      <w:sz w:val="56"/>
                      <w:szCs w:val="56"/>
                      <w:lang w:val="en-US"/>
                    </w:rPr>
                    <w:t>6</w:t>
                  </w:r>
                  <w:r>
                    <w:rPr>
                      <w:shadow/>
                      <w:color w:val="336699"/>
                      <w:sz w:val="56"/>
                      <w:szCs w:val="56"/>
                    </w:rPr>
                    <w:t xml:space="preserve"> році</w:t>
                  </w:r>
                </w:p>
              </w:txbxContent>
            </v:textbox>
            <w10:wrap type="none"/>
            <w10:anchorlock/>
          </v:shape>
        </w:pict>
      </w:r>
    </w:p>
    <w:p w:rsidR="00D226C3" w:rsidRPr="00242020" w:rsidRDefault="00D226C3"/>
    <w:p w:rsidR="00D226C3" w:rsidRPr="00242020" w:rsidRDefault="00D226C3"/>
    <w:p w:rsidR="00D226C3" w:rsidRPr="00242020" w:rsidRDefault="00D226C3"/>
    <w:p w:rsidR="00D226C3" w:rsidRPr="00242020" w:rsidRDefault="00D226C3"/>
    <w:p w:rsidR="00D226C3" w:rsidRPr="00242020" w:rsidRDefault="00D226C3"/>
    <w:p w:rsidR="00D226C3" w:rsidRPr="00242020" w:rsidRDefault="00D226C3"/>
    <w:p w:rsidR="00D226C3" w:rsidRPr="00242020" w:rsidRDefault="00D226C3"/>
    <w:p w:rsidR="00D226C3" w:rsidRPr="00242020" w:rsidRDefault="00D226C3"/>
    <w:p w:rsidR="00D226C3" w:rsidRPr="00242020" w:rsidRDefault="00D226C3"/>
    <w:p w:rsidR="00D226C3" w:rsidRPr="00242020" w:rsidRDefault="00D226C3"/>
    <w:p w:rsidR="00D226C3" w:rsidRPr="00242020" w:rsidRDefault="00D226C3"/>
    <w:p w:rsidR="00D226C3" w:rsidRPr="00242020" w:rsidRDefault="00D226C3"/>
    <w:p w:rsidR="00D226C3" w:rsidRPr="00242020" w:rsidRDefault="00D226C3"/>
    <w:p w:rsidR="00D226C3" w:rsidRPr="00242020" w:rsidRDefault="00095093" w:rsidP="000A7B99">
      <w:pPr>
        <w:ind w:firstLine="851"/>
        <w:jc w:val="center"/>
      </w:pPr>
      <w:r>
        <w:rPr>
          <w:noProof/>
          <w:lang w:eastAsia="uk-UA"/>
        </w:rPr>
        <w:pict>
          <v:rect id="Прямоугольник 221" o:spid="_x0000_s1049" style="position:absolute;left:0;text-align:left;margin-left:0;margin-top:39.8pt;width:499.5pt;height:43.5pt;z-index:251655679;visibility:visible;mso-position-horizontal:left;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" fillcolor="white [3212]" stroked="f" strokeweight="1pt">
            <w10:wrap anchorx="margin"/>
          </v:rect>
        </w:pict>
      </w:r>
      <w:r w:rsidR="000A7B99" w:rsidRPr="00242020">
        <w:rPr>
          <w:color w:val="333399"/>
          <w:sz w:val="40"/>
          <w:szCs w:val="40"/>
        </w:rPr>
        <w:t>Київ-2017</w:t>
      </w:r>
    </w:p>
    <w:p w:rsidR="00D226C3" w:rsidRPr="00242020" w:rsidRDefault="00095093">
      <w:r>
        <w:rPr>
          <w:noProof/>
          <w:lang w:eastAsia="uk-UA"/>
        </w:rPr>
        <w:pict>
          <v:rect id="Прямоугольник 196" o:spid="_x0000_s1048" style="position:absolute;left:0;text-align:left;margin-left:-4.9pt;margin-top:20.9pt;width:499.5pt;height:43.5pt;z-index:251666944;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" fillcolor="white [3212]" stroked="f" strokeweight="1pt">
            <w10:wrap anchorx="margin"/>
          </v:rect>
        </w:pict>
      </w:r>
    </w:p>
    <w:p w:rsidR="00D226C3" w:rsidRPr="00242020" w:rsidRDefault="00095093">
      <w:r>
        <w:rPr>
          <w:noProof/>
          <w:lang w:eastAsia="uk-UA"/>
        </w:rPr>
        <w:lastRenderedPageBreak/>
        <w:pict>
          <v:rect id="_x0000_s1055" style="position:absolute;left:0;text-align:left;margin-left:-10.05pt;margin-top:-39.5pt;width:499.5pt;height:43.5pt;z-index:251678208;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" fillcolor="white [3212]" stroked="f" strokeweight="1pt">
            <w10:wrap anchorx="margin"/>
          </v:rect>
        </w:pict>
      </w:r>
    </w:p>
    <w:p w:rsidR="00D226C3" w:rsidRPr="00242020" w:rsidRDefault="00D226C3"/>
    <w:p w:rsidR="00D226C3" w:rsidRPr="00242020" w:rsidRDefault="00D226C3"/>
    <w:p w:rsidR="00D226C3" w:rsidRPr="00242020" w:rsidRDefault="00D226C3"/>
    <w:p w:rsidR="00D226C3" w:rsidRPr="00242020" w:rsidRDefault="00D226C3"/>
    <w:p w:rsidR="00D226C3" w:rsidRPr="00242020" w:rsidRDefault="00D226C3"/>
    <w:p w:rsidR="00D226C3" w:rsidRPr="00242020" w:rsidRDefault="00D226C3"/>
    <w:p w:rsidR="00D226C3" w:rsidRPr="00242020" w:rsidRDefault="00D226C3"/>
    <w:p w:rsidR="00D226C3" w:rsidRPr="00242020" w:rsidRDefault="00D226C3"/>
    <w:p w:rsidR="00D226C3" w:rsidRPr="00242020" w:rsidRDefault="00D226C3"/>
    <w:p w:rsidR="00D226C3" w:rsidRPr="00242020" w:rsidRDefault="00D226C3"/>
    <w:p w:rsidR="00D226C3" w:rsidRPr="00242020" w:rsidRDefault="00D226C3"/>
    <w:p w:rsidR="00D226C3" w:rsidRPr="00242020" w:rsidRDefault="00D226C3"/>
    <w:p w:rsidR="00D226C3" w:rsidRPr="00242020" w:rsidRDefault="00095093">
      <w:bookmarkStart w:id="0" w:name="_GoBack"/>
      <w:r>
        <w:rPr>
          <w:noProof/>
          <w:lang w:eastAsia="uk-UA"/>
        </w:rPr>
        <w:pict>
          <v:rect id="Прямоугольник 195" o:spid="_x0000_s1047" style="position:absolute;left:0;text-align:left;margin-left:32.5pt;margin-top:516.3pt;width:499.5pt;height:43.5pt;z-index:251664896;visibility:visible;mso-position-horizontal-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" fillcolor="white [3212]" stroked="f" strokeweight="1pt">
            <w10:wrap anchorx="page"/>
          </v:rect>
        </w:pict>
      </w:r>
      <w:bookmarkEnd w:id="0"/>
      <w:r>
        <w:rPr>
          <w:noProof/>
          <w:lang w:eastAsia="uk-UA"/>
        </w:rPr>
        <w:pict>
          <v:rect id="Прямоугольник 197" o:spid="_x0000_s1046" style="position:absolute;left:0;text-align:left;margin-left:-1.3pt;margin-top:710.2pt;width:499.5pt;height:43.5pt;z-index:251668992;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" fillcolor="white [3212]" stroked="f" strokeweight="1pt">
            <w10:wrap anchorx="margin"/>
          </v:rect>
        </w:pict>
      </w:r>
    </w:p>
    <w:p w:rsidR="00D226C3" w:rsidRPr="00242020" w:rsidRDefault="00D226C3">
      <w:pPr>
        <w:sectPr w:rsidR="00D226C3" w:rsidRPr="00242020" w:rsidSect="00073713">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418" w:header="709" w:footer="709" w:gutter="0"/>
          <w:cols w:space="708"/>
          <w:titlePg/>
          <w:docGrid w:linePitch="381"/>
        </w:sectPr>
      </w:pPr>
    </w:p>
    <w:p w:rsidR="00D226C3" w:rsidRPr="00242020" w:rsidRDefault="00CB3988" w:rsidP="00CB3988">
      <w:pPr>
        <w:pStyle w:val="1"/>
      </w:pPr>
      <w:r w:rsidRPr="00242020">
        <w:lastRenderedPageBreak/>
        <w:t>Зміст</w:t>
      </w:r>
    </w:p>
    <w:tbl>
      <w:tblPr>
        <w:tblW w:w="9645" w:type="dxa"/>
        <w:tblLayout w:type="fixed"/>
        <w:tblLook w:val="01E0"/>
      </w:tblPr>
      <w:tblGrid>
        <w:gridCol w:w="757"/>
        <w:gridCol w:w="8180"/>
        <w:gridCol w:w="708"/>
      </w:tblGrid>
      <w:tr w:rsidR="0045706C" w:rsidRPr="00242020" w:rsidTr="001E5CAD">
        <w:tc>
          <w:tcPr>
            <w:tcW w:w="757" w:type="dxa"/>
          </w:tcPr>
          <w:p w:rsidR="0045706C" w:rsidRPr="00242020" w:rsidRDefault="0045706C" w:rsidP="0045706C">
            <w:pPr>
              <w:ind w:left="-66" w:right="-57" w:firstLine="0"/>
              <w:jc w:val="both"/>
              <w:rPr>
                <w:szCs w:val="28"/>
              </w:rPr>
            </w:pPr>
          </w:p>
        </w:tc>
        <w:tc>
          <w:tcPr>
            <w:tcW w:w="8180" w:type="dxa"/>
            <w:hideMark/>
          </w:tcPr>
          <w:p w:rsidR="0045706C" w:rsidRPr="00242020" w:rsidRDefault="0045706C" w:rsidP="0045706C">
            <w:pPr>
              <w:tabs>
                <w:tab w:val="left" w:leader="dot" w:pos="7964"/>
              </w:tabs>
              <w:ind w:firstLine="0"/>
              <w:rPr>
                <w:b/>
                <w:color w:val="000000"/>
                <w:szCs w:val="28"/>
              </w:rPr>
            </w:pPr>
            <w:r w:rsidRPr="00242020">
              <w:rPr>
                <w:b/>
                <w:color w:val="000000"/>
                <w:szCs w:val="28"/>
              </w:rPr>
              <w:t>Вступ</w:t>
            </w:r>
            <w:r w:rsidRPr="00242020">
              <w:rPr>
                <w:b/>
                <w:spacing w:val="6"/>
                <w:sz w:val="30"/>
                <w:szCs w:val="30"/>
              </w:rPr>
              <w:t xml:space="preserve"> </w:t>
            </w:r>
            <w:r w:rsidRPr="00242020">
              <w:rPr>
                <w:sz w:val="30"/>
                <w:szCs w:val="30"/>
              </w:rPr>
              <w:tab/>
            </w:r>
          </w:p>
        </w:tc>
        <w:tc>
          <w:tcPr>
            <w:tcW w:w="708" w:type="dxa"/>
            <w:hideMark/>
          </w:tcPr>
          <w:p w:rsidR="0045706C" w:rsidRPr="00242020" w:rsidRDefault="007D193C" w:rsidP="007F3E31">
            <w:pPr>
              <w:tabs>
                <w:tab w:val="left" w:leader="dot" w:pos="8067"/>
              </w:tabs>
              <w:spacing w:after="100"/>
              <w:ind w:firstLine="0"/>
              <w:rPr>
                <w:b/>
                <w:color w:val="000000"/>
                <w:szCs w:val="28"/>
              </w:rPr>
            </w:pPr>
            <w:r w:rsidRPr="00242020">
              <w:rPr>
                <w:b/>
                <w:color w:val="000000"/>
                <w:szCs w:val="28"/>
              </w:rPr>
              <w:t>7</w:t>
            </w:r>
          </w:p>
        </w:tc>
      </w:tr>
      <w:tr w:rsidR="0045706C" w:rsidRPr="00242020" w:rsidTr="007F3E31">
        <w:tc>
          <w:tcPr>
            <w:tcW w:w="757" w:type="dxa"/>
            <w:hideMark/>
          </w:tcPr>
          <w:p w:rsidR="0045706C" w:rsidRPr="00242020" w:rsidRDefault="0045706C" w:rsidP="0045706C">
            <w:pPr>
              <w:ind w:left="-66" w:right="-57" w:firstLine="0"/>
              <w:jc w:val="both"/>
              <w:rPr>
                <w:szCs w:val="28"/>
              </w:rPr>
            </w:pPr>
            <w:r w:rsidRPr="00242020">
              <w:rPr>
                <w:b/>
                <w:szCs w:val="28"/>
              </w:rPr>
              <w:t>1.</w:t>
            </w:r>
          </w:p>
        </w:tc>
        <w:tc>
          <w:tcPr>
            <w:tcW w:w="8180" w:type="dxa"/>
            <w:hideMark/>
          </w:tcPr>
          <w:p w:rsidR="0045706C" w:rsidRPr="00242020" w:rsidRDefault="0045706C" w:rsidP="0045706C">
            <w:pPr>
              <w:tabs>
                <w:tab w:val="left" w:leader="dot" w:pos="7964"/>
              </w:tabs>
              <w:spacing w:after="100"/>
              <w:ind w:firstLine="0"/>
              <w:jc w:val="both"/>
              <w:rPr>
                <w:b/>
                <w:color w:val="000000"/>
                <w:szCs w:val="28"/>
              </w:rPr>
            </w:pPr>
            <w:r w:rsidRPr="00242020">
              <w:rPr>
                <w:b/>
                <w:color w:val="000000"/>
                <w:szCs w:val="28"/>
              </w:rPr>
              <w:t>С</w:t>
            </w:r>
            <w:r w:rsidRPr="00242020">
              <w:rPr>
                <w:color w:val="000000"/>
                <w:szCs w:val="28"/>
              </w:rPr>
              <w:t>тислий огляд узагальнених результатів роботи Фонду у сфері приватизації державного майна та управління державною власністю за всі роки приватизації та за звітний період</w:t>
            </w:r>
            <w:r w:rsidRPr="00242020">
              <w:rPr>
                <w:sz w:val="30"/>
                <w:szCs w:val="30"/>
              </w:rPr>
              <w:t xml:space="preserve"> </w:t>
            </w:r>
            <w:r w:rsidRPr="00242020">
              <w:rPr>
                <w:sz w:val="30"/>
                <w:szCs w:val="30"/>
              </w:rPr>
              <w:tab/>
            </w:r>
          </w:p>
        </w:tc>
        <w:tc>
          <w:tcPr>
            <w:tcW w:w="708" w:type="dxa"/>
            <w:vAlign w:val="bottom"/>
          </w:tcPr>
          <w:p w:rsidR="0045706C" w:rsidRPr="00242020" w:rsidRDefault="007F3E31" w:rsidP="007F3E31">
            <w:pPr>
              <w:tabs>
                <w:tab w:val="left" w:leader="dot" w:pos="8067"/>
              </w:tabs>
              <w:spacing w:after="100"/>
              <w:ind w:firstLine="0"/>
              <w:rPr>
                <w:b/>
                <w:color w:val="000000"/>
                <w:szCs w:val="28"/>
              </w:rPr>
            </w:pPr>
            <w:r w:rsidRPr="00242020">
              <w:rPr>
                <w:b/>
                <w:color w:val="000000"/>
                <w:szCs w:val="28"/>
              </w:rPr>
              <w:t>10</w:t>
            </w:r>
          </w:p>
        </w:tc>
      </w:tr>
      <w:tr w:rsidR="0045706C" w:rsidRPr="00242020" w:rsidTr="001E5CAD">
        <w:tc>
          <w:tcPr>
            <w:tcW w:w="757" w:type="dxa"/>
            <w:hideMark/>
          </w:tcPr>
          <w:p w:rsidR="0045706C" w:rsidRPr="00242020" w:rsidRDefault="0045706C" w:rsidP="0045706C">
            <w:pPr>
              <w:ind w:left="-66" w:right="-57" w:firstLine="0"/>
              <w:jc w:val="both"/>
              <w:rPr>
                <w:szCs w:val="28"/>
              </w:rPr>
            </w:pPr>
            <w:r w:rsidRPr="00242020">
              <w:rPr>
                <w:b/>
                <w:szCs w:val="28"/>
              </w:rPr>
              <w:t>2.</w:t>
            </w:r>
          </w:p>
        </w:tc>
        <w:tc>
          <w:tcPr>
            <w:tcW w:w="8180" w:type="dxa"/>
            <w:hideMark/>
          </w:tcPr>
          <w:p w:rsidR="0045706C" w:rsidRPr="00242020" w:rsidRDefault="0045706C" w:rsidP="0045706C">
            <w:pPr>
              <w:tabs>
                <w:tab w:val="left" w:leader="dot" w:pos="7964"/>
              </w:tabs>
              <w:spacing w:after="100"/>
              <w:ind w:firstLine="0"/>
              <w:rPr>
                <w:b/>
                <w:color w:val="000000"/>
                <w:szCs w:val="28"/>
              </w:rPr>
            </w:pPr>
            <w:r w:rsidRPr="00242020">
              <w:rPr>
                <w:b/>
                <w:color w:val="000000"/>
                <w:szCs w:val="28"/>
              </w:rPr>
              <w:t>П</w:t>
            </w:r>
            <w:r w:rsidRPr="00242020">
              <w:rPr>
                <w:color w:val="000000"/>
                <w:szCs w:val="28"/>
              </w:rPr>
              <w:t xml:space="preserve">риватизація державного майна </w:t>
            </w:r>
            <w:r w:rsidRPr="00242020">
              <w:rPr>
                <w:sz w:val="30"/>
                <w:szCs w:val="30"/>
              </w:rPr>
              <w:tab/>
            </w:r>
          </w:p>
        </w:tc>
        <w:tc>
          <w:tcPr>
            <w:tcW w:w="708" w:type="dxa"/>
            <w:hideMark/>
          </w:tcPr>
          <w:p w:rsidR="0045706C" w:rsidRPr="00242020" w:rsidRDefault="007F3E31" w:rsidP="0045706C">
            <w:pPr>
              <w:tabs>
                <w:tab w:val="left" w:leader="dot" w:pos="8067"/>
              </w:tabs>
              <w:spacing w:after="100"/>
              <w:ind w:firstLine="0"/>
              <w:rPr>
                <w:b/>
                <w:color w:val="000000"/>
                <w:szCs w:val="28"/>
              </w:rPr>
            </w:pPr>
            <w:r w:rsidRPr="00242020">
              <w:rPr>
                <w:b/>
                <w:color w:val="000000"/>
                <w:szCs w:val="28"/>
              </w:rPr>
              <w:t>12</w:t>
            </w:r>
          </w:p>
        </w:tc>
      </w:tr>
      <w:tr w:rsidR="0045706C" w:rsidRPr="00242020" w:rsidTr="001E5CAD">
        <w:tc>
          <w:tcPr>
            <w:tcW w:w="757" w:type="dxa"/>
            <w:hideMark/>
          </w:tcPr>
          <w:p w:rsidR="0045706C" w:rsidRPr="00242020" w:rsidRDefault="0045706C" w:rsidP="0045706C">
            <w:pPr>
              <w:ind w:left="-66" w:right="-57" w:firstLine="0"/>
              <w:jc w:val="both"/>
              <w:rPr>
                <w:szCs w:val="28"/>
              </w:rPr>
            </w:pPr>
            <w:r w:rsidRPr="00242020">
              <w:rPr>
                <w:szCs w:val="28"/>
              </w:rPr>
              <w:t>2.1.</w:t>
            </w:r>
          </w:p>
        </w:tc>
        <w:tc>
          <w:tcPr>
            <w:tcW w:w="8180" w:type="dxa"/>
            <w:hideMark/>
          </w:tcPr>
          <w:p w:rsidR="0045706C" w:rsidRPr="00242020" w:rsidRDefault="0045706C" w:rsidP="0045706C">
            <w:pPr>
              <w:tabs>
                <w:tab w:val="left" w:leader="dot" w:pos="7964"/>
              </w:tabs>
              <w:spacing w:after="100"/>
              <w:ind w:firstLine="0"/>
              <w:rPr>
                <w:b/>
                <w:color w:val="000000"/>
                <w:szCs w:val="28"/>
              </w:rPr>
            </w:pPr>
            <w:r w:rsidRPr="00242020">
              <w:rPr>
                <w:b/>
                <w:color w:val="000000"/>
                <w:szCs w:val="28"/>
              </w:rPr>
              <w:t>П</w:t>
            </w:r>
            <w:r w:rsidRPr="00242020">
              <w:rPr>
                <w:color w:val="000000"/>
                <w:szCs w:val="28"/>
              </w:rPr>
              <w:t>ідготовка підприємств до приватизації</w:t>
            </w:r>
            <w:r w:rsidRPr="00242020">
              <w:rPr>
                <w:sz w:val="30"/>
                <w:szCs w:val="30"/>
              </w:rPr>
              <w:t xml:space="preserve"> </w:t>
            </w:r>
            <w:r w:rsidRPr="00242020">
              <w:rPr>
                <w:sz w:val="30"/>
                <w:szCs w:val="30"/>
              </w:rPr>
              <w:tab/>
            </w:r>
          </w:p>
        </w:tc>
        <w:tc>
          <w:tcPr>
            <w:tcW w:w="708" w:type="dxa"/>
            <w:vAlign w:val="bottom"/>
            <w:hideMark/>
          </w:tcPr>
          <w:p w:rsidR="0045706C" w:rsidRPr="00242020" w:rsidRDefault="007F3E31" w:rsidP="0045706C">
            <w:pPr>
              <w:tabs>
                <w:tab w:val="left" w:leader="dot" w:pos="8067"/>
              </w:tabs>
              <w:spacing w:after="100"/>
              <w:ind w:firstLine="0"/>
              <w:rPr>
                <w:b/>
                <w:color w:val="000000"/>
                <w:szCs w:val="28"/>
              </w:rPr>
            </w:pPr>
            <w:r w:rsidRPr="00242020">
              <w:rPr>
                <w:b/>
                <w:color w:val="000000"/>
                <w:szCs w:val="28"/>
              </w:rPr>
              <w:t>12</w:t>
            </w:r>
          </w:p>
        </w:tc>
      </w:tr>
      <w:tr w:rsidR="0045706C" w:rsidRPr="00242020" w:rsidTr="001E5CAD">
        <w:tc>
          <w:tcPr>
            <w:tcW w:w="757" w:type="dxa"/>
            <w:hideMark/>
          </w:tcPr>
          <w:p w:rsidR="0045706C" w:rsidRPr="00242020" w:rsidRDefault="0045706C" w:rsidP="0045706C">
            <w:pPr>
              <w:ind w:left="-66" w:right="-57" w:firstLine="0"/>
              <w:jc w:val="both"/>
              <w:rPr>
                <w:szCs w:val="28"/>
              </w:rPr>
            </w:pPr>
            <w:r w:rsidRPr="00242020">
              <w:rPr>
                <w:szCs w:val="28"/>
              </w:rPr>
              <w:t>2.2.</w:t>
            </w:r>
          </w:p>
        </w:tc>
        <w:tc>
          <w:tcPr>
            <w:tcW w:w="8180" w:type="dxa"/>
            <w:hideMark/>
          </w:tcPr>
          <w:p w:rsidR="0045706C" w:rsidRPr="00242020" w:rsidRDefault="0045706C" w:rsidP="0045706C">
            <w:pPr>
              <w:tabs>
                <w:tab w:val="left" w:leader="dot" w:pos="7964"/>
              </w:tabs>
              <w:spacing w:after="100"/>
              <w:ind w:firstLine="0"/>
              <w:rPr>
                <w:b/>
                <w:color w:val="000000"/>
                <w:szCs w:val="28"/>
              </w:rPr>
            </w:pPr>
            <w:r w:rsidRPr="00242020">
              <w:rPr>
                <w:b/>
                <w:color w:val="000000"/>
                <w:szCs w:val="28"/>
              </w:rPr>
              <w:t>П</w:t>
            </w:r>
            <w:r w:rsidRPr="00242020">
              <w:rPr>
                <w:color w:val="000000"/>
                <w:szCs w:val="28"/>
              </w:rPr>
              <w:t xml:space="preserve">ідсумки приватизації державного майна </w:t>
            </w:r>
            <w:r w:rsidRPr="00242020">
              <w:rPr>
                <w:sz w:val="30"/>
                <w:szCs w:val="30"/>
              </w:rPr>
              <w:tab/>
            </w:r>
          </w:p>
        </w:tc>
        <w:tc>
          <w:tcPr>
            <w:tcW w:w="708" w:type="dxa"/>
            <w:vAlign w:val="bottom"/>
            <w:hideMark/>
          </w:tcPr>
          <w:p w:rsidR="0045706C" w:rsidRPr="00242020" w:rsidRDefault="00B17D00" w:rsidP="0045706C">
            <w:pPr>
              <w:tabs>
                <w:tab w:val="left" w:leader="dot" w:pos="8067"/>
              </w:tabs>
              <w:spacing w:after="100"/>
              <w:ind w:firstLine="0"/>
              <w:rPr>
                <w:b/>
                <w:color w:val="000000"/>
                <w:szCs w:val="28"/>
              </w:rPr>
            </w:pPr>
            <w:r>
              <w:rPr>
                <w:b/>
                <w:color w:val="000000"/>
                <w:szCs w:val="28"/>
              </w:rPr>
              <w:t>17</w:t>
            </w:r>
          </w:p>
        </w:tc>
      </w:tr>
      <w:tr w:rsidR="0045706C" w:rsidRPr="00242020" w:rsidTr="001E5CAD">
        <w:tc>
          <w:tcPr>
            <w:tcW w:w="757" w:type="dxa"/>
            <w:hideMark/>
          </w:tcPr>
          <w:p w:rsidR="0045706C" w:rsidRPr="00242020" w:rsidRDefault="0045706C" w:rsidP="0045706C">
            <w:pPr>
              <w:ind w:left="-66" w:right="-57" w:firstLine="0"/>
              <w:jc w:val="both"/>
              <w:rPr>
                <w:szCs w:val="28"/>
              </w:rPr>
            </w:pPr>
            <w:r w:rsidRPr="00242020">
              <w:rPr>
                <w:szCs w:val="28"/>
              </w:rPr>
              <w:t>2.2.1.</w:t>
            </w:r>
          </w:p>
        </w:tc>
        <w:tc>
          <w:tcPr>
            <w:tcW w:w="8180" w:type="dxa"/>
            <w:hideMark/>
          </w:tcPr>
          <w:p w:rsidR="0045706C" w:rsidRPr="00242020" w:rsidRDefault="0045706C" w:rsidP="0045706C">
            <w:pPr>
              <w:tabs>
                <w:tab w:val="left" w:leader="dot" w:pos="7964"/>
              </w:tabs>
              <w:spacing w:after="100"/>
              <w:ind w:firstLine="0"/>
              <w:rPr>
                <w:b/>
                <w:color w:val="000000"/>
                <w:szCs w:val="28"/>
              </w:rPr>
            </w:pPr>
            <w:r w:rsidRPr="00242020">
              <w:rPr>
                <w:b/>
                <w:color w:val="000000"/>
                <w:szCs w:val="28"/>
              </w:rPr>
              <w:t>О</w:t>
            </w:r>
            <w:r w:rsidRPr="00242020">
              <w:rPr>
                <w:color w:val="000000"/>
                <w:szCs w:val="28"/>
              </w:rPr>
              <w:t>рганізаційне забезпечення виконання завдань з приватизації державного майна у звітному періоді</w:t>
            </w:r>
            <w:r w:rsidRPr="00242020">
              <w:rPr>
                <w:sz w:val="30"/>
                <w:szCs w:val="30"/>
              </w:rPr>
              <w:t xml:space="preserve"> </w:t>
            </w:r>
            <w:r w:rsidRPr="00242020">
              <w:rPr>
                <w:sz w:val="30"/>
                <w:szCs w:val="30"/>
              </w:rPr>
              <w:tab/>
            </w:r>
          </w:p>
        </w:tc>
        <w:tc>
          <w:tcPr>
            <w:tcW w:w="708" w:type="dxa"/>
            <w:vAlign w:val="bottom"/>
            <w:hideMark/>
          </w:tcPr>
          <w:p w:rsidR="0045706C" w:rsidRPr="00242020" w:rsidRDefault="00B17D00" w:rsidP="0045706C">
            <w:pPr>
              <w:tabs>
                <w:tab w:val="left" w:leader="dot" w:pos="8067"/>
              </w:tabs>
              <w:spacing w:after="100"/>
              <w:ind w:firstLine="0"/>
              <w:rPr>
                <w:b/>
                <w:color w:val="000000"/>
                <w:szCs w:val="28"/>
              </w:rPr>
            </w:pPr>
            <w:r>
              <w:rPr>
                <w:b/>
                <w:color w:val="000000"/>
                <w:szCs w:val="28"/>
              </w:rPr>
              <w:t>17</w:t>
            </w:r>
          </w:p>
        </w:tc>
      </w:tr>
      <w:tr w:rsidR="0045706C" w:rsidRPr="00242020" w:rsidTr="001E5CAD">
        <w:tc>
          <w:tcPr>
            <w:tcW w:w="757" w:type="dxa"/>
            <w:hideMark/>
          </w:tcPr>
          <w:p w:rsidR="0045706C" w:rsidRPr="00242020" w:rsidRDefault="0045706C" w:rsidP="0045706C">
            <w:pPr>
              <w:ind w:left="-66" w:right="-57" w:firstLine="0"/>
              <w:jc w:val="both"/>
              <w:rPr>
                <w:szCs w:val="28"/>
              </w:rPr>
            </w:pPr>
            <w:r w:rsidRPr="00242020">
              <w:rPr>
                <w:szCs w:val="28"/>
              </w:rPr>
              <w:t>2.2.2.</w:t>
            </w:r>
          </w:p>
        </w:tc>
        <w:tc>
          <w:tcPr>
            <w:tcW w:w="8180" w:type="dxa"/>
            <w:hideMark/>
          </w:tcPr>
          <w:p w:rsidR="0045706C" w:rsidRPr="00242020" w:rsidRDefault="0045706C" w:rsidP="0045706C">
            <w:pPr>
              <w:tabs>
                <w:tab w:val="left" w:leader="dot" w:pos="7964"/>
              </w:tabs>
              <w:spacing w:after="100"/>
              <w:ind w:firstLine="0"/>
              <w:rPr>
                <w:b/>
                <w:color w:val="000000"/>
                <w:szCs w:val="28"/>
              </w:rPr>
            </w:pPr>
            <w:r w:rsidRPr="00242020">
              <w:rPr>
                <w:b/>
                <w:color w:val="000000"/>
                <w:szCs w:val="28"/>
              </w:rPr>
              <w:t>П</w:t>
            </w:r>
            <w:r w:rsidRPr="00242020">
              <w:rPr>
                <w:color w:val="000000"/>
                <w:szCs w:val="28"/>
              </w:rPr>
              <w:t xml:space="preserve">риватизація об’єктів груп А, Д, Ж </w:t>
            </w:r>
            <w:r w:rsidRPr="00242020">
              <w:rPr>
                <w:sz w:val="30"/>
                <w:szCs w:val="30"/>
              </w:rPr>
              <w:tab/>
            </w:r>
          </w:p>
        </w:tc>
        <w:tc>
          <w:tcPr>
            <w:tcW w:w="708" w:type="dxa"/>
            <w:vAlign w:val="bottom"/>
            <w:hideMark/>
          </w:tcPr>
          <w:p w:rsidR="0045706C" w:rsidRPr="00242020" w:rsidRDefault="00B17D00" w:rsidP="0045706C">
            <w:pPr>
              <w:tabs>
                <w:tab w:val="left" w:leader="dot" w:pos="8067"/>
              </w:tabs>
              <w:spacing w:after="100"/>
              <w:ind w:firstLine="0"/>
              <w:rPr>
                <w:b/>
                <w:color w:val="000000"/>
                <w:szCs w:val="28"/>
              </w:rPr>
            </w:pPr>
            <w:r>
              <w:rPr>
                <w:b/>
                <w:color w:val="000000"/>
                <w:szCs w:val="28"/>
              </w:rPr>
              <w:t>19</w:t>
            </w:r>
          </w:p>
        </w:tc>
      </w:tr>
      <w:tr w:rsidR="0045706C" w:rsidRPr="00242020" w:rsidTr="001E5CAD">
        <w:tc>
          <w:tcPr>
            <w:tcW w:w="757" w:type="dxa"/>
            <w:hideMark/>
          </w:tcPr>
          <w:p w:rsidR="0045706C" w:rsidRPr="00242020" w:rsidRDefault="0045706C" w:rsidP="0045706C">
            <w:pPr>
              <w:ind w:left="-66" w:right="-57" w:firstLine="0"/>
              <w:jc w:val="both"/>
              <w:rPr>
                <w:szCs w:val="28"/>
              </w:rPr>
            </w:pPr>
            <w:r w:rsidRPr="00242020">
              <w:rPr>
                <w:szCs w:val="28"/>
              </w:rPr>
              <w:t>2.2.3.</w:t>
            </w:r>
          </w:p>
        </w:tc>
        <w:tc>
          <w:tcPr>
            <w:tcW w:w="8180" w:type="dxa"/>
            <w:hideMark/>
          </w:tcPr>
          <w:p w:rsidR="0045706C" w:rsidRPr="00242020" w:rsidRDefault="0045706C" w:rsidP="0045706C">
            <w:pPr>
              <w:tabs>
                <w:tab w:val="left" w:leader="dot" w:pos="7964"/>
              </w:tabs>
              <w:spacing w:after="100"/>
              <w:ind w:firstLine="0"/>
              <w:rPr>
                <w:b/>
                <w:color w:val="000000"/>
                <w:szCs w:val="28"/>
              </w:rPr>
            </w:pPr>
            <w:r w:rsidRPr="00242020">
              <w:rPr>
                <w:b/>
                <w:color w:val="000000"/>
                <w:szCs w:val="28"/>
              </w:rPr>
              <w:t>П</w:t>
            </w:r>
            <w:r w:rsidRPr="00242020">
              <w:rPr>
                <w:color w:val="000000"/>
                <w:szCs w:val="28"/>
              </w:rPr>
              <w:t xml:space="preserve">риватизація об’єктів групи Е </w:t>
            </w:r>
            <w:r w:rsidRPr="00242020">
              <w:rPr>
                <w:sz w:val="30"/>
                <w:szCs w:val="30"/>
              </w:rPr>
              <w:tab/>
            </w:r>
          </w:p>
        </w:tc>
        <w:tc>
          <w:tcPr>
            <w:tcW w:w="708" w:type="dxa"/>
            <w:vAlign w:val="bottom"/>
            <w:hideMark/>
          </w:tcPr>
          <w:p w:rsidR="0045706C" w:rsidRPr="00242020" w:rsidRDefault="00B17D00" w:rsidP="0045706C">
            <w:pPr>
              <w:tabs>
                <w:tab w:val="left" w:leader="dot" w:pos="8067"/>
              </w:tabs>
              <w:spacing w:after="100"/>
              <w:ind w:firstLine="0"/>
              <w:rPr>
                <w:b/>
                <w:color w:val="000000"/>
                <w:szCs w:val="28"/>
              </w:rPr>
            </w:pPr>
            <w:r>
              <w:rPr>
                <w:b/>
                <w:color w:val="000000"/>
                <w:szCs w:val="28"/>
              </w:rPr>
              <w:t>22</w:t>
            </w:r>
          </w:p>
        </w:tc>
      </w:tr>
      <w:tr w:rsidR="0045706C" w:rsidRPr="00242020" w:rsidTr="001E5CAD">
        <w:tc>
          <w:tcPr>
            <w:tcW w:w="757" w:type="dxa"/>
            <w:hideMark/>
          </w:tcPr>
          <w:p w:rsidR="0045706C" w:rsidRPr="00242020" w:rsidRDefault="0045706C" w:rsidP="0045706C">
            <w:pPr>
              <w:ind w:left="-66" w:right="-57" w:firstLine="0"/>
              <w:jc w:val="both"/>
              <w:rPr>
                <w:szCs w:val="28"/>
              </w:rPr>
            </w:pPr>
            <w:r w:rsidRPr="00242020">
              <w:rPr>
                <w:szCs w:val="28"/>
              </w:rPr>
              <w:t>2.2.4.</w:t>
            </w:r>
          </w:p>
        </w:tc>
        <w:tc>
          <w:tcPr>
            <w:tcW w:w="8180" w:type="dxa"/>
            <w:hideMark/>
          </w:tcPr>
          <w:p w:rsidR="0045706C" w:rsidRPr="00242020" w:rsidRDefault="0045706C" w:rsidP="0045706C">
            <w:pPr>
              <w:tabs>
                <w:tab w:val="left" w:leader="dot" w:pos="7964"/>
              </w:tabs>
              <w:spacing w:after="100"/>
              <w:ind w:firstLine="0"/>
              <w:jc w:val="both"/>
              <w:rPr>
                <w:b/>
                <w:color w:val="000000"/>
                <w:szCs w:val="28"/>
              </w:rPr>
            </w:pPr>
            <w:r w:rsidRPr="00242020">
              <w:rPr>
                <w:b/>
                <w:color w:val="000000"/>
                <w:szCs w:val="28"/>
              </w:rPr>
              <w:t>П</w:t>
            </w:r>
            <w:r w:rsidRPr="00242020">
              <w:rPr>
                <w:color w:val="000000"/>
                <w:szCs w:val="28"/>
              </w:rPr>
              <w:t xml:space="preserve">родаж пакетів акцій об’єктів груп В, Г на пільгових умовах, аукціонах, у т.ч. на фондових біржах, за конкурсами з відкритістю пропонування ціни за принципом аукціону </w:t>
            </w:r>
            <w:r w:rsidRPr="00242020">
              <w:rPr>
                <w:sz w:val="30"/>
                <w:szCs w:val="30"/>
              </w:rPr>
              <w:tab/>
            </w:r>
          </w:p>
        </w:tc>
        <w:tc>
          <w:tcPr>
            <w:tcW w:w="708" w:type="dxa"/>
            <w:vAlign w:val="bottom"/>
            <w:hideMark/>
          </w:tcPr>
          <w:p w:rsidR="0045706C" w:rsidRPr="00242020" w:rsidRDefault="00B17D00" w:rsidP="0045706C">
            <w:pPr>
              <w:tabs>
                <w:tab w:val="left" w:leader="dot" w:pos="8067"/>
              </w:tabs>
              <w:spacing w:after="100"/>
              <w:ind w:firstLine="0"/>
              <w:rPr>
                <w:b/>
                <w:color w:val="000000"/>
                <w:szCs w:val="28"/>
              </w:rPr>
            </w:pPr>
            <w:r>
              <w:rPr>
                <w:b/>
                <w:color w:val="000000"/>
                <w:szCs w:val="28"/>
              </w:rPr>
              <w:t>23</w:t>
            </w:r>
          </w:p>
        </w:tc>
      </w:tr>
      <w:tr w:rsidR="0045706C" w:rsidRPr="00242020" w:rsidTr="001E5CAD">
        <w:tc>
          <w:tcPr>
            <w:tcW w:w="757" w:type="dxa"/>
            <w:hideMark/>
          </w:tcPr>
          <w:p w:rsidR="0045706C" w:rsidRPr="00242020" w:rsidRDefault="0045706C" w:rsidP="0045706C">
            <w:pPr>
              <w:ind w:left="-66" w:right="-57" w:firstLine="0"/>
              <w:jc w:val="both"/>
              <w:rPr>
                <w:szCs w:val="28"/>
              </w:rPr>
            </w:pPr>
            <w:r w:rsidRPr="00242020">
              <w:rPr>
                <w:szCs w:val="28"/>
              </w:rPr>
              <w:t>2.2.5.</w:t>
            </w:r>
          </w:p>
        </w:tc>
        <w:tc>
          <w:tcPr>
            <w:tcW w:w="8180" w:type="dxa"/>
            <w:hideMark/>
          </w:tcPr>
          <w:p w:rsidR="0045706C" w:rsidRPr="00242020" w:rsidRDefault="0045706C" w:rsidP="0045706C">
            <w:pPr>
              <w:tabs>
                <w:tab w:val="left" w:leader="dot" w:pos="7964"/>
              </w:tabs>
              <w:spacing w:after="100"/>
              <w:ind w:firstLine="0"/>
              <w:rPr>
                <w:b/>
                <w:color w:val="000000"/>
                <w:szCs w:val="28"/>
              </w:rPr>
            </w:pPr>
            <w:r w:rsidRPr="00242020">
              <w:rPr>
                <w:b/>
                <w:color w:val="000000"/>
                <w:szCs w:val="28"/>
              </w:rPr>
              <w:t>С</w:t>
            </w:r>
            <w:r w:rsidRPr="00242020">
              <w:rPr>
                <w:color w:val="000000"/>
                <w:szCs w:val="28"/>
              </w:rPr>
              <w:t xml:space="preserve">півпраця Фонду з міжнародними організаціями та Європейським Союзом </w:t>
            </w:r>
            <w:r w:rsidRPr="00242020">
              <w:rPr>
                <w:sz w:val="30"/>
                <w:szCs w:val="30"/>
              </w:rPr>
              <w:tab/>
            </w:r>
          </w:p>
        </w:tc>
        <w:tc>
          <w:tcPr>
            <w:tcW w:w="708" w:type="dxa"/>
            <w:vAlign w:val="bottom"/>
            <w:hideMark/>
          </w:tcPr>
          <w:p w:rsidR="0045706C" w:rsidRPr="00242020" w:rsidRDefault="00B17D00" w:rsidP="0045706C">
            <w:pPr>
              <w:tabs>
                <w:tab w:val="left" w:leader="dot" w:pos="8067"/>
              </w:tabs>
              <w:spacing w:after="100"/>
              <w:ind w:firstLine="0"/>
              <w:rPr>
                <w:b/>
                <w:color w:val="000000"/>
                <w:szCs w:val="28"/>
              </w:rPr>
            </w:pPr>
            <w:r>
              <w:rPr>
                <w:b/>
                <w:color w:val="000000"/>
                <w:szCs w:val="28"/>
              </w:rPr>
              <w:t>26</w:t>
            </w:r>
          </w:p>
        </w:tc>
      </w:tr>
      <w:tr w:rsidR="0045706C" w:rsidRPr="00242020" w:rsidTr="001E5CAD">
        <w:tc>
          <w:tcPr>
            <w:tcW w:w="757" w:type="dxa"/>
            <w:hideMark/>
          </w:tcPr>
          <w:p w:rsidR="0045706C" w:rsidRPr="00242020" w:rsidRDefault="0045706C" w:rsidP="0045706C">
            <w:pPr>
              <w:ind w:left="-66" w:right="-57" w:firstLine="0"/>
              <w:jc w:val="both"/>
              <w:rPr>
                <w:szCs w:val="28"/>
              </w:rPr>
            </w:pPr>
            <w:r w:rsidRPr="00242020">
              <w:rPr>
                <w:color w:val="000000"/>
                <w:spacing w:val="-9"/>
                <w:szCs w:val="28"/>
              </w:rPr>
              <w:t>2.3.</w:t>
            </w:r>
          </w:p>
        </w:tc>
        <w:tc>
          <w:tcPr>
            <w:tcW w:w="8180" w:type="dxa"/>
            <w:hideMark/>
          </w:tcPr>
          <w:p w:rsidR="0045706C" w:rsidRPr="00242020" w:rsidRDefault="0045706C" w:rsidP="0045706C">
            <w:pPr>
              <w:tabs>
                <w:tab w:val="left" w:leader="dot" w:pos="7964"/>
              </w:tabs>
              <w:spacing w:after="100"/>
              <w:ind w:firstLine="0"/>
              <w:rPr>
                <w:b/>
                <w:color w:val="000000"/>
                <w:szCs w:val="28"/>
              </w:rPr>
            </w:pPr>
            <w:r w:rsidRPr="00242020">
              <w:rPr>
                <w:b/>
                <w:color w:val="000000"/>
                <w:szCs w:val="28"/>
              </w:rPr>
              <w:t>Ф</w:t>
            </w:r>
            <w:r w:rsidRPr="00242020">
              <w:rPr>
                <w:color w:val="000000"/>
                <w:szCs w:val="28"/>
              </w:rPr>
              <w:t xml:space="preserve">інансові результати приватизації </w:t>
            </w:r>
            <w:r w:rsidRPr="00242020">
              <w:rPr>
                <w:sz w:val="30"/>
                <w:szCs w:val="30"/>
              </w:rPr>
              <w:tab/>
            </w:r>
          </w:p>
        </w:tc>
        <w:tc>
          <w:tcPr>
            <w:tcW w:w="708" w:type="dxa"/>
            <w:vAlign w:val="bottom"/>
            <w:hideMark/>
          </w:tcPr>
          <w:p w:rsidR="0045706C" w:rsidRPr="00242020" w:rsidRDefault="00B17D00" w:rsidP="0045706C">
            <w:pPr>
              <w:tabs>
                <w:tab w:val="left" w:leader="dot" w:pos="8067"/>
              </w:tabs>
              <w:spacing w:after="100"/>
              <w:ind w:firstLine="0"/>
              <w:rPr>
                <w:b/>
                <w:color w:val="000000"/>
                <w:szCs w:val="28"/>
              </w:rPr>
            </w:pPr>
            <w:r>
              <w:rPr>
                <w:b/>
                <w:color w:val="000000"/>
                <w:szCs w:val="28"/>
              </w:rPr>
              <w:t>29</w:t>
            </w:r>
          </w:p>
        </w:tc>
      </w:tr>
      <w:tr w:rsidR="0045706C" w:rsidRPr="00242020" w:rsidTr="001E5CAD">
        <w:tc>
          <w:tcPr>
            <w:tcW w:w="757" w:type="dxa"/>
          </w:tcPr>
          <w:p w:rsidR="0045706C" w:rsidRPr="00242020" w:rsidRDefault="0045706C" w:rsidP="0045706C">
            <w:pPr>
              <w:ind w:left="-66" w:right="-57" w:firstLine="0"/>
              <w:jc w:val="both"/>
              <w:rPr>
                <w:szCs w:val="28"/>
              </w:rPr>
            </w:pPr>
          </w:p>
        </w:tc>
        <w:tc>
          <w:tcPr>
            <w:tcW w:w="8180" w:type="dxa"/>
            <w:hideMark/>
          </w:tcPr>
          <w:p w:rsidR="0045706C" w:rsidRPr="00242020" w:rsidRDefault="0045706C" w:rsidP="0045706C">
            <w:pPr>
              <w:tabs>
                <w:tab w:val="left" w:leader="dot" w:pos="7964"/>
              </w:tabs>
              <w:spacing w:after="100"/>
              <w:ind w:firstLine="0"/>
              <w:jc w:val="both"/>
              <w:rPr>
                <w:color w:val="000000"/>
                <w:szCs w:val="28"/>
              </w:rPr>
            </w:pPr>
            <w:r w:rsidRPr="00242020">
              <w:rPr>
                <w:color w:val="000000"/>
                <w:szCs w:val="28"/>
              </w:rPr>
              <w:t xml:space="preserve">Використання бюджетних коштів за напрямом «Заходи, пов’язані з проведенням приватизації державного майна», визначених паспортом бюджетної програми </w:t>
            </w:r>
            <w:r w:rsidRPr="00242020">
              <w:rPr>
                <w:sz w:val="30"/>
                <w:szCs w:val="30"/>
              </w:rPr>
              <w:tab/>
            </w:r>
          </w:p>
        </w:tc>
        <w:tc>
          <w:tcPr>
            <w:tcW w:w="708" w:type="dxa"/>
            <w:vAlign w:val="bottom"/>
            <w:hideMark/>
          </w:tcPr>
          <w:p w:rsidR="0045706C" w:rsidRPr="00242020" w:rsidRDefault="00B17D00" w:rsidP="0045706C">
            <w:pPr>
              <w:tabs>
                <w:tab w:val="left" w:leader="dot" w:pos="8067"/>
              </w:tabs>
              <w:spacing w:after="100"/>
              <w:ind w:firstLine="0"/>
              <w:rPr>
                <w:b/>
                <w:color w:val="000000"/>
                <w:szCs w:val="28"/>
              </w:rPr>
            </w:pPr>
            <w:r>
              <w:rPr>
                <w:b/>
                <w:color w:val="000000"/>
                <w:szCs w:val="28"/>
              </w:rPr>
              <w:t>30</w:t>
            </w:r>
          </w:p>
        </w:tc>
      </w:tr>
      <w:tr w:rsidR="0045706C" w:rsidRPr="00242020" w:rsidTr="00B17D00">
        <w:tc>
          <w:tcPr>
            <w:tcW w:w="757" w:type="dxa"/>
            <w:hideMark/>
          </w:tcPr>
          <w:p w:rsidR="0045706C" w:rsidRPr="00242020" w:rsidRDefault="0045706C" w:rsidP="0045706C">
            <w:pPr>
              <w:ind w:left="-68" w:right="-57" w:firstLine="0"/>
              <w:rPr>
                <w:color w:val="000000"/>
                <w:spacing w:val="-9"/>
                <w:szCs w:val="28"/>
              </w:rPr>
            </w:pPr>
            <w:r w:rsidRPr="00242020">
              <w:rPr>
                <w:color w:val="000000"/>
                <w:spacing w:val="-9"/>
                <w:szCs w:val="28"/>
              </w:rPr>
              <w:t>2.4.</w:t>
            </w:r>
          </w:p>
        </w:tc>
        <w:tc>
          <w:tcPr>
            <w:tcW w:w="8180" w:type="dxa"/>
            <w:hideMark/>
          </w:tcPr>
          <w:p w:rsidR="0045706C" w:rsidRPr="00242020" w:rsidRDefault="0045706C" w:rsidP="0045706C">
            <w:pPr>
              <w:tabs>
                <w:tab w:val="left" w:leader="dot" w:pos="7964"/>
              </w:tabs>
              <w:spacing w:after="100"/>
              <w:ind w:firstLine="0"/>
              <w:rPr>
                <w:b/>
                <w:color w:val="000000"/>
                <w:szCs w:val="28"/>
              </w:rPr>
            </w:pPr>
            <w:r w:rsidRPr="00242020">
              <w:rPr>
                <w:b/>
                <w:color w:val="000000"/>
                <w:szCs w:val="28"/>
              </w:rPr>
              <w:t>К</w:t>
            </w:r>
            <w:r w:rsidRPr="00242020">
              <w:rPr>
                <w:color w:val="000000"/>
                <w:szCs w:val="28"/>
              </w:rPr>
              <w:t xml:space="preserve">онтроль за виконанням умов договорів купівлі-продажу об’єктів та аналіз результатів виконання покупцями взятих зобов’язань </w:t>
            </w:r>
            <w:r w:rsidRPr="00242020">
              <w:rPr>
                <w:sz w:val="30"/>
                <w:szCs w:val="30"/>
              </w:rPr>
              <w:tab/>
            </w:r>
          </w:p>
        </w:tc>
        <w:tc>
          <w:tcPr>
            <w:tcW w:w="708" w:type="dxa"/>
            <w:vAlign w:val="bottom"/>
            <w:hideMark/>
          </w:tcPr>
          <w:p w:rsidR="0045706C" w:rsidRPr="00242020" w:rsidRDefault="00B17D00" w:rsidP="00B17D00">
            <w:pPr>
              <w:tabs>
                <w:tab w:val="left" w:leader="dot" w:pos="8067"/>
              </w:tabs>
              <w:spacing w:after="100"/>
              <w:ind w:firstLine="0"/>
              <w:rPr>
                <w:b/>
                <w:color w:val="000000"/>
                <w:szCs w:val="28"/>
              </w:rPr>
            </w:pPr>
            <w:r>
              <w:rPr>
                <w:b/>
                <w:color w:val="000000"/>
                <w:szCs w:val="28"/>
              </w:rPr>
              <w:t>30</w:t>
            </w:r>
          </w:p>
        </w:tc>
      </w:tr>
      <w:tr w:rsidR="0045706C" w:rsidRPr="00242020" w:rsidTr="00B17D00">
        <w:tc>
          <w:tcPr>
            <w:tcW w:w="757" w:type="dxa"/>
            <w:hideMark/>
          </w:tcPr>
          <w:p w:rsidR="0045706C" w:rsidRPr="00242020" w:rsidRDefault="0045706C" w:rsidP="00B17D00">
            <w:pPr>
              <w:ind w:left="-68" w:right="-57" w:firstLine="0"/>
              <w:rPr>
                <w:b/>
                <w:szCs w:val="28"/>
              </w:rPr>
            </w:pPr>
            <w:r w:rsidRPr="00242020">
              <w:rPr>
                <w:b/>
                <w:szCs w:val="28"/>
              </w:rPr>
              <w:t>3.</w:t>
            </w:r>
          </w:p>
        </w:tc>
        <w:tc>
          <w:tcPr>
            <w:tcW w:w="8180" w:type="dxa"/>
            <w:hideMark/>
          </w:tcPr>
          <w:p w:rsidR="0045706C" w:rsidRPr="00242020" w:rsidRDefault="0045706C" w:rsidP="0045706C">
            <w:pPr>
              <w:tabs>
                <w:tab w:val="left" w:leader="dot" w:pos="7964"/>
              </w:tabs>
              <w:spacing w:after="100"/>
              <w:ind w:firstLine="0"/>
              <w:rPr>
                <w:b/>
                <w:color w:val="000000"/>
                <w:szCs w:val="28"/>
              </w:rPr>
            </w:pPr>
            <w:r w:rsidRPr="00242020">
              <w:rPr>
                <w:b/>
                <w:color w:val="000000"/>
                <w:szCs w:val="28"/>
              </w:rPr>
              <w:t>У</w:t>
            </w:r>
            <w:r w:rsidRPr="00242020">
              <w:rPr>
                <w:color w:val="000000"/>
                <w:szCs w:val="28"/>
              </w:rPr>
              <w:t xml:space="preserve">правління державною власністю </w:t>
            </w:r>
            <w:r w:rsidRPr="00242020">
              <w:rPr>
                <w:sz w:val="30"/>
                <w:szCs w:val="30"/>
              </w:rPr>
              <w:tab/>
            </w:r>
          </w:p>
        </w:tc>
        <w:tc>
          <w:tcPr>
            <w:tcW w:w="708" w:type="dxa"/>
            <w:hideMark/>
          </w:tcPr>
          <w:p w:rsidR="0045706C" w:rsidRPr="00242020" w:rsidRDefault="00B17D00" w:rsidP="0045706C">
            <w:pPr>
              <w:tabs>
                <w:tab w:val="left" w:leader="dot" w:pos="8067"/>
              </w:tabs>
              <w:spacing w:after="100"/>
              <w:ind w:firstLine="0"/>
              <w:rPr>
                <w:b/>
                <w:color w:val="000000"/>
                <w:szCs w:val="28"/>
              </w:rPr>
            </w:pPr>
            <w:r>
              <w:rPr>
                <w:b/>
                <w:color w:val="000000"/>
                <w:szCs w:val="28"/>
              </w:rPr>
              <w:t>36</w:t>
            </w:r>
          </w:p>
        </w:tc>
      </w:tr>
      <w:tr w:rsidR="0045706C" w:rsidRPr="00242020" w:rsidTr="00B17D00">
        <w:tc>
          <w:tcPr>
            <w:tcW w:w="757" w:type="dxa"/>
            <w:hideMark/>
          </w:tcPr>
          <w:p w:rsidR="0045706C" w:rsidRPr="00242020" w:rsidRDefault="0045706C" w:rsidP="00B17D00">
            <w:pPr>
              <w:ind w:left="-68" w:right="-57" w:firstLine="0"/>
              <w:rPr>
                <w:color w:val="000000"/>
                <w:spacing w:val="-9"/>
                <w:szCs w:val="28"/>
              </w:rPr>
            </w:pPr>
            <w:r w:rsidRPr="00242020">
              <w:rPr>
                <w:color w:val="000000"/>
                <w:spacing w:val="-9"/>
                <w:szCs w:val="28"/>
              </w:rPr>
              <w:t>3.1.</w:t>
            </w:r>
          </w:p>
        </w:tc>
        <w:tc>
          <w:tcPr>
            <w:tcW w:w="8180" w:type="dxa"/>
            <w:hideMark/>
          </w:tcPr>
          <w:p w:rsidR="0045706C" w:rsidRPr="00242020" w:rsidRDefault="0045706C" w:rsidP="0045706C">
            <w:pPr>
              <w:tabs>
                <w:tab w:val="left" w:leader="dot" w:pos="7964"/>
              </w:tabs>
              <w:spacing w:after="100"/>
              <w:ind w:firstLine="0"/>
              <w:rPr>
                <w:b/>
                <w:color w:val="000000"/>
                <w:szCs w:val="28"/>
              </w:rPr>
            </w:pPr>
            <w:r w:rsidRPr="00242020">
              <w:rPr>
                <w:b/>
                <w:color w:val="000000"/>
                <w:szCs w:val="28"/>
              </w:rPr>
              <w:t>В</w:t>
            </w:r>
            <w:r w:rsidRPr="00242020">
              <w:rPr>
                <w:color w:val="000000"/>
                <w:szCs w:val="28"/>
              </w:rPr>
              <w:t xml:space="preserve">едення Єдиного реєстру об’єктів державної власності </w:t>
            </w:r>
            <w:r w:rsidRPr="00242020">
              <w:rPr>
                <w:sz w:val="30"/>
                <w:szCs w:val="30"/>
              </w:rPr>
              <w:tab/>
            </w:r>
          </w:p>
        </w:tc>
        <w:tc>
          <w:tcPr>
            <w:tcW w:w="708" w:type="dxa"/>
            <w:hideMark/>
          </w:tcPr>
          <w:p w:rsidR="0045706C" w:rsidRPr="00242020" w:rsidRDefault="00B17D00" w:rsidP="0045706C">
            <w:pPr>
              <w:tabs>
                <w:tab w:val="left" w:leader="dot" w:pos="8067"/>
              </w:tabs>
              <w:spacing w:after="100"/>
              <w:ind w:firstLine="0"/>
              <w:rPr>
                <w:b/>
                <w:color w:val="000000"/>
                <w:szCs w:val="28"/>
              </w:rPr>
            </w:pPr>
            <w:r>
              <w:rPr>
                <w:b/>
                <w:color w:val="000000"/>
                <w:szCs w:val="28"/>
              </w:rPr>
              <w:t>36</w:t>
            </w:r>
          </w:p>
        </w:tc>
      </w:tr>
      <w:tr w:rsidR="0045706C" w:rsidRPr="00242020" w:rsidTr="00B17D00">
        <w:tc>
          <w:tcPr>
            <w:tcW w:w="757" w:type="dxa"/>
            <w:hideMark/>
          </w:tcPr>
          <w:p w:rsidR="0045706C" w:rsidRPr="00242020" w:rsidRDefault="0045706C" w:rsidP="00B17D00">
            <w:pPr>
              <w:ind w:left="-68" w:right="-57" w:firstLine="0"/>
              <w:rPr>
                <w:color w:val="000000"/>
                <w:spacing w:val="-9"/>
                <w:szCs w:val="28"/>
              </w:rPr>
            </w:pPr>
            <w:r w:rsidRPr="00242020">
              <w:rPr>
                <w:color w:val="000000"/>
                <w:spacing w:val="-9"/>
                <w:szCs w:val="28"/>
              </w:rPr>
              <w:t>3.2.</w:t>
            </w:r>
          </w:p>
        </w:tc>
        <w:tc>
          <w:tcPr>
            <w:tcW w:w="8180" w:type="dxa"/>
            <w:hideMark/>
          </w:tcPr>
          <w:p w:rsidR="0045706C" w:rsidRPr="00242020" w:rsidRDefault="0045706C" w:rsidP="0045706C">
            <w:pPr>
              <w:tabs>
                <w:tab w:val="left" w:leader="dot" w:pos="7964"/>
              </w:tabs>
              <w:spacing w:after="100"/>
              <w:ind w:firstLine="0"/>
              <w:rPr>
                <w:b/>
                <w:color w:val="000000"/>
                <w:szCs w:val="28"/>
              </w:rPr>
            </w:pPr>
            <w:r w:rsidRPr="00242020">
              <w:rPr>
                <w:b/>
                <w:color w:val="000000"/>
                <w:szCs w:val="28"/>
              </w:rPr>
              <w:t>У</w:t>
            </w:r>
            <w:r w:rsidRPr="00242020">
              <w:rPr>
                <w:color w:val="000000"/>
                <w:szCs w:val="28"/>
              </w:rPr>
              <w:t xml:space="preserve">порядкування обліку юридичних осіб </w:t>
            </w:r>
            <w:r w:rsidRPr="00242020">
              <w:rPr>
                <w:sz w:val="30"/>
                <w:szCs w:val="30"/>
              </w:rPr>
              <w:tab/>
            </w:r>
          </w:p>
        </w:tc>
        <w:tc>
          <w:tcPr>
            <w:tcW w:w="708" w:type="dxa"/>
            <w:hideMark/>
          </w:tcPr>
          <w:p w:rsidR="0045706C" w:rsidRPr="00242020" w:rsidRDefault="00B17D00" w:rsidP="0045706C">
            <w:pPr>
              <w:tabs>
                <w:tab w:val="left" w:leader="dot" w:pos="8067"/>
              </w:tabs>
              <w:spacing w:after="100"/>
              <w:ind w:firstLine="0"/>
              <w:rPr>
                <w:b/>
                <w:color w:val="000000"/>
                <w:szCs w:val="28"/>
              </w:rPr>
            </w:pPr>
            <w:r>
              <w:rPr>
                <w:b/>
                <w:color w:val="000000"/>
                <w:szCs w:val="28"/>
              </w:rPr>
              <w:t>38</w:t>
            </w:r>
          </w:p>
        </w:tc>
      </w:tr>
      <w:tr w:rsidR="0045706C" w:rsidRPr="00242020" w:rsidTr="00B17D00">
        <w:tc>
          <w:tcPr>
            <w:tcW w:w="757" w:type="dxa"/>
            <w:hideMark/>
          </w:tcPr>
          <w:p w:rsidR="0045706C" w:rsidRPr="00242020" w:rsidRDefault="0045706C" w:rsidP="00B17D00">
            <w:pPr>
              <w:ind w:left="-68" w:right="-57" w:firstLine="0"/>
              <w:rPr>
                <w:color w:val="000000"/>
                <w:spacing w:val="-9"/>
                <w:szCs w:val="28"/>
              </w:rPr>
            </w:pPr>
            <w:r w:rsidRPr="00242020">
              <w:rPr>
                <w:color w:val="000000"/>
                <w:spacing w:val="-9"/>
                <w:szCs w:val="28"/>
              </w:rPr>
              <w:t>3.3.</w:t>
            </w:r>
          </w:p>
        </w:tc>
        <w:tc>
          <w:tcPr>
            <w:tcW w:w="8180" w:type="dxa"/>
            <w:hideMark/>
          </w:tcPr>
          <w:p w:rsidR="0045706C" w:rsidRPr="00242020" w:rsidRDefault="0045706C" w:rsidP="0045706C">
            <w:pPr>
              <w:tabs>
                <w:tab w:val="left" w:leader="dot" w:pos="7964"/>
              </w:tabs>
              <w:spacing w:after="100"/>
              <w:ind w:firstLine="0"/>
              <w:rPr>
                <w:b/>
                <w:color w:val="000000"/>
                <w:szCs w:val="28"/>
              </w:rPr>
            </w:pPr>
            <w:r w:rsidRPr="00242020">
              <w:rPr>
                <w:b/>
                <w:color w:val="000000"/>
                <w:szCs w:val="28"/>
              </w:rPr>
              <w:t>О</w:t>
            </w:r>
            <w:r w:rsidRPr="00242020">
              <w:rPr>
                <w:color w:val="000000"/>
                <w:szCs w:val="28"/>
              </w:rPr>
              <w:t xml:space="preserve">ренда державного майна </w:t>
            </w:r>
            <w:r w:rsidRPr="00242020">
              <w:rPr>
                <w:sz w:val="30"/>
                <w:szCs w:val="30"/>
              </w:rPr>
              <w:tab/>
            </w:r>
          </w:p>
        </w:tc>
        <w:tc>
          <w:tcPr>
            <w:tcW w:w="708" w:type="dxa"/>
            <w:hideMark/>
          </w:tcPr>
          <w:p w:rsidR="0045706C" w:rsidRPr="00242020" w:rsidRDefault="00B17D00" w:rsidP="0045706C">
            <w:pPr>
              <w:tabs>
                <w:tab w:val="left" w:leader="dot" w:pos="8067"/>
              </w:tabs>
              <w:spacing w:after="100"/>
              <w:ind w:firstLine="0"/>
              <w:rPr>
                <w:b/>
                <w:color w:val="000000"/>
                <w:szCs w:val="28"/>
              </w:rPr>
            </w:pPr>
            <w:r>
              <w:rPr>
                <w:b/>
                <w:color w:val="000000"/>
                <w:szCs w:val="28"/>
              </w:rPr>
              <w:t>40</w:t>
            </w:r>
          </w:p>
        </w:tc>
      </w:tr>
      <w:tr w:rsidR="0045706C" w:rsidRPr="00242020" w:rsidTr="00B17D00">
        <w:tc>
          <w:tcPr>
            <w:tcW w:w="757" w:type="dxa"/>
            <w:hideMark/>
          </w:tcPr>
          <w:p w:rsidR="0045706C" w:rsidRPr="00242020" w:rsidRDefault="0045706C" w:rsidP="00B17D00">
            <w:pPr>
              <w:ind w:left="-68" w:right="-57" w:firstLine="0"/>
              <w:rPr>
                <w:color w:val="000000"/>
                <w:spacing w:val="-9"/>
                <w:szCs w:val="28"/>
              </w:rPr>
            </w:pPr>
            <w:r w:rsidRPr="00242020">
              <w:rPr>
                <w:color w:val="000000"/>
                <w:spacing w:val="-9"/>
                <w:szCs w:val="28"/>
              </w:rPr>
              <w:t>3.4.</w:t>
            </w:r>
          </w:p>
        </w:tc>
        <w:tc>
          <w:tcPr>
            <w:tcW w:w="8180" w:type="dxa"/>
            <w:vAlign w:val="bottom"/>
            <w:hideMark/>
          </w:tcPr>
          <w:p w:rsidR="0045706C" w:rsidRPr="00242020" w:rsidRDefault="0045706C" w:rsidP="0045706C">
            <w:pPr>
              <w:tabs>
                <w:tab w:val="left" w:leader="dot" w:pos="7964"/>
              </w:tabs>
              <w:spacing w:after="100"/>
              <w:ind w:firstLine="0"/>
              <w:rPr>
                <w:color w:val="000000"/>
                <w:szCs w:val="28"/>
              </w:rPr>
            </w:pPr>
            <w:r w:rsidRPr="00242020">
              <w:rPr>
                <w:b/>
                <w:color w:val="000000"/>
                <w:szCs w:val="28"/>
              </w:rPr>
              <w:t>Д</w:t>
            </w:r>
            <w:r w:rsidRPr="00242020">
              <w:rPr>
                <w:color w:val="000000"/>
                <w:szCs w:val="28"/>
              </w:rPr>
              <w:t xml:space="preserve">іяльність Фонду з питань управління державним майном </w:t>
            </w:r>
            <w:r w:rsidRPr="00242020">
              <w:rPr>
                <w:sz w:val="30"/>
                <w:szCs w:val="30"/>
              </w:rPr>
              <w:tab/>
            </w:r>
          </w:p>
        </w:tc>
        <w:tc>
          <w:tcPr>
            <w:tcW w:w="708" w:type="dxa"/>
            <w:hideMark/>
          </w:tcPr>
          <w:p w:rsidR="0045706C" w:rsidRPr="00242020" w:rsidRDefault="00B17D00" w:rsidP="0045706C">
            <w:pPr>
              <w:tabs>
                <w:tab w:val="left" w:leader="dot" w:pos="8067"/>
              </w:tabs>
              <w:spacing w:after="100"/>
              <w:ind w:firstLine="0"/>
              <w:rPr>
                <w:b/>
                <w:color w:val="000000"/>
                <w:szCs w:val="28"/>
              </w:rPr>
            </w:pPr>
            <w:r>
              <w:rPr>
                <w:b/>
                <w:color w:val="000000"/>
                <w:szCs w:val="28"/>
              </w:rPr>
              <w:t>45</w:t>
            </w:r>
          </w:p>
        </w:tc>
      </w:tr>
      <w:tr w:rsidR="0045706C" w:rsidRPr="00242020" w:rsidTr="00B17D00">
        <w:tc>
          <w:tcPr>
            <w:tcW w:w="757" w:type="dxa"/>
            <w:hideMark/>
          </w:tcPr>
          <w:p w:rsidR="0045706C" w:rsidRPr="00242020" w:rsidRDefault="0045706C" w:rsidP="00B17D00">
            <w:pPr>
              <w:ind w:left="-68" w:right="-57" w:firstLine="0"/>
              <w:rPr>
                <w:color w:val="000000"/>
                <w:spacing w:val="-9"/>
                <w:szCs w:val="28"/>
              </w:rPr>
            </w:pPr>
            <w:r w:rsidRPr="00242020">
              <w:rPr>
                <w:color w:val="000000"/>
                <w:spacing w:val="-9"/>
                <w:szCs w:val="28"/>
              </w:rPr>
              <w:t>3.5.</w:t>
            </w:r>
          </w:p>
        </w:tc>
        <w:tc>
          <w:tcPr>
            <w:tcW w:w="8180" w:type="dxa"/>
            <w:vAlign w:val="bottom"/>
            <w:hideMark/>
          </w:tcPr>
          <w:p w:rsidR="0045706C" w:rsidRPr="00242020" w:rsidRDefault="0045706C" w:rsidP="0045706C">
            <w:pPr>
              <w:tabs>
                <w:tab w:val="left" w:leader="dot" w:pos="7964"/>
              </w:tabs>
              <w:spacing w:after="100"/>
              <w:ind w:firstLine="0"/>
              <w:rPr>
                <w:color w:val="000000"/>
                <w:szCs w:val="28"/>
              </w:rPr>
            </w:pPr>
            <w:r w:rsidRPr="00242020">
              <w:rPr>
                <w:b/>
                <w:color w:val="000000"/>
                <w:szCs w:val="28"/>
              </w:rPr>
              <w:t>У</w:t>
            </w:r>
            <w:r w:rsidRPr="00242020">
              <w:rPr>
                <w:color w:val="000000"/>
                <w:szCs w:val="28"/>
              </w:rPr>
              <w:t xml:space="preserve">правління корпоративними правами держави </w:t>
            </w:r>
            <w:r w:rsidRPr="00242020">
              <w:rPr>
                <w:sz w:val="30"/>
                <w:szCs w:val="30"/>
              </w:rPr>
              <w:tab/>
            </w:r>
          </w:p>
        </w:tc>
        <w:tc>
          <w:tcPr>
            <w:tcW w:w="708" w:type="dxa"/>
            <w:hideMark/>
          </w:tcPr>
          <w:p w:rsidR="0045706C" w:rsidRPr="00242020" w:rsidRDefault="00B17D00" w:rsidP="0045706C">
            <w:pPr>
              <w:tabs>
                <w:tab w:val="left" w:leader="dot" w:pos="8067"/>
              </w:tabs>
              <w:spacing w:after="100"/>
              <w:ind w:firstLine="0"/>
              <w:rPr>
                <w:b/>
                <w:color w:val="000000"/>
                <w:szCs w:val="28"/>
              </w:rPr>
            </w:pPr>
            <w:r>
              <w:rPr>
                <w:b/>
                <w:color w:val="000000"/>
                <w:szCs w:val="28"/>
              </w:rPr>
              <w:t>48</w:t>
            </w:r>
          </w:p>
        </w:tc>
      </w:tr>
      <w:tr w:rsidR="0045706C" w:rsidRPr="00242020" w:rsidTr="00B17D00">
        <w:tc>
          <w:tcPr>
            <w:tcW w:w="757" w:type="dxa"/>
            <w:hideMark/>
          </w:tcPr>
          <w:p w:rsidR="0045706C" w:rsidRPr="00242020" w:rsidRDefault="0045706C" w:rsidP="00B17D00">
            <w:pPr>
              <w:ind w:left="-68" w:right="-57" w:firstLine="0"/>
              <w:rPr>
                <w:color w:val="000000"/>
                <w:spacing w:val="-9"/>
                <w:szCs w:val="28"/>
              </w:rPr>
            </w:pPr>
            <w:r w:rsidRPr="00242020">
              <w:rPr>
                <w:color w:val="000000"/>
                <w:spacing w:val="-9"/>
                <w:szCs w:val="28"/>
              </w:rPr>
              <w:t>3.5.1.</w:t>
            </w:r>
          </w:p>
        </w:tc>
        <w:tc>
          <w:tcPr>
            <w:tcW w:w="8180" w:type="dxa"/>
            <w:vAlign w:val="bottom"/>
            <w:hideMark/>
          </w:tcPr>
          <w:p w:rsidR="0045706C" w:rsidRPr="00242020" w:rsidRDefault="0045706C" w:rsidP="0045706C">
            <w:pPr>
              <w:tabs>
                <w:tab w:val="left" w:leader="dot" w:pos="7964"/>
              </w:tabs>
              <w:spacing w:after="100"/>
              <w:ind w:firstLine="0"/>
              <w:rPr>
                <w:color w:val="000000"/>
                <w:szCs w:val="28"/>
              </w:rPr>
            </w:pPr>
            <w:r w:rsidRPr="00242020">
              <w:rPr>
                <w:b/>
                <w:color w:val="000000"/>
                <w:szCs w:val="28"/>
              </w:rPr>
              <w:t>С</w:t>
            </w:r>
            <w:r w:rsidRPr="00242020">
              <w:rPr>
                <w:color w:val="000000"/>
                <w:szCs w:val="28"/>
              </w:rPr>
              <w:t xml:space="preserve">труктура корпоративних прав держави </w:t>
            </w:r>
            <w:r w:rsidRPr="00242020">
              <w:rPr>
                <w:sz w:val="30"/>
                <w:szCs w:val="30"/>
              </w:rPr>
              <w:tab/>
            </w:r>
          </w:p>
        </w:tc>
        <w:tc>
          <w:tcPr>
            <w:tcW w:w="708" w:type="dxa"/>
            <w:hideMark/>
          </w:tcPr>
          <w:p w:rsidR="0045706C" w:rsidRPr="00242020" w:rsidRDefault="00B17D00" w:rsidP="0045706C">
            <w:pPr>
              <w:tabs>
                <w:tab w:val="left" w:leader="dot" w:pos="8067"/>
              </w:tabs>
              <w:spacing w:after="100"/>
              <w:ind w:firstLine="0"/>
              <w:rPr>
                <w:b/>
                <w:color w:val="000000"/>
                <w:szCs w:val="28"/>
              </w:rPr>
            </w:pPr>
            <w:r>
              <w:rPr>
                <w:b/>
                <w:color w:val="000000"/>
                <w:szCs w:val="28"/>
              </w:rPr>
              <w:t>48</w:t>
            </w:r>
          </w:p>
        </w:tc>
      </w:tr>
      <w:tr w:rsidR="0045706C" w:rsidRPr="00242020" w:rsidTr="00362AD3">
        <w:tc>
          <w:tcPr>
            <w:tcW w:w="757" w:type="dxa"/>
            <w:hideMark/>
          </w:tcPr>
          <w:p w:rsidR="0045706C" w:rsidRPr="00242020" w:rsidRDefault="0045706C" w:rsidP="0045706C">
            <w:pPr>
              <w:ind w:left="-68" w:right="-57" w:firstLine="0"/>
              <w:jc w:val="both"/>
              <w:rPr>
                <w:color w:val="000000"/>
                <w:spacing w:val="-9"/>
                <w:szCs w:val="28"/>
              </w:rPr>
            </w:pPr>
            <w:r w:rsidRPr="00242020">
              <w:rPr>
                <w:color w:val="000000"/>
                <w:spacing w:val="-9"/>
                <w:szCs w:val="28"/>
              </w:rPr>
              <w:t>3.5.2.</w:t>
            </w:r>
          </w:p>
        </w:tc>
        <w:tc>
          <w:tcPr>
            <w:tcW w:w="8180" w:type="dxa"/>
            <w:hideMark/>
          </w:tcPr>
          <w:p w:rsidR="0045706C" w:rsidRPr="00242020" w:rsidRDefault="0045706C" w:rsidP="0045706C">
            <w:pPr>
              <w:tabs>
                <w:tab w:val="left" w:leader="dot" w:pos="7964"/>
              </w:tabs>
              <w:spacing w:after="100"/>
              <w:ind w:firstLine="0"/>
              <w:jc w:val="both"/>
              <w:rPr>
                <w:color w:val="000000"/>
                <w:szCs w:val="28"/>
              </w:rPr>
            </w:pPr>
            <w:r w:rsidRPr="00242020">
              <w:rPr>
                <w:b/>
                <w:color w:val="000000"/>
                <w:szCs w:val="28"/>
              </w:rPr>
              <w:t>В</w:t>
            </w:r>
            <w:r w:rsidRPr="00242020">
              <w:rPr>
                <w:color w:val="000000"/>
                <w:szCs w:val="28"/>
              </w:rPr>
              <w:t xml:space="preserve">заємодія з органами виконавчої влади у сфері обліку корпоративних прав держави. Захист майнових інтересів держави за кордоном </w:t>
            </w:r>
            <w:r w:rsidRPr="00242020">
              <w:rPr>
                <w:sz w:val="30"/>
                <w:szCs w:val="30"/>
              </w:rPr>
              <w:tab/>
            </w:r>
          </w:p>
        </w:tc>
        <w:tc>
          <w:tcPr>
            <w:tcW w:w="708" w:type="dxa"/>
            <w:vAlign w:val="bottom"/>
            <w:hideMark/>
          </w:tcPr>
          <w:p w:rsidR="0045706C" w:rsidRPr="00242020" w:rsidRDefault="00B17D00" w:rsidP="00362AD3">
            <w:pPr>
              <w:tabs>
                <w:tab w:val="left" w:leader="dot" w:pos="8067"/>
              </w:tabs>
              <w:spacing w:after="100"/>
              <w:ind w:firstLine="0"/>
              <w:rPr>
                <w:b/>
                <w:color w:val="000000"/>
                <w:szCs w:val="28"/>
              </w:rPr>
            </w:pPr>
            <w:r>
              <w:rPr>
                <w:b/>
                <w:color w:val="000000"/>
                <w:szCs w:val="28"/>
              </w:rPr>
              <w:t>52</w:t>
            </w:r>
          </w:p>
        </w:tc>
      </w:tr>
      <w:tr w:rsidR="0045706C" w:rsidRPr="00242020" w:rsidTr="00362AD3">
        <w:tc>
          <w:tcPr>
            <w:tcW w:w="757" w:type="dxa"/>
            <w:hideMark/>
          </w:tcPr>
          <w:p w:rsidR="0045706C" w:rsidRPr="00242020" w:rsidRDefault="0045706C" w:rsidP="0045706C">
            <w:pPr>
              <w:ind w:left="-68" w:right="-57" w:firstLine="0"/>
              <w:jc w:val="both"/>
              <w:rPr>
                <w:color w:val="000000"/>
                <w:spacing w:val="-9"/>
                <w:szCs w:val="28"/>
              </w:rPr>
            </w:pPr>
            <w:r w:rsidRPr="00242020">
              <w:rPr>
                <w:color w:val="000000"/>
                <w:spacing w:val="-9"/>
                <w:szCs w:val="28"/>
              </w:rPr>
              <w:t>3.5.3.</w:t>
            </w:r>
          </w:p>
        </w:tc>
        <w:tc>
          <w:tcPr>
            <w:tcW w:w="8180" w:type="dxa"/>
            <w:hideMark/>
          </w:tcPr>
          <w:p w:rsidR="0045706C" w:rsidRPr="00242020" w:rsidRDefault="0045706C" w:rsidP="0045706C">
            <w:pPr>
              <w:tabs>
                <w:tab w:val="left" w:leader="dot" w:pos="7964"/>
              </w:tabs>
              <w:spacing w:after="100"/>
              <w:ind w:firstLine="0"/>
              <w:jc w:val="both"/>
              <w:rPr>
                <w:color w:val="000000"/>
                <w:szCs w:val="28"/>
              </w:rPr>
            </w:pPr>
            <w:r w:rsidRPr="00242020">
              <w:rPr>
                <w:b/>
                <w:color w:val="000000"/>
                <w:szCs w:val="28"/>
              </w:rPr>
              <w:t>Р</w:t>
            </w:r>
            <w:r w:rsidRPr="00242020">
              <w:rPr>
                <w:color w:val="000000"/>
                <w:szCs w:val="28"/>
              </w:rPr>
              <w:t xml:space="preserve">обота Фонду з управління корпоративними правами держави та її удосконалення </w:t>
            </w:r>
            <w:r w:rsidRPr="00242020">
              <w:rPr>
                <w:sz w:val="30"/>
                <w:szCs w:val="30"/>
              </w:rPr>
              <w:tab/>
            </w:r>
          </w:p>
        </w:tc>
        <w:tc>
          <w:tcPr>
            <w:tcW w:w="708" w:type="dxa"/>
            <w:vAlign w:val="bottom"/>
            <w:hideMark/>
          </w:tcPr>
          <w:p w:rsidR="0045706C" w:rsidRPr="00242020" w:rsidRDefault="00B17D00" w:rsidP="00362AD3">
            <w:pPr>
              <w:tabs>
                <w:tab w:val="left" w:leader="dot" w:pos="8067"/>
              </w:tabs>
              <w:spacing w:after="100"/>
              <w:ind w:firstLine="0"/>
              <w:rPr>
                <w:b/>
                <w:color w:val="000000"/>
                <w:szCs w:val="28"/>
              </w:rPr>
            </w:pPr>
            <w:r>
              <w:rPr>
                <w:b/>
                <w:color w:val="000000"/>
                <w:szCs w:val="28"/>
              </w:rPr>
              <w:t>55</w:t>
            </w:r>
          </w:p>
        </w:tc>
      </w:tr>
      <w:tr w:rsidR="0045706C" w:rsidRPr="00242020" w:rsidTr="001E5CAD">
        <w:tc>
          <w:tcPr>
            <w:tcW w:w="757" w:type="dxa"/>
          </w:tcPr>
          <w:p w:rsidR="0045706C" w:rsidRPr="00242020" w:rsidRDefault="0045706C" w:rsidP="0045706C">
            <w:pPr>
              <w:ind w:left="-68" w:right="-57" w:firstLine="0"/>
              <w:jc w:val="both"/>
              <w:rPr>
                <w:color w:val="000000"/>
                <w:spacing w:val="-9"/>
                <w:szCs w:val="28"/>
              </w:rPr>
            </w:pPr>
          </w:p>
        </w:tc>
        <w:tc>
          <w:tcPr>
            <w:tcW w:w="8180" w:type="dxa"/>
          </w:tcPr>
          <w:p w:rsidR="0045706C" w:rsidRPr="00242020" w:rsidRDefault="0045706C" w:rsidP="0045706C">
            <w:pPr>
              <w:tabs>
                <w:tab w:val="left" w:leader="dot" w:pos="7964"/>
              </w:tabs>
              <w:spacing w:after="100"/>
              <w:ind w:firstLine="0"/>
              <w:jc w:val="both"/>
              <w:rPr>
                <w:b/>
                <w:color w:val="000000"/>
                <w:szCs w:val="28"/>
              </w:rPr>
            </w:pPr>
          </w:p>
          <w:p w:rsidR="0045706C" w:rsidRPr="00242020" w:rsidRDefault="0045706C" w:rsidP="0045706C">
            <w:pPr>
              <w:tabs>
                <w:tab w:val="left" w:leader="dot" w:pos="7964"/>
              </w:tabs>
              <w:spacing w:after="100"/>
              <w:ind w:firstLine="0"/>
              <w:jc w:val="both"/>
              <w:rPr>
                <w:b/>
                <w:color w:val="000000"/>
                <w:szCs w:val="28"/>
              </w:rPr>
            </w:pPr>
          </w:p>
        </w:tc>
        <w:tc>
          <w:tcPr>
            <w:tcW w:w="708" w:type="dxa"/>
          </w:tcPr>
          <w:p w:rsidR="0045706C" w:rsidRPr="00242020" w:rsidRDefault="0045706C" w:rsidP="0045706C">
            <w:pPr>
              <w:tabs>
                <w:tab w:val="left" w:leader="dot" w:pos="8067"/>
              </w:tabs>
              <w:spacing w:after="100"/>
              <w:ind w:firstLine="0"/>
              <w:rPr>
                <w:b/>
                <w:color w:val="000000"/>
                <w:szCs w:val="28"/>
              </w:rPr>
            </w:pPr>
          </w:p>
        </w:tc>
      </w:tr>
      <w:tr w:rsidR="0045706C" w:rsidRPr="00242020" w:rsidTr="00B17D00">
        <w:tc>
          <w:tcPr>
            <w:tcW w:w="757" w:type="dxa"/>
            <w:hideMark/>
          </w:tcPr>
          <w:p w:rsidR="0045706C" w:rsidRPr="00242020" w:rsidRDefault="0045706C" w:rsidP="0045706C">
            <w:pPr>
              <w:ind w:left="-68" w:right="-57" w:firstLine="0"/>
              <w:jc w:val="both"/>
              <w:rPr>
                <w:color w:val="000000"/>
                <w:spacing w:val="-9"/>
                <w:szCs w:val="28"/>
              </w:rPr>
            </w:pPr>
            <w:r w:rsidRPr="00242020">
              <w:rPr>
                <w:color w:val="000000"/>
                <w:spacing w:val="-9"/>
                <w:szCs w:val="28"/>
              </w:rPr>
              <w:lastRenderedPageBreak/>
              <w:t>3.5.4.</w:t>
            </w:r>
          </w:p>
        </w:tc>
        <w:tc>
          <w:tcPr>
            <w:tcW w:w="8180" w:type="dxa"/>
            <w:hideMark/>
          </w:tcPr>
          <w:p w:rsidR="0045706C" w:rsidRPr="00242020" w:rsidRDefault="0045706C" w:rsidP="0045706C">
            <w:pPr>
              <w:tabs>
                <w:tab w:val="left" w:leader="dot" w:pos="7964"/>
              </w:tabs>
              <w:spacing w:after="100"/>
              <w:ind w:firstLine="0"/>
              <w:jc w:val="both"/>
              <w:rPr>
                <w:color w:val="000000"/>
                <w:szCs w:val="28"/>
              </w:rPr>
            </w:pPr>
            <w:r w:rsidRPr="00242020">
              <w:rPr>
                <w:b/>
                <w:color w:val="000000"/>
                <w:szCs w:val="28"/>
              </w:rPr>
              <w:t>С</w:t>
            </w:r>
            <w:r w:rsidRPr="00242020">
              <w:rPr>
                <w:color w:val="000000"/>
                <w:szCs w:val="28"/>
              </w:rPr>
              <w:t xml:space="preserve">тан перерахування дивідендів до державного бюджету господарськими товариствами, що належать до сфери управління Фонду </w:t>
            </w:r>
            <w:r w:rsidRPr="00242020">
              <w:rPr>
                <w:sz w:val="30"/>
                <w:szCs w:val="30"/>
              </w:rPr>
              <w:tab/>
            </w:r>
          </w:p>
        </w:tc>
        <w:tc>
          <w:tcPr>
            <w:tcW w:w="708" w:type="dxa"/>
            <w:vAlign w:val="bottom"/>
            <w:hideMark/>
          </w:tcPr>
          <w:p w:rsidR="0045706C" w:rsidRPr="00242020" w:rsidRDefault="00B17D00" w:rsidP="00B17D00">
            <w:pPr>
              <w:tabs>
                <w:tab w:val="left" w:leader="dot" w:pos="8067"/>
              </w:tabs>
              <w:spacing w:after="100"/>
              <w:ind w:firstLine="0"/>
              <w:rPr>
                <w:b/>
                <w:color w:val="000000"/>
                <w:szCs w:val="28"/>
              </w:rPr>
            </w:pPr>
            <w:r>
              <w:rPr>
                <w:b/>
                <w:color w:val="000000"/>
                <w:szCs w:val="28"/>
              </w:rPr>
              <w:t>61</w:t>
            </w:r>
          </w:p>
        </w:tc>
      </w:tr>
      <w:tr w:rsidR="0045706C" w:rsidRPr="00242020" w:rsidTr="00B17D00">
        <w:tc>
          <w:tcPr>
            <w:tcW w:w="757" w:type="dxa"/>
            <w:hideMark/>
          </w:tcPr>
          <w:p w:rsidR="0045706C" w:rsidRPr="00242020" w:rsidRDefault="0045706C" w:rsidP="00135105">
            <w:pPr>
              <w:ind w:left="-68" w:right="-57" w:firstLine="0"/>
              <w:jc w:val="both"/>
              <w:rPr>
                <w:color w:val="000000"/>
                <w:spacing w:val="-9"/>
                <w:szCs w:val="28"/>
              </w:rPr>
            </w:pPr>
            <w:r w:rsidRPr="00242020">
              <w:rPr>
                <w:color w:val="000000"/>
                <w:spacing w:val="-9"/>
                <w:szCs w:val="28"/>
              </w:rPr>
              <w:t>3.5.5.</w:t>
            </w:r>
          </w:p>
        </w:tc>
        <w:tc>
          <w:tcPr>
            <w:tcW w:w="8180" w:type="dxa"/>
            <w:hideMark/>
          </w:tcPr>
          <w:p w:rsidR="0045706C" w:rsidRPr="00242020" w:rsidRDefault="0045706C" w:rsidP="0045706C">
            <w:pPr>
              <w:tabs>
                <w:tab w:val="left" w:leader="dot" w:pos="7964"/>
              </w:tabs>
              <w:spacing w:after="100"/>
              <w:ind w:firstLine="0"/>
              <w:jc w:val="both"/>
              <w:rPr>
                <w:color w:val="000000"/>
                <w:szCs w:val="28"/>
              </w:rPr>
            </w:pPr>
            <w:r w:rsidRPr="00242020">
              <w:rPr>
                <w:b/>
                <w:color w:val="000000"/>
                <w:szCs w:val="28"/>
              </w:rPr>
              <w:t>У</w:t>
            </w:r>
            <w:r w:rsidRPr="00242020">
              <w:rPr>
                <w:color w:val="000000"/>
                <w:szCs w:val="28"/>
              </w:rPr>
              <w:t xml:space="preserve">часть Фонду в процедурах банкрутства підприємств та реструктуризації господарських товариств, у статутних капіталах яких корпоративні права держави перевищують 50 відсотків і які належать до сфери управління Фонду </w:t>
            </w:r>
            <w:r w:rsidRPr="00242020">
              <w:rPr>
                <w:sz w:val="30"/>
                <w:szCs w:val="30"/>
              </w:rPr>
              <w:tab/>
            </w:r>
          </w:p>
        </w:tc>
        <w:tc>
          <w:tcPr>
            <w:tcW w:w="708" w:type="dxa"/>
            <w:vAlign w:val="bottom"/>
            <w:hideMark/>
          </w:tcPr>
          <w:p w:rsidR="0045706C" w:rsidRPr="00242020" w:rsidRDefault="00B17D00" w:rsidP="00B17D00">
            <w:pPr>
              <w:tabs>
                <w:tab w:val="left" w:leader="dot" w:pos="8067"/>
              </w:tabs>
              <w:spacing w:after="100"/>
              <w:ind w:firstLine="0"/>
              <w:rPr>
                <w:b/>
                <w:color w:val="000000"/>
                <w:szCs w:val="28"/>
              </w:rPr>
            </w:pPr>
            <w:r>
              <w:rPr>
                <w:b/>
                <w:color w:val="000000"/>
                <w:szCs w:val="28"/>
              </w:rPr>
              <w:t>64</w:t>
            </w:r>
          </w:p>
        </w:tc>
      </w:tr>
      <w:tr w:rsidR="0045706C" w:rsidRPr="00242020" w:rsidTr="00B17D00">
        <w:tc>
          <w:tcPr>
            <w:tcW w:w="757" w:type="dxa"/>
            <w:hideMark/>
          </w:tcPr>
          <w:p w:rsidR="0045706C" w:rsidRPr="00242020" w:rsidRDefault="0045706C" w:rsidP="0045706C">
            <w:pPr>
              <w:spacing w:after="100" w:afterAutospacing="1"/>
              <w:ind w:left="-66" w:right="-57" w:firstLine="0"/>
              <w:rPr>
                <w:b/>
                <w:color w:val="000000"/>
                <w:spacing w:val="-9"/>
                <w:szCs w:val="28"/>
              </w:rPr>
            </w:pPr>
            <w:r w:rsidRPr="00242020">
              <w:rPr>
                <w:b/>
                <w:color w:val="000000"/>
                <w:spacing w:val="-9"/>
                <w:szCs w:val="28"/>
              </w:rPr>
              <w:t>4.</w:t>
            </w:r>
          </w:p>
        </w:tc>
        <w:tc>
          <w:tcPr>
            <w:tcW w:w="8180" w:type="dxa"/>
            <w:hideMark/>
          </w:tcPr>
          <w:p w:rsidR="0045706C" w:rsidRPr="00242020" w:rsidRDefault="0045706C" w:rsidP="0045706C">
            <w:pPr>
              <w:tabs>
                <w:tab w:val="left" w:leader="dot" w:pos="7964"/>
              </w:tabs>
              <w:spacing w:after="100"/>
              <w:ind w:firstLine="0"/>
              <w:rPr>
                <w:color w:val="000000"/>
                <w:szCs w:val="28"/>
              </w:rPr>
            </w:pPr>
            <w:r w:rsidRPr="00242020">
              <w:rPr>
                <w:b/>
                <w:color w:val="000000"/>
                <w:szCs w:val="28"/>
              </w:rPr>
              <w:t>О</w:t>
            </w:r>
            <w:r w:rsidRPr="00242020">
              <w:rPr>
                <w:color w:val="000000"/>
                <w:szCs w:val="28"/>
              </w:rPr>
              <w:t xml:space="preserve">цінка державного майна та нормативно-правове регулювання оціночної діяльності </w:t>
            </w:r>
            <w:r w:rsidRPr="00242020">
              <w:rPr>
                <w:sz w:val="30"/>
                <w:szCs w:val="30"/>
              </w:rPr>
              <w:tab/>
            </w:r>
          </w:p>
        </w:tc>
        <w:tc>
          <w:tcPr>
            <w:tcW w:w="708" w:type="dxa"/>
            <w:vAlign w:val="bottom"/>
            <w:hideMark/>
          </w:tcPr>
          <w:p w:rsidR="0045706C" w:rsidRPr="00242020" w:rsidRDefault="00B17D00" w:rsidP="00B17D00">
            <w:pPr>
              <w:tabs>
                <w:tab w:val="left" w:leader="dot" w:pos="8067"/>
              </w:tabs>
              <w:spacing w:after="100"/>
              <w:ind w:firstLine="0"/>
              <w:rPr>
                <w:b/>
                <w:color w:val="000000"/>
                <w:szCs w:val="28"/>
              </w:rPr>
            </w:pPr>
            <w:r>
              <w:rPr>
                <w:b/>
                <w:color w:val="000000"/>
                <w:szCs w:val="28"/>
              </w:rPr>
              <w:t>67</w:t>
            </w:r>
          </w:p>
        </w:tc>
      </w:tr>
      <w:tr w:rsidR="0045706C" w:rsidRPr="00242020" w:rsidTr="00B17D00">
        <w:tc>
          <w:tcPr>
            <w:tcW w:w="757" w:type="dxa"/>
            <w:hideMark/>
          </w:tcPr>
          <w:p w:rsidR="0045706C" w:rsidRPr="00242020" w:rsidRDefault="0045706C" w:rsidP="0045706C">
            <w:pPr>
              <w:spacing w:before="40" w:after="10"/>
              <w:ind w:left="-66" w:right="-57" w:firstLine="0"/>
              <w:rPr>
                <w:color w:val="000000"/>
                <w:spacing w:val="-9"/>
                <w:szCs w:val="28"/>
              </w:rPr>
            </w:pPr>
            <w:r w:rsidRPr="00242020">
              <w:rPr>
                <w:color w:val="000000"/>
                <w:spacing w:val="-9"/>
                <w:szCs w:val="28"/>
              </w:rPr>
              <w:t>4.1.</w:t>
            </w:r>
          </w:p>
        </w:tc>
        <w:tc>
          <w:tcPr>
            <w:tcW w:w="8180" w:type="dxa"/>
            <w:hideMark/>
          </w:tcPr>
          <w:p w:rsidR="0045706C" w:rsidRPr="00242020" w:rsidRDefault="0045706C" w:rsidP="0045706C">
            <w:pPr>
              <w:tabs>
                <w:tab w:val="left" w:leader="dot" w:pos="7964"/>
              </w:tabs>
              <w:spacing w:after="100"/>
              <w:ind w:firstLine="0"/>
              <w:jc w:val="both"/>
              <w:rPr>
                <w:color w:val="000000"/>
                <w:szCs w:val="28"/>
              </w:rPr>
            </w:pPr>
            <w:r w:rsidRPr="00242020">
              <w:rPr>
                <w:b/>
                <w:color w:val="000000"/>
                <w:szCs w:val="28"/>
              </w:rPr>
              <w:t>П</w:t>
            </w:r>
            <w:r w:rsidRPr="00242020">
              <w:rPr>
                <w:color w:val="000000"/>
                <w:szCs w:val="28"/>
              </w:rPr>
              <w:t xml:space="preserve">рактична діяльність Фонду з оцінки майна та забезпечення рецензування звітів про оцінку майна, актів оцінки майна </w:t>
            </w:r>
            <w:r w:rsidRPr="00242020">
              <w:rPr>
                <w:sz w:val="30"/>
                <w:szCs w:val="30"/>
              </w:rPr>
              <w:tab/>
            </w:r>
          </w:p>
        </w:tc>
        <w:tc>
          <w:tcPr>
            <w:tcW w:w="708" w:type="dxa"/>
            <w:vAlign w:val="bottom"/>
            <w:hideMark/>
          </w:tcPr>
          <w:p w:rsidR="0045706C" w:rsidRPr="00242020" w:rsidRDefault="00B17D00" w:rsidP="00B17D00">
            <w:pPr>
              <w:tabs>
                <w:tab w:val="left" w:leader="dot" w:pos="8067"/>
              </w:tabs>
              <w:spacing w:after="100"/>
              <w:ind w:firstLine="0"/>
              <w:rPr>
                <w:b/>
                <w:color w:val="000000"/>
                <w:szCs w:val="28"/>
              </w:rPr>
            </w:pPr>
            <w:r>
              <w:rPr>
                <w:b/>
                <w:color w:val="000000"/>
                <w:szCs w:val="28"/>
              </w:rPr>
              <w:t>67</w:t>
            </w:r>
          </w:p>
        </w:tc>
      </w:tr>
      <w:tr w:rsidR="0045706C" w:rsidRPr="00242020" w:rsidTr="00B17D00">
        <w:tc>
          <w:tcPr>
            <w:tcW w:w="757" w:type="dxa"/>
            <w:hideMark/>
          </w:tcPr>
          <w:p w:rsidR="0045706C" w:rsidRPr="00242020" w:rsidRDefault="0045706C" w:rsidP="0045706C">
            <w:pPr>
              <w:spacing w:before="40" w:after="10"/>
              <w:ind w:left="-66" w:right="-57" w:firstLine="0"/>
              <w:rPr>
                <w:color w:val="000000"/>
                <w:szCs w:val="28"/>
              </w:rPr>
            </w:pPr>
            <w:r w:rsidRPr="00242020">
              <w:rPr>
                <w:color w:val="000000"/>
                <w:szCs w:val="28"/>
              </w:rPr>
              <w:t>4.2.</w:t>
            </w:r>
          </w:p>
        </w:tc>
        <w:tc>
          <w:tcPr>
            <w:tcW w:w="8180" w:type="dxa"/>
            <w:hideMark/>
          </w:tcPr>
          <w:p w:rsidR="0045706C" w:rsidRPr="00242020" w:rsidRDefault="0045706C" w:rsidP="0045706C">
            <w:pPr>
              <w:tabs>
                <w:tab w:val="left" w:leader="dot" w:pos="7964"/>
              </w:tabs>
              <w:spacing w:after="100"/>
              <w:ind w:firstLine="0"/>
              <w:jc w:val="both"/>
              <w:rPr>
                <w:color w:val="000000"/>
                <w:szCs w:val="28"/>
              </w:rPr>
            </w:pPr>
            <w:r w:rsidRPr="00242020">
              <w:rPr>
                <w:b/>
                <w:color w:val="000000"/>
                <w:szCs w:val="28"/>
              </w:rPr>
              <w:t>Д</w:t>
            </w:r>
            <w:r w:rsidRPr="00242020">
              <w:rPr>
                <w:color w:val="000000"/>
                <w:szCs w:val="28"/>
              </w:rPr>
              <w:t xml:space="preserve">ержавне регулювання оціночної діяльності, у тому числі нормотворча діяльність у сферах оцінки майна та професійної оціночної діяльності </w:t>
            </w:r>
            <w:r w:rsidRPr="00242020">
              <w:rPr>
                <w:sz w:val="30"/>
                <w:szCs w:val="30"/>
              </w:rPr>
              <w:tab/>
            </w:r>
          </w:p>
        </w:tc>
        <w:tc>
          <w:tcPr>
            <w:tcW w:w="708" w:type="dxa"/>
            <w:vAlign w:val="bottom"/>
            <w:hideMark/>
          </w:tcPr>
          <w:p w:rsidR="0045706C" w:rsidRPr="00242020" w:rsidRDefault="00B17D00" w:rsidP="00B17D00">
            <w:pPr>
              <w:tabs>
                <w:tab w:val="left" w:leader="dot" w:pos="8067"/>
              </w:tabs>
              <w:spacing w:after="100"/>
              <w:ind w:firstLine="0"/>
              <w:rPr>
                <w:b/>
                <w:color w:val="000000"/>
                <w:szCs w:val="28"/>
              </w:rPr>
            </w:pPr>
            <w:r>
              <w:rPr>
                <w:b/>
                <w:color w:val="000000"/>
                <w:szCs w:val="28"/>
              </w:rPr>
              <w:t>67</w:t>
            </w:r>
          </w:p>
        </w:tc>
      </w:tr>
      <w:tr w:rsidR="0045706C" w:rsidRPr="00242020" w:rsidTr="00B17D00">
        <w:tc>
          <w:tcPr>
            <w:tcW w:w="757" w:type="dxa"/>
            <w:hideMark/>
          </w:tcPr>
          <w:p w:rsidR="0045706C" w:rsidRPr="00242020" w:rsidRDefault="0045706C" w:rsidP="0045706C">
            <w:pPr>
              <w:spacing w:before="10" w:after="10"/>
              <w:ind w:left="-66" w:right="-57" w:firstLine="0"/>
              <w:rPr>
                <w:b/>
                <w:color w:val="000000"/>
                <w:spacing w:val="-9"/>
                <w:szCs w:val="28"/>
              </w:rPr>
            </w:pPr>
            <w:r w:rsidRPr="00242020">
              <w:rPr>
                <w:b/>
                <w:color w:val="000000"/>
                <w:spacing w:val="-9"/>
                <w:szCs w:val="28"/>
              </w:rPr>
              <w:t>5.</w:t>
            </w:r>
          </w:p>
        </w:tc>
        <w:tc>
          <w:tcPr>
            <w:tcW w:w="8180" w:type="dxa"/>
            <w:hideMark/>
          </w:tcPr>
          <w:p w:rsidR="0045706C" w:rsidRPr="00242020" w:rsidRDefault="0045706C" w:rsidP="0045706C">
            <w:pPr>
              <w:tabs>
                <w:tab w:val="left" w:leader="dot" w:pos="7964"/>
              </w:tabs>
              <w:spacing w:after="100"/>
              <w:ind w:firstLine="0"/>
              <w:jc w:val="both"/>
              <w:rPr>
                <w:color w:val="000000"/>
                <w:szCs w:val="28"/>
              </w:rPr>
            </w:pPr>
            <w:r w:rsidRPr="00242020">
              <w:rPr>
                <w:b/>
                <w:color w:val="000000"/>
                <w:szCs w:val="28"/>
              </w:rPr>
              <w:t>В</w:t>
            </w:r>
            <w:r w:rsidRPr="00242020">
              <w:rPr>
                <w:color w:val="000000"/>
                <w:szCs w:val="28"/>
              </w:rPr>
              <w:t xml:space="preserve">нутрішній аудит та внутрівідомчий контроль в системі державних органів приватизації </w:t>
            </w:r>
            <w:r w:rsidRPr="00242020">
              <w:rPr>
                <w:sz w:val="30"/>
                <w:szCs w:val="30"/>
              </w:rPr>
              <w:tab/>
            </w:r>
          </w:p>
        </w:tc>
        <w:tc>
          <w:tcPr>
            <w:tcW w:w="708" w:type="dxa"/>
            <w:vAlign w:val="bottom"/>
            <w:hideMark/>
          </w:tcPr>
          <w:p w:rsidR="0045706C" w:rsidRPr="00242020" w:rsidRDefault="00B17D00" w:rsidP="00B17D00">
            <w:pPr>
              <w:tabs>
                <w:tab w:val="left" w:leader="dot" w:pos="8067"/>
              </w:tabs>
              <w:spacing w:after="100"/>
              <w:ind w:firstLine="0"/>
              <w:rPr>
                <w:b/>
                <w:color w:val="000000"/>
                <w:szCs w:val="28"/>
              </w:rPr>
            </w:pPr>
            <w:r>
              <w:rPr>
                <w:b/>
                <w:color w:val="000000"/>
                <w:szCs w:val="28"/>
              </w:rPr>
              <w:t>73</w:t>
            </w:r>
          </w:p>
        </w:tc>
      </w:tr>
      <w:tr w:rsidR="0045706C" w:rsidRPr="00242020" w:rsidTr="00B17D00">
        <w:tc>
          <w:tcPr>
            <w:tcW w:w="757" w:type="dxa"/>
            <w:hideMark/>
          </w:tcPr>
          <w:p w:rsidR="0045706C" w:rsidRPr="00242020" w:rsidRDefault="0045706C" w:rsidP="0045706C">
            <w:pPr>
              <w:spacing w:before="40" w:after="10"/>
              <w:ind w:left="-66" w:right="-57" w:firstLine="0"/>
              <w:rPr>
                <w:color w:val="000000"/>
                <w:spacing w:val="-9"/>
                <w:szCs w:val="28"/>
              </w:rPr>
            </w:pPr>
            <w:r w:rsidRPr="00242020">
              <w:rPr>
                <w:color w:val="000000"/>
                <w:spacing w:val="-9"/>
                <w:szCs w:val="28"/>
              </w:rPr>
              <w:t>5.1.</w:t>
            </w:r>
          </w:p>
        </w:tc>
        <w:tc>
          <w:tcPr>
            <w:tcW w:w="8180" w:type="dxa"/>
            <w:hideMark/>
          </w:tcPr>
          <w:p w:rsidR="0045706C" w:rsidRPr="00242020" w:rsidRDefault="0045706C" w:rsidP="0045706C">
            <w:pPr>
              <w:tabs>
                <w:tab w:val="left" w:leader="dot" w:pos="7964"/>
              </w:tabs>
              <w:spacing w:after="100"/>
              <w:ind w:firstLine="0"/>
              <w:jc w:val="both"/>
              <w:rPr>
                <w:color w:val="000000"/>
                <w:szCs w:val="28"/>
              </w:rPr>
            </w:pPr>
            <w:r w:rsidRPr="00242020">
              <w:rPr>
                <w:b/>
                <w:color w:val="000000"/>
                <w:szCs w:val="28"/>
              </w:rPr>
              <w:t>Д</w:t>
            </w:r>
            <w:r w:rsidRPr="00242020">
              <w:rPr>
                <w:color w:val="000000"/>
                <w:szCs w:val="28"/>
              </w:rPr>
              <w:t xml:space="preserve">іяльність Фонду щодо забезпечення внутрішнього аудиту в системі державних органів приватизації та результати його проведення </w:t>
            </w:r>
            <w:r w:rsidRPr="00242020">
              <w:rPr>
                <w:sz w:val="30"/>
                <w:szCs w:val="30"/>
              </w:rPr>
              <w:tab/>
            </w:r>
          </w:p>
        </w:tc>
        <w:tc>
          <w:tcPr>
            <w:tcW w:w="708" w:type="dxa"/>
            <w:vAlign w:val="bottom"/>
            <w:hideMark/>
          </w:tcPr>
          <w:p w:rsidR="0045706C" w:rsidRPr="00242020" w:rsidRDefault="00B17D00" w:rsidP="00B17D00">
            <w:pPr>
              <w:tabs>
                <w:tab w:val="left" w:leader="dot" w:pos="8067"/>
              </w:tabs>
              <w:spacing w:after="100"/>
              <w:ind w:firstLine="0"/>
              <w:rPr>
                <w:b/>
                <w:color w:val="000000"/>
                <w:szCs w:val="28"/>
              </w:rPr>
            </w:pPr>
            <w:r>
              <w:rPr>
                <w:b/>
                <w:color w:val="000000"/>
                <w:szCs w:val="28"/>
              </w:rPr>
              <w:t>73</w:t>
            </w:r>
          </w:p>
        </w:tc>
      </w:tr>
      <w:tr w:rsidR="0045706C" w:rsidRPr="00242020" w:rsidTr="00B17D00">
        <w:tc>
          <w:tcPr>
            <w:tcW w:w="757" w:type="dxa"/>
            <w:hideMark/>
          </w:tcPr>
          <w:p w:rsidR="0045706C" w:rsidRPr="00242020" w:rsidRDefault="0045706C" w:rsidP="0045706C">
            <w:pPr>
              <w:spacing w:before="40" w:after="10"/>
              <w:ind w:left="-66" w:right="-57" w:firstLine="0"/>
              <w:rPr>
                <w:color w:val="000000"/>
                <w:spacing w:val="-9"/>
                <w:szCs w:val="28"/>
              </w:rPr>
            </w:pPr>
            <w:r w:rsidRPr="00242020">
              <w:rPr>
                <w:color w:val="000000"/>
                <w:spacing w:val="-9"/>
                <w:szCs w:val="28"/>
              </w:rPr>
              <w:t>5.2.</w:t>
            </w:r>
          </w:p>
        </w:tc>
        <w:tc>
          <w:tcPr>
            <w:tcW w:w="8180" w:type="dxa"/>
            <w:hideMark/>
          </w:tcPr>
          <w:p w:rsidR="0045706C" w:rsidRPr="00242020" w:rsidRDefault="0045706C" w:rsidP="0045706C">
            <w:pPr>
              <w:tabs>
                <w:tab w:val="left" w:leader="dot" w:pos="7964"/>
              </w:tabs>
              <w:spacing w:after="100"/>
              <w:ind w:firstLine="0"/>
              <w:jc w:val="both"/>
              <w:rPr>
                <w:color w:val="000000"/>
                <w:szCs w:val="28"/>
              </w:rPr>
            </w:pPr>
            <w:r w:rsidRPr="00242020">
              <w:rPr>
                <w:b/>
                <w:color w:val="000000"/>
                <w:szCs w:val="28"/>
              </w:rPr>
              <w:t>З</w:t>
            </w:r>
            <w:r w:rsidRPr="00242020">
              <w:rPr>
                <w:color w:val="000000"/>
                <w:szCs w:val="28"/>
              </w:rPr>
              <w:t xml:space="preserve">абезпечення здійснення внутрівідомчого контролю органів приватизації за напрямами їх діяльності </w:t>
            </w:r>
            <w:r w:rsidRPr="00242020">
              <w:rPr>
                <w:sz w:val="30"/>
                <w:szCs w:val="30"/>
              </w:rPr>
              <w:tab/>
            </w:r>
          </w:p>
        </w:tc>
        <w:tc>
          <w:tcPr>
            <w:tcW w:w="708" w:type="dxa"/>
            <w:vAlign w:val="bottom"/>
            <w:hideMark/>
          </w:tcPr>
          <w:p w:rsidR="0045706C" w:rsidRPr="00242020" w:rsidRDefault="00536612" w:rsidP="00B17D00">
            <w:pPr>
              <w:tabs>
                <w:tab w:val="left" w:leader="dot" w:pos="8067"/>
              </w:tabs>
              <w:spacing w:after="100"/>
              <w:ind w:firstLine="0"/>
              <w:rPr>
                <w:b/>
                <w:color w:val="000000"/>
                <w:szCs w:val="28"/>
              </w:rPr>
            </w:pPr>
            <w:r>
              <w:rPr>
                <w:b/>
                <w:color w:val="000000"/>
                <w:szCs w:val="28"/>
              </w:rPr>
              <w:t>75</w:t>
            </w:r>
          </w:p>
        </w:tc>
      </w:tr>
      <w:tr w:rsidR="0045706C" w:rsidRPr="00242020" w:rsidTr="00B17D00">
        <w:tc>
          <w:tcPr>
            <w:tcW w:w="757" w:type="dxa"/>
            <w:hideMark/>
          </w:tcPr>
          <w:p w:rsidR="0045706C" w:rsidRPr="00242020" w:rsidRDefault="0045706C" w:rsidP="0045706C">
            <w:pPr>
              <w:spacing w:before="10" w:after="10"/>
              <w:ind w:left="-66" w:right="-57" w:firstLine="0"/>
              <w:rPr>
                <w:b/>
                <w:color w:val="000000"/>
                <w:spacing w:val="-9"/>
                <w:szCs w:val="28"/>
              </w:rPr>
            </w:pPr>
            <w:r w:rsidRPr="00242020">
              <w:rPr>
                <w:b/>
                <w:color w:val="000000"/>
                <w:spacing w:val="-9"/>
                <w:szCs w:val="28"/>
              </w:rPr>
              <w:t>6.</w:t>
            </w:r>
          </w:p>
        </w:tc>
        <w:tc>
          <w:tcPr>
            <w:tcW w:w="8180" w:type="dxa"/>
            <w:hideMark/>
          </w:tcPr>
          <w:p w:rsidR="0045706C" w:rsidRPr="00242020" w:rsidRDefault="0045706C" w:rsidP="0045706C">
            <w:pPr>
              <w:tabs>
                <w:tab w:val="left" w:leader="dot" w:pos="7964"/>
              </w:tabs>
              <w:spacing w:after="100"/>
              <w:ind w:firstLine="0"/>
              <w:jc w:val="both"/>
              <w:rPr>
                <w:color w:val="000000"/>
                <w:szCs w:val="28"/>
              </w:rPr>
            </w:pPr>
            <w:r w:rsidRPr="00242020">
              <w:rPr>
                <w:b/>
                <w:color w:val="000000"/>
                <w:szCs w:val="28"/>
              </w:rPr>
              <w:t>З</w:t>
            </w:r>
            <w:r w:rsidRPr="00242020">
              <w:rPr>
                <w:color w:val="000000"/>
                <w:szCs w:val="28"/>
              </w:rPr>
              <w:t xml:space="preserve">ахист державних інтересів у судах </w:t>
            </w:r>
            <w:r w:rsidRPr="00242020">
              <w:rPr>
                <w:sz w:val="30"/>
                <w:szCs w:val="30"/>
              </w:rPr>
              <w:tab/>
            </w:r>
          </w:p>
        </w:tc>
        <w:tc>
          <w:tcPr>
            <w:tcW w:w="708" w:type="dxa"/>
            <w:vAlign w:val="bottom"/>
            <w:hideMark/>
          </w:tcPr>
          <w:p w:rsidR="0045706C" w:rsidRPr="00242020" w:rsidRDefault="00536612" w:rsidP="00B17D00">
            <w:pPr>
              <w:tabs>
                <w:tab w:val="left" w:leader="dot" w:pos="8067"/>
              </w:tabs>
              <w:spacing w:after="100"/>
              <w:ind w:firstLine="0"/>
              <w:rPr>
                <w:b/>
                <w:color w:val="000000"/>
                <w:szCs w:val="28"/>
              </w:rPr>
            </w:pPr>
            <w:r>
              <w:rPr>
                <w:b/>
                <w:color w:val="000000"/>
                <w:szCs w:val="28"/>
              </w:rPr>
              <w:t>77</w:t>
            </w:r>
          </w:p>
        </w:tc>
      </w:tr>
      <w:tr w:rsidR="0045706C" w:rsidRPr="00242020" w:rsidTr="00B17D00">
        <w:tc>
          <w:tcPr>
            <w:tcW w:w="757" w:type="dxa"/>
            <w:hideMark/>
          </w:tcPr>
          <w:p w:rsidR="0045706C" w:rsidRPr="00242020" w:rsidRDefault="0045706C" w:rsidP="0045706C">
            <w:pPr>
              <w:spacing w:before="10" w:after="10"/>
              <w:ind w:left="-66" w:right="-57" w:firstLine="0"/>
              <w:rPr>
                <w:b/>
                <w:color w:val="000000"/>
                <w:spacing w:val="-9"/>
                <w:szCs w:val="28"/>
              </w:rPr>
            </w:pPr>
            <w:r w:rsidRPr="00242020">
              <w:rPr>
                <w:b/>
                <w:color w:val="000000"/>
                <w:spacing w:val="-9"/>
                <w:szCs w:val="28"/>
              </w:rPr>
              <w:t>7.</w:t>
            </w:r>
          </w:p>
        </w:tc>
        <w:tc>
          <w:tcPr>
            <w:tcW w:w="8180" w:type="dxa"/>
            <w:hideMark/>
          </w:tcPr>
          <w:p w:rsidR="0045706C" w:rsidRPr="00242020" w:rsidRDefault="0045706C" w:rsidP="0045706C">
            <w:pPr>
              <w:tabs>
                <w:tab w:val="left" w:leader="dot" w:pos="7964"/>
              </w:tabs>
              <w:spacing w:after="100"/>
              <w:ind w:firstLine="0"/>
              <w:jc w:val="both"/>
              <w:rPr>
                <w:color w:val="000000"/>
                <w:szCs w:val="28"/>
              </w:rPr>
            </w:pPr>
            <w:r w:rsidRPr="00242020">
              <w:rPr>
                <w:b/>
                <w:color w:val="000000"/>
                <w:szCs w:val="28"/>
              </w:rPr>
              <w:t>З</w:t>
            </w:r>
            <w:r w:rsidRPr="00242020">
              <w:rPr>
                <w:color w:val="000000"/>
                <w:szCs w:val="28"/>
              </w:rPr>
              <w:t xml:space="preserve">аконодавче забезпечення процесів приватизації та управління державною власністю </w:t>
            </w:r>
            <w:r w:rsidRPr="00242020">
              <w:rPr>
                <w:sz w:val="30"/>
                <w:szCs w:val="30"/>
              </w:rPr>
              <w:tab/>
            </w:r>
          </w:p>
        </w:tc>
        <w:tc>
          <w:tcPr>
            <w:tcW w:w="708" w:type="dxa"/>
            <w:vAlign w:val="bottom"/>
            <w:hideMark/>
          </w:tcPr>
          <w:p w:rsidR="0045706C" w:rsidRPr="00242020" w:rsidRDefault="00B17D00" w:rsidP="00B17D00">
            <w:pPr>
              <w:tabs>
                <w:tab w:val="left" w:leader="dot" w:pos="8067"/>
              </w:tabs>
              <w:spacing w:after="100"/>
              <w:ind w:firstLine="0"/>
              <w:rPr>
                <w:b/>
                <w:color w:val="000000"/>
                <w:szCs w:val="28"/>
              </w:rPr>
            </w:pPr>
            <w:r>
              <w:rPr>
                <w:b/>
                <w:color w:val="000000"/>
                <w:szCs w:val="28"/>
              </w:rPr>
              <w:t>80</w:t>
            </w:r>
          </w:p>
        </w:tc>
      </w:tr>
      <w:tr w:rsidR="0045706C" w:rsidRPr="00242020" w:rsidTr="00B17D00">
        <w:tc>
          <w:tcPr>
            <w:tcW w:w="757" w:type="dxa"/>
            <w:hideMark/>
          </w:tcPr>
          <w:p w:rsidR="0045706C" w:rsidRPr="00242020" w:rsidRDefault="0045706C" w:rsidP="0045706C">
            <w:pPr>
              <w:shd w:val="clear" w:color="auto" w:fill="FFFFFF"/>
              <w:ind w:left="-66" w:right="-57" w:firstLine="0"/>
              <w:rPr>
                <w:b/>
                <w:szCs w:val="28"/>
              </w:rPr>
            </w:pPr>
            <w:r w:rsidRPr="00242020">
              <w:rPr>
                <w:b/>
                <w:color w:val="000000"/>
                <w:szCs w:val="28"/>
              </w:rPr>
              <w:t>8.</w:t>
            </w:r>
          </w:p>
        </w:tc>
        <w:tc>
          <w:tcPr>
            <w:tcW w:w="8180" w:type="dxa"/>
            <w:hideMark/>
          </w:tcPr>
          <w:p w:rsidR="0045706C" w:rsidRPr="00242020" w:rsidRDefault="0045706C" w:rsidP="0045706C">
            <w:pPr>
              <w:tabs>
                <w:tab w:val="left" w:leader="dot" w:pos="7964"/>
              </w:tabs>
              <w:spacing w:after="100"/>
              <w:ind w:firstLine="0"/>
              <w:jc w:val="both"/>
              <w:rPr>
                <w:color w:val="000000"/>
                <w:szCs w:val="28"/>
              </w:rPr>
            </w:pPr>
            <w:r w:rsidRPr="00242020">
              <w:rPr>
                <w:b/>
                <w:color w:val="000000"/>
                <w:szCs w:val="28"/>
              </w:rPr>
              <w:t>В</w:t>
            </w:r>
            <w:r w:rsidRPr="00242020">
              <w:rPr>
                <w:color w:val="000000"/>
                <w:szCs w:val="28"/>
              </w:rPr>
              <w:t xml:space="preserve">заємодія Фонду з Верховною Радою України </w:t>
            </w:r>
            <w:r w:rsidRPr="00242020">
              <w:rPr>
                <w:sz w:val="30"/>
                <w:szCs w:val="30"/>
              </w:rPr>
              <w:tab/>
            </w:r>
          </w:p>
        </w:tc>
        <w:tc>
          <w:tcPr>
            <w:tcW w:w="708" w:type="dxa"/>
            <w:vAlign w:val="bottom"/>
            <w:hideMark/>
          </w:tcPr>
          <w:p w:rsidR="0045706C" w:rsidRPr="00242020" w:rsidRDefault="00B17D00" w:rsidP="00B17D00">
            <w:pPr>
              <w:tabs>
                <w:tab w:val="left" w:leader="dot" w:pos="8067"/>
              </w:tabs>
              <w:spacing w:after="100"/>
              <w:ind w:firstLine="0"/>
              <w:rPr>
                <w:b/>
                <w:color w:val="000000"/>
                <w:szCs w:val="28"/>
              </w:rPr>
            </w:pPr>
            <w:r>
              <w:rPr>
                <w:b/>
                <w:color w:val="000000"/>
                <w:szCs w:val="28"/>
              </w:rPr>
              <w:t>83</w:t>
            </w:r>
          </w:p>
        </w:tc>
      </w:tr>
      <w:tr w:rsidR="0045706C" w:rsidRPr="00242020" w:rsidTr="00B17D00">
        <w:tc>
          <w:tcPr>
            <w:tcW w:w="757" w:type="dxa"/>
            <w:hideMark/>
          </w:tcPr>
          <w:p w:rsidR="0045706C" w:rsidRPr="00242020" w:rsidRDefault="0045706C" w:rsidP="0045706C">
            <w:pPr>
              <w:shd w:val="clear" w:color="auto" w:fill="FFFFFF"/>
              <w:ind w:left="-66" w:right="-57" w:firstLine="0"/>
              <w:rPr>
                <w:b/>
                <w:szCs w:val="28"/>
              </w:rPr>
            </w:pPr>
            <w:r w:rsidRPr="00242020">
              <w:rPr>
                <w:b/>
                <w:color w:val="000000"/>
                <w:szCs w:val="28"/>
              </w:rPr>
              <w:t>9.</w:t>
            </w:r>
          </w:p>
        </w:tc>
        <w:tc>
          <w:tcPr>
            <w:tcW w:w="8180" w:type="dxa"/>
            <w:hideMark/>
          </w:tcPr>
          <w:p w:rsidR="0045706C" w:rsidRPr="00242020" w:rsidRDefault="0045706C" w:rsidP="0045706C">
            <w:pPr>
              <w:tabs>
                <w:tab w:val="left" w:leader="dot" w:pos="7964"/>
              </w:tabs>
              <w:spacing w:after="100"/>
              <w:ind w:firstLine="0"/>
              <w:jc w:val="both"/>
              <w:rPr>
                <w:color w:val="000000"/>
                <w:szCs w:val="28"/>
              </w:rPr>
            </w:pPr>
            <w:r w:rsidRPr="00242020">
              <w:rPr>
                <w:b/>
                <w:color w:val="000000"/>
                <w:szCs w:val="28"/>
              </w:rPr>
              <w:t>І</w:t>
            </w:r>
            <w:r w:rsidRPr="00242020">
              <w:rPr>
                <w:color w:val="000000"/>
                <w:szCs w:val="28"/>
              </w:rPr>
              <w:t xml:space="preserve">нформаційно-комунікаційне забезпечення діяльності Фонду </w:t>
            </w:r>
            <w:r w:rsidRPr="00242020">
              <w:rPr>
                <w:sz w:val="30"/>
                <w:szCs w:val="30"/>
              </w:rPr>
              <w:tab/>
            </w:r>
          </w:p>
        </w:tc>
        <w:tc>
          <w:tcPr>
            <w:tcW w:w="708" w:type="dxa"/>
            <w:vAlign w:val="bottom"/>
            <w:hideMark/>
          </w:tcPr>
          <w:p w:rsidR="0045706C" w:rsidRPr="00242020" w:rsidRDefault="00B17D00" w:rsidP="00B17D00">
            <w:pPr>
              <w:tabs>
                <w:tab w:val="left" w:leader="dot" w:pos="8067"/>
              </w:tabs>
              <w:spacing w:after="100"/>
              <w:ind w:firstLine="0"/>
              <w:rPr>
                <w:b/>
                <w:color w:val="000000"/>
                <w:szCs w:val="28"/>
              </w:rPr>
            </w:pPr>
            <w:r>
              <w:rPr>
                <w:b/>
                <w:color w:val="000000"/>
                <w:szCs w:val="28"/>
              </w:rPr>
              <w:t>86</w:t>
            </w:r>
          </w:p>
        </w:tc>
      </w:tr>
      <w:tr w:rsidR="0045706C" w:rsidRPr="00242020" w:rsidTr="00B17D00">
        <w:tc>
          <w:tcPr>
            <w:tcW w:w="757" w:type="dxa"/>
            <w:hideMark/>
          </w:tcPr>
          <w:p w:rsidR="0045706C" w:rsidRPr="00242020" w:rsidRDefault="0045706C" w:rsidP="0045706C">
            <w:pPr>
              <w:shd w:val="clear" w:color="auto" w:fill="FFFFFF"/>
              <w:ind w:left="-66" w:right="-57" w:firstLine="0"/>
              <w:rPr>
                <w:szCs w:val="28"/>
              </w:rPr>
            </w:pPr>
            <w:r w:rsidRPr="00242020">
              <w:rPr>
                <w:szCs w:val="28"/>
              </w:rPr>
              <w:t>9.1.</w:t>
            </w:r>
          </w:p>
        </w:tc>
        <w:tc>
          <w:tcPr>
            <w:tcW w:w="8180" w:type="dxa"/>
            <w:hideMark/>
          </w:tcPr>
          <w:p w:rsidR="0045706C" w:rsidRPr="00242020" w:rsidRDefault="0045706C" w:rsidP="0045706C">
            <w:pPr>
              <w:tabs>
                <w:tab w:val="left" w:leader="dot" w:pos="7964"/>
              </w:tabs>
              <w:spacing w:after="100"/>
              <w:ind w:firstLine="0"/>
              <w:jc w:val="both"/>
              <w:rPr>
                <w:color w:val="000000"/>
                <w:szCs w:val="28"/>
              </w:rPr>
            </w:pPr>
            <w:r w:rsidRPr="00242020">
              <w:rPr>
                <w:b/>
                <w:color w:val="000000"/>
                <w:szCs w:val="28"/>
              </w:rPr>
              <w:t>В</w:t>
            </w:r>
            <w:r w:rsidRPr="00242020">
              <w:rPr>
                <w:color w:val="000000"/>
                <w:szCs w:val="28"/>
              </w:rPr>
              <w:t xml:space="preserve">исвітлення діяльності Фонду в засобах масової інформації та робота із зверненнями громадян </w:t>
            </w:r>
            <w:r w:rsidRPr="00242020">
              <w:rPr>
                <w:sz w:val="30"/>
                <w:szCs w:val="30"/>
              </w:rPr>
              <w:tab/>
            </w:r>
          </w:p>
        </w:tc>
        <w:tc>
          <w:tcPr>
            <w:tcW w:w="708" w:type="dxa"/>
            <w:vAlign w:val="bottom"/>
            <w:hideMark/>
          </w:tcPr>
          <w:p w:rsidR="0045706C" w:rsidRPr="00242020" w:rsidRDefault="00B17D00" w:rsidP="00B17D00">
            <w:pPr>
              <w:tabs>
                <w:tab w:val="left" w:leader="dot" w:pos="8067"/>
              </w:tabs>
              <w:spacing w:after="100"/>
              <w:ind w:firstLine="0"/>
              <w:rPr>
                <w:b/>
                <w:color w:val="000000"/>
                <w:szCs w:val="28"/>
              </w:rPr>
            </w:pPr>
            <w:r>
              <w:rPr>
                <w:b/>
                <w:color w:val="000000"/>
                <w:szCs w:val="28"/>
              </w:rPr>
              <w:t>86</w:t>
            </w:r>
          </w:p>
        </w:tc>
      </w:tr>
      <w:tr w:rsidR="0045706C" w:rsidRPr="00242020" w:rsidTr="00B17D00">
        <w:tc>
          <w:tcPr>
            <w:tcW w:w="757" w:type="dxa"/>
            <w:hideMark/>
          </w:tcPr>
          <w:p w:rsidR="0045706C" w:rsidRPr="00242020" w:rsidRDefault="0045706C" w:rsidP="0045706C">
            <w:pPr>
              <w:shd w:val="clear" w:color="auto" w:fill="FFFFFF"/>
              <w:ind w:left="-66" w:right="-57" w:firstLine="0"/>
              <w:rPr>
                <w:szCs w:val="28"/>
              </w:rPr>
            </w:pPr>
            <w:r w:rsidRPr="00242020">
              <w:rPr>
                <w:szCs w:val="28"/>
              </w:rPr>
              <w:t>9.2.</w:t>
            </w:r>
          </w:p>
        </w:tc>
        <w:tc>
          <w:tcPr>
            <w:tcW w:w="8180" w:type="dxa"/>
            <w:hideMark/>
          </w:tcPr>
          <w:p w:rsidR="0045706C" w:rsidRPr="00242020" w:rsidRDefault="0045706C" w:rsidP="0045706C">
            <w:pPr>
              <w:tabs>
                <w:tab w:val="left" w:leader="dot" w:pos="7964"/>
              </w:tabs>
              <w:spacing w:after="100"/>
              <w:ind w:firstLine="0"/>
              <w:jc w:val="both"/>
              <w:rPr>
                <w:color w:val="000000"/>
                <w:szCs w:val="28"/>
              </w:rPr>
            </w:pPr>
            <w:r w:rsidRPr="00242020">
              <w:rPr>
                <w:b/>
                <w:color w:val="000000"/>
                <w:szCs w:val="28"/>
              </w:rPr>
              <w:t>І</w:t>
            </w:r>
            <w:r w:rsidRPr="00242020">
              <w:rPr>
                <w:color w:val="000000"/>
                <w:szCs w:val="28"/>
              </w:rPr>
              <w:t xml:space="preserve">нформаційне забезпечення діяльності Фонду </w:t>
            </w:r>
            <w:r w:rsidRPr="00242020">
              <w:rPr>
                <w:sz w:val="30"/>
                <w:szCs w:val="30"/>
              </w:rPr>
              <w:tab/>
            </w:r>
          </w:p>
        </w:tc>
        <w:tc>
          <w:tcPr>
            <w:tcW w:w="708" w:type="dxa"/>
            <w:vAlign w:val="bottom"/>
            <w:hideMark/>
          </w:tcPr>
          <w:p w:rsidR="0045706C" w:rsidRPr="00242020" w:rsidRDefault="00B17D00" w:rsidP="00B17D00">
            <w:pPr>
              <w:tabs>
                <w:tab w:val="left" w:leader="dot" w:pos="8067"/>
              </w:tabs>
              <w:spacing w:after="100"/>
              <w:ind w:firstLine="0"/>
              <w:rPr>
                <w:b/>
                <w:color w:val="000000"/>
                <w:szCs w:val="28"/>
              </w:rPr>
            </w:pPr>
            <w:r>
              <w:rPr>
                <w:b/>
                <w:color w:val="000000"/>
                <w:szCs w:val="28"/>
              </w:rPr>
              <w:t>88</w:t>
            </w:r>
          </w:p>
        </w:tc>
      </w:tr>
      <w:tr w:rsidR="0045706C" w:rsidRPr="00242020" w:rsidTr="00B17D00">
        <w:tc>
          <w:tcPr>
            <w:tcW w:w="757" w:type="dxa"/>
            <w:hideMark/>
          </w:tcPr>
          <w:p w:rsidR="0045706C" w:rsidRPr="00242020" w:rsidRDefault="0045706C" w:rsidP="0045706C">
            <w:pPr>
              <w:shd w:val="clear" w:color="auto" w:fill="FFFFFF"/>
              <w:ind w:left="-66" w:right="-57" w:firstLine="0"/>
              <w:rPr>
                <w:b/>
                <w:szCs w:val="28"/>
              </w:rPr>
            </w:pPr>
            <w:r w:rsidRPr="00242020">
              <w:rPr>
                <w:b/>
                <w:szCs w:val="28"/>
              </w:rPr>
              <w:t>10.</w:t>
            </w:r>
          </w:p>
        </w:tc>
        <w:tc>
          <w:tcPr>
            <w:tcW w:w="8180" w:type="dxa"/>
            <w:hideMark/>
          </w:tcPr>
          <w:p w:rsidR="0045706C" w:rsidRPr="00242020" w:rsidRDefault="0045706C" w:rsidP="0045706C">
            <w:pPr>
              <w:tabs>
                <w:tab w:val="left" w:leader="dot" w:pos="7964"/>
              </w:tabs>
              <w:spacing w:after="100"/>
              <w:ind w:firstLine="0"/>
              <w:jc w:val="both"/>
              <w:rPr>
                <w:color w:val="000000"/>
                <w:szCs w:val="28"/>
              </w:rPr>
            </w:pPr>
            <w:r w:rsidRPr="00242020">
              <w:rPr>
                <w:b/>
                <w:color w:val="000000"/>
                <w:szCs w:val="28"/>
              </w:rPr>
              <w:t>О</w:t>
            </w:r>
            <w:r w:rsidRPr="00242020">
              <w:rPr>
                <w:color w:val="000000"/>
                <w:szCs w:val="28"/>
              </w:rPr>
              <w:t xml:space="preserve">рганізаційно-кадрова діяльність Фонду </w:t>
            </w:r>
            <w:r w:rsidRPr="00242020">
              <w:rPr>
                <w:sz w:val="30"/>
                <w:szCs w:val="30"/>
              </w:rPr>
              <w:tab/>
            </w:r>
          </w:p>
        </w:tc>
        <w:tc>
          <w:tcPr>
            <w:tcW w:w="708" w:type="dxa"/>
            <w:vAlign w:val="bottom"/>
            <w:hideMark/>
          </w:tcPr>
          <w:p w:rsidR="0045706C" w:rsidRPr="00242020" w:rsidRDefault="00B17D00" w:rsidP="00B17D00">
            <w:pPr>
              <w:tabs>
                <w:tab w:val="left" w:leader="dot" w:pos="8067"/>
              </w:tabs>
              <w:spacing w:after="100"/>
              <w:ind w:firstLine="0"/>
              <w:rPr>
                <w:b/>
                <w:color w:val="000000"/>
                <w:szCs w:val="28"/>
              </w:rPr>
            </w:pPr>
            <w:r>
              <w:rPr>
                <w:b/>
                <w:color w:val="000000"/>
                <w:szCs w:val="28"/>
              </w:rPr>
              <w:t>90</w:t>
            </w:r>
          </w:p>
        </w:tc>
      </w:tr>
      <w:tr w:rsidR="0045706C" w:rsidRPr="00242020" w:rsidTr="00B17D00">
        <w:tc>
          <w:tcPr>
            <w:tcW w:w="757" w:type="dxa"/>
            <w:hideMark/>
          </w:tcPr>
          <w:p w:rsidR="0045706C" w:rsidRPr="00242020" w:rsidRDefault="0045706C" w:rsidP="0045706C">
            <w:pPr>
              <w:shd w:val="clear" w:color="auto" w:fill="FFFFFF"/>
              <w:ind w:left="-66" w:right="-57" w:firstLine="0"/>
              <w:rPr>
                <w:szCs w:val="28"/>
              </w:rPr>
            </w:pPr>
            <w:r w:rsidRPr="00242020">
              <w:rPr>
                <w:szCs w:val="28"/>
              </w:rPr>
              <w:t>10.1.</w:t>
            </w:r>
          </w:p>
        </w:tc>
        <w:tc>
          <w:tcPr>
            <w:tcW w:w="8180" w:type="dxa"/>
            <w:hideMark/>
          </w:tcPr>
          <w:p w:rsidR="0045706C" w:rsidRPr="00242020" w:rsidRDefault="0045706C" w:rsidP="0045706C">
            <w:pPr>
              <w:tabs>
                <w:tab w:val="left" w:leader="dot" w:pos="7964"/>
              </w:tabs>
              <w:spacing w:after="100"/>
              <w:ind w:firstLine="0"/>
              <w:jc w:val="both"/>
              <w:rPr>
                <w:color w:val="000000"/>
                <w:szCs w:val="28"/>
              </w:rPr>
            </w:pPr>
            <w:r w:rsidRPr="00242020">
              <w:rPr>
                <w:b/>
                <w:color w:val="000000"/>
                <w:szCs w:val="28"/>
              </w:rPr>
              <w:t>К</w:t>
            </w:r>
            <w:r w:rsidRPr="00242020">
              <w:rPr>
                <w:color w:val="000000"/>
                <w:szCs w:val="28"/>
              </w:rPr>
              <w:t xml:space="preserve">адрова діяльність </w:t>
            </w:r>
            <w:r w:rsidRPr="00242020">
              <w:rPr>
                <w:sz w:val="30"/>
                <w:szCs w:val="30"/>
              </w:rPr>
              <w:tab/>
            </w:r>
          </w:p>
        </w:tc>
        <w:tc>
          <w:tcPr>
            <w:tcW w:w="708" w:type="dxa"/>
            <w:vAlign w:val="bottom"/>
            <w:hideMark/>
          </w:tcPr>
          <w:p w:rsidR="0045706C" w:rsidRPr="00242020" w:rsidRDefault="00B17D00" w:rsidP="00B17D00">
            <w:pPr>
              <w:tabs>
                <w:tab w:val="left" w:leader="dot" w:pos="8067"/>
              </w:tabs>
              <w:spacing w:after="100"/>
              <w:ind w:firstLine="0"/>
              <w:rPr>
                <w:b/>
                <w:color w:val="000000"/>
                <w:szCs w:val="28"/>
              </w:rPr>
            </w:pPr>
            <w:r>
              <w:rPr>
                <w:b/>
                <w:color w:val="000000"/>
                <w:szCs w:val="28"/>
              </w:rPr>
              <w:t>90</w:t>
            </w:r>
          </w:p>
        </w:tc>
      </w:tr>
      <w:tr w:rsidR="0045706C" w:rsidRPr="00242020" w:rsidTr="00B17D00">
        <w:tc>
          <w:tcPr>
            <w:tcW w:w="757" w:type="dxa"/>
            <w:hideMark/>
          </w:tcPr>
          <w:p w:rsidR="0045706C" w:rsidRPr="00242020" w:rsidRDefault="0045706C" w:rsidP="0045706C">
            <w:pPr>
              <w:shd w:val="clear" w:color="auto" w:fill="FFFFFF"/>
              <w:ind w:left="-66" w:right="-57" w:firstLine="0"/>
              <w:rPr>
                <w:szCs w:val="28"/>
              </w:rPr>
            </w:pPr>
            <w:r w:rsidRPr="00242020">
              <w:rPr>
                <w:szCs w:val="28"/>
              </w:rPr>
              <w:t>10.2.</w:t>
            </w:r>
          </w:p>
        </w:tc>
        <w:tc>
          <w:tcPr>
            <w:tcW w:w="8180" w:type="dxa"/>
            <w:hideMark/>
          </w:tcPr>
          <w:p w:rsidR="0045706C" w:rsidRPr="00242020" w:rsidRDefault="0045706C" w:rsidP="0045706C">
            <w:pPr>
              <w:tabs>
                <w:tab w:val="left" w:leader="dot" w:pos="7964"/>
              </w:tabs>
              <w:spacing w:after="100"/>
              <w:ind w:firstLine="0"/>
              <w:jc w:val="both"/>
              <w:rPr>
                <w:color w:val="000000"/>
                <w:szCs w:val="28"/>
              </w:rPr>
            </w:pPr>
            <w:r w:rsidRPr="00242020">
              <w:rPr>
                <w:b/>
                <w:color w:val="000000"/>
                <w:szCs w:val="28"/>
              </w:rPr>
              <w:t>Д</w:t>
            </w:r>
            <w:r w:rsidRPr="00242020">
              <w:rPr>
                <w:color w:val="000000"/>
                <w:szCs w:val="28"/>
              </w:rPr>
              <w:t xml:space="preserve">іяльність щодо запобігання корупції </w:t>
            </w:r>
            <w:r w:rsidRPr="00242020">
              <w:rPr>
                <w:sz w:val="30"/>
                <w:szCs w:val="30"/>
              </w:rPr>
              <w:tab/>
            </w:r>
          </w:p>
        </w:tc>
        <w:tc>
          <w:tcPr>
            <w:tcW w:w="708" w:type="dxa"/>
            <w:vAlign w:val="bottom"/>
            <w:hideMark/>
          </w:tcPr>
          <w:p w:rsidR="0045706C" w:rsidRPr="00242020" w:rsidRDefault="00B17D00" w:rsidP="00B17D00">
            <w:pPr>
              <w:tabs>
                <w:tab w:val="left" w:leader="dot" w:pos="8067"/>
              </w:tabs>
              <w:spacing w:after="100"/>
              <w:ind w:firstLine="0"/>
              <w:rPr>
                <w:b/>
                <w:color w:val="000000"/>
                <w:szCs w:val="28"/>
              </w:rPr>
            </w:pPr>
            <w:r>
              <w:rPr>
                <w:b/>
                <w:color w:val="000000"/>
                <w:szCs w:val="28"/>
              </w:rPr>
              <w:t>91</w:t>
            </w:r>
          </w:p>
        </w:tc>
      </w:tr>
      <w:tr w:rsidR="0045706C" w:rsidRPr="00242020" w:rsidTr="00B17D00">
        <w:tc>
          <w:tcPr>
            <w:tcW w:w="757" w:type="dxa"/>
            <w:hideMark/>
          </w:tcPr>
          <w:p w:rsidR="0045706C" w:rsidRPr="00242020" w:rsidRDefault="0045706C" w:rsidP="0045706C">
            <w:pPr>
              <w:shd w:val="clear" w:color="auto" w:fill="FFFFFF"/>
              <w:ind w:left="-66" w:right="-57" w:firstLine="0"/>
              <w:rPr>
                <w:szCs w:val="28"/>
              </w:rPr>
            </w:pPr>
            <w:r w:rsidRPr="00242020">
              <w:rPr>
                <w:szCs w:val="28"/>
              </w:rPr>
              <w:t>10.3.</w:t>
            </w:r>
          </w:p>
        </w:tc>
        <w:tc>
          <w:tcPr>
            <w:tcW w:w="8180" w:type="dxa"/>
            <w:hideMark/>
          </w:tcPr>
          <w:p w:rsidR="0045706C" w:rsidRPr="00242020" w:rsidRDefault="0045706C" w:rsidP="0045706C">
            <w:pPr>
              <w:tabs>
                <w:tab w:val="left" w:leader="dot" w:pos="7964"/>
              </w:tabs>
              <w:spacing w:after="100"/>
              <w:ind w:firstLine="0"/>
              <w:jc w:val="both"/>
              <w:rPr>
                <w:color w:val="000000"/>
                <w:szCs w:val="28"/>
              </w:rPr>
            </w:pPr>
            <w:r w:rsidRPr="00242020">
              <w:rPr>
                <w:b/>
                <w:color w:val="000000"/>
                <w:szCs w:val="28"/>
              </w:rPr>
              <w:t>Р</w:t>
            </w:r>
            <w:r w:rsidRPr="00242020">
              <w:rPr>
                <w:color w:val="000000"/>
                <w:szCs w:val="28"/>
              </w:rPr>
              <w:t xml:space="preserve">ейтингове оцінювання роботи регіональних відділень Фонду </w:t>
            </w:r>
            <w:r w:rsidRPr="00242020">
              <w:rPr>
                <w:sz w:val="30"/>
                <w:szCs w:val="30"/>
              </w:rPr>
              <w:tab/>
            </w:r>
          </w:p>
        </w:tc>
        <w:tc>
          <w:tcPr>
            <w:tcW w:w="708" w:type="dxa"/>
            <w:vAlign w:val="bottom"/>
            <w:hideMark/>
          </w:tcPr>
          <w:p w:rsidR="0045706C" w:rsidRPr="00242020" w:rsidRDefault="00B17D00" w:rsidP="00B17D00">
            <w:pPr>
              <w:tabs>
                <w:tab w:val="left" w:leader="dot" w:pos="8067"/>
              </w:tabs>
              <w:spacing w:after="100"/>
              <w:ind w:firstLine="0"/>
              <w:rPr>
                <w:b/>
                <w:color w:val="000000"/>
                <w:szCs w:val="28"/>
              </w:rPr>
            </w:pPr>
            <w:r>
              <w:rPr>
                <w:b/>
                <w:color w:val="000000"/>
                <w:szCs w:val="28"/>
              </w:rPr>
              <w:t>93</w:t>
            </w:r>
          </w:p>
        </w:tc>
      </w:tr>
      <w:tr w:rsidR="0045706C" w:rsidRPr="00242020" w:rsidTr="00B17D00">
        <w:tc>
          <w:tcPr>
            <w:tcW w:w="757" w:type="dxa"/>
            <w:hideMark/>
          </w:tcPr>
          <w:p w:rsidR="0045706C" w:rsidRPr="00242020" w:rsidRDefault="0045706C" w:rsidP="0045706C">
            <w:pPr>
              <w:shd w:val="clear" w:color="auto" w:fill="FFFFFF"/>
              <w:ind w:left="-66" w:right="-57" w:firstLine="0"/>
              <w:rPr>
                <w:b/>
                <w:szCs w:val="28"/>
              </w:rPr>
            </w:pPr>
            <w:r w:rsidRPr="00242020">
              <w:rPr>
                <w:b/>
                <w:szCs w:val="28"/>
              </w:rPr>
              <w:t>11.</w:t>
            </w:r>
          </w:p>
        </w:tc>
        <w:tc>
          <w:tcPr>
            <w:tcW w:w="8180" w:type="dxa"/>
            <w:hideMark/>
          </w:tcPr>
          <w:p w:rsidR="0045706C" w:rsidRPr="00242020" w:rsidRDefault="0045706C" w:rsidP="0045706C">
            <w:pPr>
              <w:tabs>
                <w:tab w:val="left" w:leader="dot" w:pos="7964"/>
              </w:tabs>
              <w:spacing w:after="100"/>
              <w:ind w:firstLine="0"/>
              <w:rPr>
                <w:color w:val="000000"/>
                <w:szCs w:val="28"/>
              </w:rPr>
            </w:pPr>
            <w:r w:rsidRPr="00242020">
              <w:rPr>
                <w:b/>
                <w:color w:val="000000"/>
                <w:szCs w:val="28"/>
              </w:rPr>
              <w:t>О</w:t>
            </w:r>
            <w:r w:rsidRPr="00242020">
              <w:rPr>
                <w:color w:val="000000"/>
                <w:szCs w:val="28"/>
              </w:rPr>
              <w:t xml:space="preserve">сновні завдання та напрями діяльності Фонду на наступний рік </w:t>
            </w:r>
            <w:r w:rsidRPr="00242020">
              <w:rPr>
                <w:sz w:val="30"/>
                <w:szCs w:val="30"/>
              </w:rPr>
              <w:tab/>
            </w:r>
          </w:p>
        </w:tc>
        <w:tc>
          <w:tcPr>
            <w:tcW w:w="708" w:type="dxa"/>
            <w:vAlign w:val="bottom"/>
            <w:hideMark/>
          </w:tcPr>
          <w:p w:rsidR="0045706C" w:rsidRPr="00242020" w:rsidRDefault="004E44A2" w:rsidP="00B17D00">
            <w:pPr>
              <w:tabs>
                <w:tab w:val="left" w:leader="dot" w:pos="8067"/>
              </w:tabs>
              <w:spacing w:after="100"/>
              <w:ind w:firstLine="0"/>
              <w:rPr>
                <w:b/>
                <w:color w:val="000000"/>
                <w:szCs w:val="28"/>
              </w:rPr>
            </w:pPr>
            <w:r>
              <w:rPr>
                <w:b/>
                <w:color w:val="000000"/>
                <w:szCs w:val="28"/>
              </w:rPr>
              <w:t>95</w:t>
            </w:r>
          </w:p>
        </w:tc>
      </w:tr>
    </w:tbl>
    <w:p w:rsidR="00D226C3" w:rsidRPr="00242020" w:rsidRDefault="00D226C3" w:rsidP="0045706C">
      <w:pPr>
        <w:ind w:firstLine="0"/>
      </w:pPr>
    </w:p>
    <w:p w:rsidR="0045706C" w:rsidRPr="00242020" w:rsidRDefault="0045706C" w:rsidP="001E5CAD">
      <w:pPr>
        <w:ind w:firstLine="0"/>
      </w:pPr>
    </w:p>
    <w:p w:rsidR="001E5CAD" w:rsidRPr="00242020" w:rsidRDefault="001E5CAD"/>
    <w:p w:rsidR="001E5CAD" w:rsidRPr="00242020" w:rsidRDefault="001E5CAD">
      <w:pPr>
        <w:sectPr w:rsidR="001E5CAD" w:rsidRPr="00242020" w:rsidSect="001278E0">
          <w:pgSz w:w="11906" w:h="16838"/>
          <w:pgMar w:top="1134" w:right="851" w:bottom="1134" w:left="1418" w:header="709" w:footer="709" w:gutter="0"/>
          <w:cols w:space="708"/>
          <w:titlePg/>
          <w:docGrid w:linePitch="381"/>
        </w:sectPr>
      </w:pPr>
    </w:p>
    <w:p w:rsidR="00D226C3" w:rsidRPr="00242020" w:rsidRDefault="0045706C" w:rsidP="0045706C">
      <w:pPr>
        <w:pStyle w:val="1"/>
      </w:pPr>
      <w:r w:rsidRPr="00242020">
        <w:lastRenderedPageBreak/>
        <w:t>Перелік додатків</w:t>
      </w:r>
    </w:p>
    <w:tbl>
      <w:tblPr>
        <w:tblW w:w="0" w:type="auto"/>
        <w:tblInd w:w="108" w:type="dxa"/>
        <w:tblLook w:val="04A0"/>
      </w:tblPr>
      <w:tblGrid>
        <w:gridCol w:w="1560"/>
        <w:gridCol w:w="7371"/>
        <w:gridCol w:w="706"/>
      </w:tblGrid>
      <w:tr w:rsidR="0045706C" w:rsidRPr="00242020" w:rsidTr="003A3D6B">
        <w:tc>
          <w:tcPr>
            <w:tcW w:w="1560" w:type="dxa"/>
            <w:hideMark/>
          </w:tcPr>
          <w:p w:rsidR="0045706C" w:rsidRPr="00242020" w:rsidRDefault="0045706C" w:rsidP="001E5CAD">
            <w:pPr>
              <w:ind w:left="-45" w:right="-68" w:firstLine="0"/>
              <w:jc w:val="both"/>
            </w:pPr>
            <w:r w:rsidRPr="00242020">
              <w:rPr>
                <w:b/>
              </w:rPr>
              <w:t>Додаток 1</w:t>
            </w:r>
          </w:p>
        </w:tc>
        <w:tc>
          <w:tcPr>
            <w:tcW w:w="7371" w:type="dxa"/>
            <w:hideMark/>
          </w:tcPr>
          <w:p w:rsidR="0045706C" w:rsidRPr="00242020" w:rsidRDefault="0045706C" w:rsidP="00F37533">
            <w:pPr>
              <w:tabs>
                <w:tab w:val="left" w:leader="dot" w:pos="7121"/>
              </w:tabs>
              <w:spacing w:after="100"/>
              <w:ind w:firstLine="0"/>
              <w:jc w:val="both"/>
              <w:rPr>
                <w:color w:val="000000"/>
                <w:szCs w:val="28"/>
              </w:rPr>
            </w:pPr>
            <w:r w:rsidRPr="00242020">
              <w:rPr>
                <w:color w:val="000000"/>
                <w:szCs w:val="28"/>
              </w:rPr>
              <w:t xml:space="preserve">Інформація щодо кількості об’єктів, які змінили державну форму власності за 1992 – 12 місяців 2016 рр. за </w:t>
            </w:r>
            <w:r w:rsidRPr="009D45C6">
              <w:rPr>
                <w:color w:val="000000"/>
                <w:szCs w:val="28"/>
              </w:rPr>
              <w:t>групами</w:t>
            </w:r>
            <w:r w:rsidR="009D45C6" w:rsidRPr="009D45C6">
              <w:rPr>
                <w:color w:val="000000"/>
                <w:szCs w:val="28"/>
              </w:rPr>
              <w:t xml:space="preserve"> </w:t>
            </w:r>
            <w:r w:rsidR="009D45C6" w:rsidRPr="00F37533">
              <w:rPr>
                <w:color w:val="000000"/>
                <w:szCs w:val="28"/>
              </w:rPr>
              <w:t>(</w:t>
            </w:r>
            <w:r w:rsidR="00F37533" w:rsidRPr="00F37533">
              <w:rPr>
                <w:color w:val="000000"/>
                <w:szCs w:val="28"/>
              </w:rPr>
              <w:t>за даними форми № 1-приватизація</w:t>
            </w:r>
            <w:r w:rsidR="00022F5E">
              <w:rPr>
                <w:rFonts w:eastAsia="Calibri" w:cs="Times New Roman"/>
              </w:rPr>
              <w:t xml:space="preserve"> </w:t>
            </w:r>
            <w:r w:rsidR="00022F5E" w:rsidRPr="00B1085F">
              <w:rPr>
                <w:rFonts w:eastAsia="Calibri" w:cs="Times New Roman"/>
              </w:rPr>
              <w:t>«Інформація про приватизацію державного майна підприємства, установи, організації»</w:t>
            </w:r>
            <w:r w:rsidR="009D45C6" w:rsidRPr="00F37533">
              <w:rPr>
                <w:color w:val="000000"/>
                <w:szCs w:val="28"/>
              </w:rPr>
              <w:t xml:space="preserve">) </w:t>
            </w:r>
            <w:r w:rsidRPr="00242020">
              <w:rPr>
                <w:color w:val="000000"/>
                <w:szCs w:val="28"/>
              </w:rPr>
              <w:tab/>
            </w:r>
          </w:p>
        </w:tc>
        <w:tc>
          <w:tcPr>
            <w:tcW w:w="706" w:type="dxa"/>
            <w:vAlign w:val="bottom"/>
          </w:tcPr>
          <w:p w:rsidR="0045706C" w:rsidRPr="00242020" w:rsidRDefault="00813306" w:rsidP="001E5CAD">
            <w:pPr>
              <w:tabs>
                <w:tab w:val="left" w:leader="dot" w:pos="7012"/>
              </w:tabs>
              <w:spacing w:after="100"/>
              <w:ind w:firstLine="0"/>
              <w:rPr>
                <w:color w:val="000000"/>
                <w:szCs w:val="28"/>
              </w:rPr>
            </w:pPr>
            <w:r>
              <w:rPr>
                <w:color w:val="000000"/>
                <w:szCs w:val="28"/>
              </w:rPr>
              <w:t>97</w:t>
            </w:r>
          </w:p>
        </w:tc>
      </w:tr>
      <w:tr w:rsidR="001E5CAD" w:rsidRPr="00242020" w:rsidTr="003A3D6B">
        <w:trPr>
          <w:trHeight w:val="587"/>
        </w:trPr>
        <w:tc>
          <w:tcPr>
            <w:tcW w:w="1560" w:type="dxa"/>
            <w:hideMark/>
          </w:tcPr>
          <w:p w:rsidR="001E5CAD" w:rsidRPr="00242020" w:rsidRDefault="001E5CAD" w:rsidP="001E5CAD">
            <w:pPr>
              <w:ind w:left="-45" w:right="-68" w:firstLine="0"/>
              <w:jc w:val="both"/>
              <w:rPr>
                <w:b/>
              </w:rPr>
            </w:pPr>
            <w:r w:rsidRPr="00242020">
              <w:rPr>
                <w:b/>
              </w:rPr>
              <w:t>Додаток 2</w:t>
            </w:r>
          </w:p>
        </w:tc>
        <w:tc>
          <w:tcPr>
            <w:tcW w:w="7371" w:type="dxa"/>
            <w:hideMark/>
          </w:tcPr>
          <w:p w:rsidR="001E5CAD" w:rsidRPr="009D45C6" w:rsidRDefault="001E5CAD" w:rsidP="00F37533">
            <w:pPr>
              <w:tabs>
                <w:tab w:val="left" w:leader="dot" w:pos="7121"/>
              </w:tabs>
              <w:spacing w:after="100"/>
              <w:ind w:firstLine="0"/>
              <w:jc w:val="both"/>
              <w:rPr>
                <w:color w:val="000000"/>
                <w:szCs w:val="28"/>
              </w:rPr>
            </w:pPr>
            <w:r w:rsidRPr="009D45C6">
              <w:rPr>
                <w:color w:val="000000"/>
                <w:szCs w:val="28"/>
              </w:rPr>
              <w:t>Інформація щодо кількості об’єктів, які змінили комунальну форму власності за 1992 – 12 місяців 2016 рр. за групами</w:t>
            </w:r>
            <w:r w:rsidR="009D45C6" w:rsidRPr="009D45C6">
              <w:rPr>
                <w:color w:val="000000"/>
                <w:szCs w:val="28"/>
              </w:rPr>
              <w:t xml:space="preserve"> </w:t>
            </w:r>
            <w:r w:rsidR="009D45C6" w:rsidRPr="00F37533">
              <w:rPr>
                <w:color w:val="000000"/>
                <w:szCs w:val="28"/>
              </w:rPr>
              <w:t>(</w:t>
            </w:r>
            <w:r w:rsidR="00F37533" w:rsidRPr="00F37533">
              <w:rPr>
                <w:color w:val="000000"/>
                <w:szCs w:val="28"/>
              </w:rPr>
              <w:t>за даними форми № 1-приватизація</w:t>
            </w:r>
            <w:r w:rsidR="00022F5E">
              <w:rPr>
                <w:rFonts w:eastAsia="Calibri" w:cs="Times New Roman"/>
              </w:rPr>
              <w:t xml:space="preserve"> </w:t>
            </w:r>
            <w:r w:rsidR="00022F5E" w:rsidRPr="00B1085F">
              <w:rPr>
                <w:rFonts w:eastAsia="Calibri" w:cs="Times New Roman"/>
              </w:rPr>
              <w:t>«Інформація про приватизацію державного майна підприємства, установи, організації»</w:t>
            </w:r>
            <w:r w:rsidR="009D45C6" w:rsidRPr="00F37533">
              <w:rPr>
                <w:color w:val="000000"/>
                <w:szCs w:val="28"/>
              </w:rPr>
              <w:t>)</w:t>
            </w:r>
            <w:r w:rsidRPr="009D45C6">
              <w:rPr>
                <w:color w:val="000000"/>
                <w:szCs w:val="28"/>
              </w:rPr>
              <w:t xml:space="preserve"> </w:t>
            </w:r>
            <w:r w:rsidRPr="009D45C6">
              <w:rPr>
                <w:color w:val="000000"/>
                <w:szCs w:val="28"/>
              </w:rPr>
              <w:tab/>
            </w:r>
          </w:p>
        </w:tc>
        <w:tc>
          <w:tcPr>
            <w:tcW w:w="706" w:type="dxa"/>
            <w:vAlign w:val="bottom"/>
          </w:tcPr>
          <w:p w:rsidR="001E5CAD" w:rsidRPr="00242020" w:rsidRDefault="00813306" w:rsidP="001E5CAD">
            <w:pPr>
              <w:tabs>
                <w:tab w:val="left" w:leader="dot" w:pos="7012"/>
              </w:tabs>
              <w:spacing w:after="100"/>
              <w:ind w:firstLine="0"/>
              <w:rPr>
                <w:color w:val="000000"/>
                <w:szCs w:val="28"/>
              </w:rPr>
            </w:pPr>
            <w:r>
              <w:rPr>
                <w:color w:val="000000"/>
                <w:szCs w:val="28"/>
              </w:rPr>
              <w:t>98</w:t>
            </w:r>
          </w:p>
        </w:tc>
      </w:tr>
      <w:tr w:rsidR="001E5CAD" w:rsidRPr="00242020" w:rsidTr="003A3D6B">
        <w:tc>
          <w:tcPr>
            <w:tcW w:w="1560" w:type="dxa"/>
            <w:hideMark/>
          </w:tcPr>
          <w:p w:rsidR="001E5CAD" w:rsidRPr="00242020" w:rsidRDefault="001E5CAD" w:rsidP="001E5CAD">
            <w:pPr>
              <w:ind w:left="-45" w:right="-68" w:firstLine="0"/>
              <w:jc w:val="both"/>
              <w:rPr>
                <w:b/>
              </w:rPr>
            </w:pPr>
            <w:r w:rsidRPr="00242020">
              <w:rPr>
                <w:b/>
              </w:rPr>
              <w:t>Додаток 3</w:t>
            </w:r>
          </w:p>
        </w:tc>
        <w:tc>
          <w:tcPr>
            <w:tcW w:w="7371" w:type="dxa"/>
            <w:hideMark/>
          </w:tcPr>
          <w:p w:rsidR="001E5CAD" w:rsidRPr="00242020" w:rsidRDefault="001E5CAD" w:rsidP="001E5CAD">
            <w:pPr>
              <w:tabs>
                <w:tab w:val="left" w:leader="dot" w:pos="7121"/>
              </w:tabs>
              <w:spacing w:after="100"/>
              <w:ind w:firstLine="0"/>
              <w:jc w:val="both"/>
              <w:rPr>
                <w:color w:val="000000"/>
                <w:szCs w:val="28"/>
              </w:rPr>
            </w:pPr>
            <w:r w:rsidRPr="00242020">
              <w:rPr>
                <w:color w:val="000000"/>
                <w:szCs w:val="28"/>
              </w:rPr>
              <w:t xml:space="preserve">Кількість приватизованих об’єктів малої приватизації (груп А та Ж) у 1992 – 2016 роках </w:t>
            </w:r>
            <w:r w:rsidRPr="00242020">
              <w:rPr>
                <w:color w:val="000000"/>
                <w:szCs w:val="28"/>
              </w:rPr>
              <w:tab/>
            </w:r>
          </w:p>
        </w:tc>
        <w:tc>
          <w:tcPr>
            <w:tcW w:w="706" w:type="dxa"/>
            <w:vAlign w:val="bottom"/>
          </w:tcPr>
          <w:p w:rsidR="001E5CAD" w:rsidRPr="00242020" w:rsidRDefault="00813306" w:rsidP="001E5CAD">
            <w:pPr>
              <w:tabs>
                <w:tab w:val="left" w:leader="dot" w:pos="7012"/>
              </w:tabs>
              <w:spacing w:after="100"/>
              <w:ind w:firstLine="0"/>
              <w:rPr>
                <w:color w:val="000000"/>
                <w:szCs w:val="28"/>
              </w:rPr>
            </w:pPr>
            <w:r>
              <w:rPr>
                <w:color w:val="000000"/>
                <w:szCs w:val="28"/>
              </w:rPr>
              <w:t>99</w:t>
            </w:r>
          </w:p>
        </w:tc>
      </w:tr>
      <w:tr w:rsidR="001E5CAD" w:rsidRPr="00242020" w:rsidTr="003A3D6B">
        <w:tc>
          <w:tcPr>
            <w:tcW w:w="1560" w:type="dxa"/>
            <w:hideMark/>
          </w:tcPr>
          <w:p w:rsidR="001E5CAD" w:rsidRPr="00242020" w:rsidRDefault="001E5CAD" w:rsidP="001E5CAD">
            <w:pPr>
              <w:ind w:left="-45" w:right="-68" w:firstLine="0"/>
              <w:jc w:val="both"/>
              <w:rPr>
                <w:b/>
              </w:rPr>
            </w:pPr>
            <w:r w:rsidRPr="00242020">
              <w:rPr>
                <w:b/>
              </w:rPr>
              <w:t>Додаток 4</w:t>
            </w:r>
          </w:p>
        </w:tc>
        <w:tc>
          <w:tcPr>
            <w:tcW w:w="7371" w:type="dxa"/>
            <w:hideMark/>
          </w:tcPr>
          <w:p w:rsidR="001E5CAD" w:rsidRPr="00242020" w:rsidRDefault="001E5CAD" w:rsidP="001E5CAD">
            <w:pPr>
              <w:tabs>
                <w:tab w:val="left" w:leader="dot" w:pos="7121"/>
              </w:tabs>
              <w:spacing w:after="100"/>
              <w:ind w:firstLine="0"/>
              <w:jc w:val="both"/>
              <w:rPr>
                <w:color w:val="000000"/>
                <w:szCs w:val="28"/>
              </w:rPr>
            </w:pPr>
            <w:r w:rsidRPr="00242020">
              <w:rPr>
                <w:color w:val="000000"/>
                <w:szCs w:val="28"/>
              </w:rPr>
              <w:t xml:space="preserve">Кількість приватизованих об’єктів незавершеного будівництва (група Д) у 1994 – 2016 роках </w:t>
            </w:r>
            <w:r w:rsidRPr="00242020">
              <w:rPr>
                <w:color w:val="000000"/>
                <w:szCs w:val="28"/>
              </w:rPr>
              <w:tab/>
            </w:r>
          </w:p>
        </w:tc>
        <w:tc>
          <w:tcPr>
            <w:tcW w:w="706" w:type="dxa"/>
            <w:vAlign w:val="bottom"/>
          </w:tcPr>
          <w:p w:rsidR="001E5CAD" w:rsidRPr="00242020" w:rsidRDefault="00813306" w:rsidP="001E5CAD">
            <w:pPr>
              <w:tabs>
                <w:tab w:val="left" w:leader="dot" w:pos="7012"/>
              </w:tabs>
              <w:spacing w:after="100"/>
              <w:ind w:firstLine="0"/>
              <w:rPr>
                <w:color w:val="000000"/>
                <w:szCs w:val="28"/>
              </w:rPr>
            </w:pPr>
            <w:r>
              <w:rPr>
                <w:color w:val="000000"/>
                <w:szCs w:val="28"/>
              </w:rPr>
              <w:t>100</w:t>
            </w:r>
          </w:p>
        </w:tc>
      </w:tr>
      <w:tr w:rsidR="001E5CAD" w:rsidRPr="00242020" w:rsidTr="003A3D6B">
        <w:tc>
          <w:tcPr>
            <w:tcW w:w="1560" w:type="dxa"/>
            <w:hideMark/>
          </w:tcPr>
          <w:p w:rsidR="001E5CAD" w:rsidRPr="00242020" w:rsidRDefault="001E5CAD" w:rsidP="001E5CAD">
            <w:pPr>
              <w:ind w:left="-45" w:right="-68" w:firstLine="0"/>
              <w:jc w:val="both"/>
              <w:rPr>
                <w:b/>
              </w:rPr>
            </w:pPr>
            <w:r w:rsidRPr="00242020">
              <w:rPr>
                <w:b/>
              </w:rPr>
              <w:t>Додаток 5</w:t>
            </w:r>
          </w:p>
        </w:tc>
        <w:tc>
          <w:tcPr>
            <w:tcW w:w="7371" w:type="dxa"/>
            <w:hideMark/>
          </w:tcPr>
          <w:p w:rsidR="001E5CAD" w:rsidRPr="00242020" w:rsidRDefault="001E5CAD" w:rsidP="001E5CAD">
            <w:pPr>
              <w:tabs>
                <w:tab w:val="left" w:leader="dot" w:pos="7121"/>
              </w:tabs>
              <w:spacing w:after="100"/>
              <w:ind w:firstLine="0"/>
              <w:jc w:val="both"/>
              <w:rPr>
                <w:color w:val="000000"/>
                <w:szCs w:val="28"/>
              </w:rPr>
            </w:pPr>
            <w:r w:rsidRPr="00242020">
              <w:rPr>
                <w:color w:val="000000"/>
                <w:szCs w:val="28"/>
              </w:rPr>
              <w:t xml:space="preserve">Створення акціонерних товариств у 1992 – 2016 роках </w:t>
            </w:r>
            <w:r w:rsidRPr="00242020">
              <w:rPr>
                <w:color w:val="000000"/>
                <w:szCs w:val="28"/>
              </w:rPr>
              <w:tab/>
            </w:r>
          </w:p>
        </w:tc>
        <w:tc>
          <w:tcPr>
            <w:tcW w:w="706" w:type="dxa"/>
            <w:vAlign w:val="bottom"/>
          </w:tcPr>
          <w:p w:rsidR="001E5CAD" w:rsidRPr="00242020" w:rsidRDefault="00813306" w:rsidP="001E5CAD">
            <w:pPr>
              <w:tabs>
                <w:tab w:val="left" w:leader="dot" w:pos="7012"/>
              </w:tabs>
              <w:spacing w:after="100"/>
              <w:ind w:firstLine="0"/>
              <w:rPr>
                <w:color w:val="000000"/>
                <w:szCs w:val="28"/>
              </w:rPr>
            </w:pPr>
            <w:r>
              <w:rPr>
                <w:color w:val="000000"/>
                <w:szCs w:val="28"/>
              </w:rPr>
              <w:t>101</w:t>
            </w:r>
          </w:p>
        </w:tc>
      </w:tr>
      <w:tr w:rsidR="001E5CAD" w:rsidRPr="00242020" w:rsidTr="003A3D6B">
        <w:tc>
          <w:tcPr>
            <w:tcW w:w="1560" w:type="dxa"/>
            <w:hideMark/>
          </w:tcPr>
          <w:p w:rsidR="001E5CAD" w:rsidRPr="00242020" w:rsidRDefault="001E5CAD" w:rsidP="001E5CAD">
            <w:pPr>
              <w:ind w:left="-45" w:right="-68" w:firstLine="0"/>
              <w:jc w:val="both"/>
              <w:rPr>
                <w:b/>
              </w:rPr>
            </w:pPr>
            <w:r w:rsidRPr="00242020">
              <w:rPr>
                <w:b/>
              </w:rPr>
              <w:t>Додаток 6</w:t>
            </w:r>
          </w:p>
        </w:tc>
        <w:tc>
          <w:tcPr>
            <w:tcW w:w="7371" w:type="dxa"/>
            <w:hideMark/>
          </w:tcPr>
          <w:p w:rsidR="001E5CAD" w:rsidRPr="00242020" w:rsidRDefault="001E5CAD" w:rsidP="001E5CAD">
            <w:pPr>
              <w:tabs>
                <w:tab w:val="left" w:leader="dot" w:pos="7121"/>
              </w:tabs>
              <w:spacing w:after="100"/>
              <w:ind w:firstLine="0"/>
              <w:jc w:val="both"/>
              <w:rPr>
                <w:color w:val="000000"/>
                <w:szCs w:val="28"/>
              </w:rPr>
            </w:pPr>
            <w:r w:rsidRPr="00242020">
              <w:rPr>
                <w:color w:val="000000"/>
                <w:szCs w:val="28"/>
              </w:rPr>
              <w:t xml:space="preserve">Надходження коштів від приватизації державного майна до загального фонду Державного бюджету України у 1992 – 2016 роках </w:t>
            </w:r>
            <w:r w:rsidRPr="00242020">
              <w:rPr>
                <w:color w:val="000000"/>
                <w:szCs w:val="28"/>
              </w:rPr>
              <w:tab/>
            </w:r>
          </w:p>
        </w:tc>
        <w:tc>
          <w:tcPr>
            <w:tcW w:w="706" w:type="dxa"/>
            <w:vAlign w:val="bottom"/>
          </w:tcPr>
          <w:p w:rsidR="001E5CAD" w:rsidRPr="00242020" w:rsidRDefault="00813306" w:rsidP="001E5CAD">
            <w:pPr>
              <w:tabs>
                <w:tab w:val="left" w:leader="dot" w:pos="7012"/>
              </w:tabs>
              <w:spacing w:after="100"/>
              <w:ind w:firstLine="0"/>
              <w:rPr>
                <w:color w:val="000000"/>
                <w:szCs w:val="28"/>
              </w:rPr>
            </w:pPr>
            <w:r>
              <w:rPr>
                <w:color w:val="000000"/>
                <w:szCs w:val="28"/>
              </w:rPr>
              <w:t>102</w:t>
            </w:r>
          </w:p>
        </w:tc>
      </w:tr>
      <w:tr w:rsidR="001E5CAD" w:rsidRPr="00242020" w:rsidTr="003A3D6B">
        <w:tc>
          <w:tcPr>
            <w:tcW w:w="1560" w:type="dxa"/>
            <w:hideMark/>
          </w:tcPr>
          <w:p w:rsidR="001E5CAD" w:rsidRPr="00242020" w:rsidRDefault="001E5CAD" w:rsidP="001E5CAD">
            <w:pPr>
              <w:ind w:left="-45" w:right="-68" w:firstLine="0"/>
              <w:jc w:val="both"/>
              <w:rPr>
                <w:b/>
              </w:rPr>
            </w:pPr>
            <w:r w:rsidRPr="00242020">
              <w:rPr>
                <w:b/>
              </w:rPr>
              <w:t>Додаток 7</w:t>
            </w:r>
          </w:p>
        </w:tc>
        <w:tc>
          <w:tcPr>
            <w:tcW w:w="7371" w:type="dxa"/>
            <w:hideMark/>
          </w:tcPr>
          <w:p w:rsidR="001E5CAD" w:rsidRPr="00242020" w:rsidRDefault="001E5CAD" w:rsidP="001E5CAD">
            <w:pPr>
              <w:tabs>
                <w:tab w:val="left" w:leader="dot" w:pos="7121"/>
              </w:tabs>
              <w:spacing w:after="100"/>
              <w:ind w:firstLine="0"/>
              <w:jc w:val="both"/>
              <w:rPr>
                <w:color w:val="000000"/>
                <w:szCs w:val="28"/>
              </w:rPr>
            </w:pPr>
            <w:r w:rsidRPr="00242020">
              <w:rPr>
                <w:color w:val="000000"/>
                <w:szCs w:val="28"/>
              </w:rPr>
              <w:t xml:space="preserve">Надходження коштів від оренди державного майна до Державного бюджету України у 2000 – 2016 роках </w:t>
            </w:r>
            <w:r w:rsidRPr="00242020">
              <w:rPr>
                <w:color w:val="000000"/>
                <w:szCs w:val="28"/>
              </w:rPr>
              <w:tab/>
            </w:r>
          </w:p>
        </w:tc>
        <w:tc>
          <w:tcPr>
            <w:tcW w:w="706" w:type="dxa"/>
            <w:vAlign w:val="bottom"/>
          </w:tcPr>
          <w:p w:rsidR="001E5CAD" w:rsidRPr="00242020" w:rsidRDefault="00813306" w:rsidP="001E5CAD">
            <w:pPr>
              <w:tabs>
                <w:tab w:val="left" w:leader="dot" w:pos="7012"/>
              </w:tabs>
              <w:spacing w:after="100"/>
              <w:ind w:firstLine="0"/>
              <w:rPr>
                <w:color w:val="000000"/>
                <w:szCs w:val="28"/>
              </w:rPr>
            </w:pPr>
            <w:r>
              <w:rPr>
                <w:color w:val="000000"/>
                <w:szCs w:val="28"/>
              </w:rPr>
              <w:t>103</w:t>
            </w:r>
          </w:p>
        </w:tc>
      </w:tr>
      <w:tr w:rsidR="001E5CAD" w:rsidRPr="00242020" w:rsidTr="003A3D6B">
        <w:tc>
          <w:tcPr>
            <w:tcW w:w="1560" w:type="dxa"/>
            <w:hideMark/>
          </w:tcPr>
          <w:p w:rsidR="001E5CAD" w:rsidRPr="00242020" w:rsidRDefault="001E5CAD" w:rsidP="001E5CAD">
            <w:pPr>
              <w:ind w:left="-45" w:right="-68" w:firstLine="0"/>
              <w:jc w:val="both"/>
              <w:rPr>
                <w:b/>
              </w:rPr>
            </w:pPr>
            <w:r w:rsidRPr="00242020">
              <w:rPr>
                <w:b/>
              </w:rPr>
              <w:t>Додаток 8</w:t>
            </w:r>
          </w:p>
        </w:tc>
        <w:tc>
          <w:tcPr>
            <w:tcW w:w="7371" w:type="dxa"/>
            <w:hideMark/>
          </w:tcPr>
          <w:p w:rsidR="001E5CAD" w:rsidRPr="00242020" w:rsidRDefault="001E5CAD" w:rsidP="001E5CAD">
            <w:pPr>
              <w:tabs>
                <w:tab w:val="left" w:leader="dot" w:pos="7121"/>
              </w:tabs>
              <w:spacing w:after="100"/>
              <w:ind w:firstLine="0"/>
              <w:jc w:val="both"/>
              <w:rPr>
                <w:color w:val="000000"/>
                <w:szCs w:val="28"/>
              </w:rPr>
            </w:pPr>
            <w:r w:rsidRPr="00242020">
              <w:rPr>
                <w:color w:val="000000"/>
                <w:szCs w:val="28"/>
              </w:rPr>
              <w:t xml:space="preserve">Надходження дивідендів до Державного бюджету України у 2000 – 2016 роках </w:t>
            </w:r>
            <w:r w:rsidRPr="00242020">
              <w:rPr>
                <w:color w:val="000000"/>
                <w:szCs w:val="28"/>
              </w:rPr>
              <w:tab/>
            </w:r>
          </w:p>
        </w:tc>
        <w:tc>
          <w:tcPr>
            <w:tcW w:w="706" w:type="dxa"/>
            <w:vAlign w:val="bottom"/>
          </w:tcPr>
          <w:p w:rsidR="001E5CAD" w:rsidRPr="00242020" w:rsidRDefault="00813306" w:rsidP="001E5CAD">
            <w:pPr>
              <w:tabs>
                <w:tab w:val="left" w:leader="dot" w:pos="7012"/>
              </w:tabs>
              <w:spacing w:after="100"/>
              <w:ind w:firstLine="0"/>
              <w:rPr>
                <w:color w:val="000000"/>
                <w:szCs w:val="28"/>
              </w:rPr>
            </w:pPr>
            <w:r>
              <w:rPr>
                <w:color w:val="000000"/>
                <w:szCs w:val="28"/>
              </w:rPr>
              <w:t>104</w:t>
            </w:r>
          </w:p>
        </w:tc>
      </w:tr>
      <w:tr w:rsidR="001E5CAD" w:rsidRPr="00242020" w:rsidTr="003A3D6B">
        <w:tc>
          <w:tcPr>
            <w:tcW w:w="1560" w:type="dxa"/>
            <w:hideMark/>
          </w:tcPr>
          <w:p w:rsidR="001E5CAD" w:rsidRPr="00242020" w:rsidRDefault="001E5CAD" w:rsidP="001E5CAD">
            <w:pPr>
              <w:ind w:left="-45" w:right="-68" w:firstLine="0"/>
              <w:jc w:val="both"/>
              <w:rPr>
                <w:b/>
              </w:rPr>
            </w:pPr>
            <w:r w:rsidRPr="00242020">
              <w:rPr>
                <w:b/>
              </w:rPr>
              <w:t>Додаток 9</w:t>
            </w:r>
          </w:p>
        </w:tc>
        <w:tc>
          <w:tcPr>
            <w:tcW w:w="7371" w:type="dxa"/>
            <w:hideMark/>
          </w:tcPr>
          <w:p w:rsidR="001E5CAD" w:rsidRPr="00242020" w:rsidRDefault="001E5CAD" w:rsidP="008A7154">
            <w:pPr>
              <w:tabs>
                <w:tab w:val="left" w:leader="dot" w:pos="7121"/>
              </w:tabs>
              <w:spacing w:after="100"/>
              <w:ind w:firstLine="0"/>
              <w:jc w:val="both"/>
              <w:rPr>
                <w:color w:val="000000"/>
                <w:szCs w:val="28"/>
              </w:rPr>
            </w:pPr>
            <w:r w:rsidRPr="00242020">
              <w:rPr>
                <w:color w:val="000000"/>
                <w:szCs w:val="28"/>
              </w:rPr>
              <w:t>Довідка про надходження коштів, одержаних від приватизації об’єктів державної власності Фондом державного майна України за січень-грудень 2016 року</w:t>
            </w:r>
            <w:r w:rsidR="00233D4D" w:rsidRPr="00242020">
              <w:rPr>
                <w:color w:val="000000"/>
                <w:szCs w:val="28"/>
              </w:rPr>
              <w:t>, у розрізі державних органів приватизації</w:t>
            </w:r>
            <w:r w:rsidRPr="00242020">
              <w:rPr>
                <w:color w:val="000000"/>
                <w:szCs w:val="28"/>
              </w:rPr>
              <w:t xml:space="preserve"> </w:t>
            </w:r>
            <w:r w:rsidRPr="00242020">
              <w:rPr>
                <w:color w:val="000000"/>
                <w:szCs w:val="28"/>
              </w:rPr>
              <w:tab/>
            </w:r>
          </w:p>
        </w:tc>
        <w:tc>
          <w:tcPr>
            <w:tcW w:w="706" w:type="dxa"/>
            <w:vAlign w:val="bottom"/>
          </w:tcPr>
          <w:p w:rsidR="001E5CAD" w:rsidRPr="00242020" w:rsidRDefault="00813306" w:rsidP="001E5CAD">
            <w:pPr>
              <w:tabs>
                <w:tab w:val="left" w:leader="dot" w:pos="7012"/>
              </w:tabs>
              <w:spacing w:after="100"/>
              <w:ind w:firstLine="0"/>
              <w:rPr>
                <w:color w:val="000000"/>
                <w:szCs w:val="28"/>
              </w:rPr>
            </w:pPr>
            <w:r>
              <w:rPr>
                <w:color w:val="000000"/>
                <w:szCs w:val="28"/>
              </w:rPr>
              <w:t>105</w:t>
            </w:r>
          </w:p>
        </w:tc>
      </w:tr>
      <w:tr w:rsidR="001E5CAD" w:rsidRPr="00242020" w:rsidTr="003A3D6B">
        <w:tc>
          <w:tcPr>
            <w:tcW w:w="1560" w:type="dxa"/>
            <w:hideMark/>
          </w:tcPr>
          <w:p w:rsidR="001E5CAD" w:rsidRPr="00242020" w:rsidRDefault="001E5CAD" w:rsidP="001E5CAD">
            <w:pPr>
              <w:ind w:left="-45" w:right="-68" w:firstLine="0"/>
              <w:jc w:val="both"/>
              <w:rPr>
                <w:b/>
              </w:rPr>
            </w:pPr>
            <w:r w:rsidRPr="00242020">
              <w:rPr>
                <w:b/>
              </w:rPr>
              <w:t>Додаток 10</w:t>
            </w:r>
          </w:p>
        </w:tc>
        <w:tc>
          <w:tcPr>
            <w:tcW w:w="7371" w:type="dxa"/>
            <w:hideMark/>
          </w:tcPr>
          <w:p w:rsidR="001E5CAD" w:rsidRPr="00242020" w:rsidRDefault="001E5CAD" w:rsidP="001E5CAD">
            <w:pPr>
              <w:tabs>
                <w:tab w:val="left" w:leader="dot" w:pos="7121"/>
              </w:tabs>
              <w:spacing w:after="100"/>
              <w:ind w:firstLine="0"/>
              <w:jc w:val="both"/>
              <w:rPr>
                <w:color w:val="000000"/>
                <w:szCs w:val="28"/>
              </w:rPr>
            </w:pPr>
            <w:r w:rsidRPr="00242020">
              <w:rPr>
                <w:color w:val="000000"/>
                <w:szCs w:val="28"/>
              </w:rPr>
              <w:t>Надходження коштів від продажу об’єктів приватизації державної власності груп А, Д та Ж, у тому числі разом із земельними ділянками</w:t>
            </w:r>
            <w:r w:rsidR="00085F86">
              <w:rPr>
                <w:color w:val="000000"/>
                <w:szCs w:val="28"/>
              </w:rPr>
              <w:t>,</w:t>
            </w:r>
            <w:r w:rsidRPr="00242020">
              <w:rPr>
                <w:color w:val="000000"/>
                <w:szCs w:val="28"/>
              </w:rPr>
              <w:t xml:space="preserve"> </w:t>
            </w:r>
            <w:r w:rsidR="00233D4D" w:rsidRPr="00242020">
              <w:rPr>
                <w:color w:val="000000"/>
                <w:szCs w:val="28"/>
              </w:rPr>
              <w:t>за 12 місяців 2016 року</w:t>
            </w:r>
            <w:r w:rsidR="00233D4D" w:rsidRPr="00242020">
              <w:rPr>
                <w:b/>
                <w:sz w:val="30"/>
                <w:szCs w:val="30"/>
              </w:rPr>
              <w:t xml:space="preserve"> </w:t>
            </w:r>
            <w:r w:rsidRPr="00242020">
              <w:rPr>
                <w:color w:val="000000"/>
                <w:szCs w:val="28"/>
              </w:rPr>
              <w:tab/>
            </w:r>
          </w:p>
        </w:tc>
        <w:tc>
          <w:tcPr>
            <w:tcW w:w="706" w:type="dxa"/>
            <w:vAlign w:val="bottom"/>
          </w:tcPr>
          <w:p w:rsidR="001E5CAD" w:rsidRPr="00242020" w:rsidRDefault="00813306" w:rsidP="001E5CAD">
            <w:pPr>
              <w:tabs>
                <w:tab w:val="left" w:leader="dot" w:pos="7012"/>
              </w:tabs>
              <w:spacing w:after="100"/>
              <w:ind w:firstLine="0"/>
              <w:rPr>
                <w:color w:val="000000"/>
                <w:szCs w:val="28"/>
              </w:rPr>
            </w:pPr>
            <w:r>
              <w:rPr>
                <w:color w:val="000000"/>
                <w:szCs w:val="28"/>
              </w:rPr>
              <w:t>106</w:t>
            </w:r>
          </w:p>
        </w:tc>
      </w:tr>
      <w:tr w:rsidR="001E5CAD" w:rsidRPr="00242020" w:rsidTr="003A3D6B">
        <w:tc>
          <w:tcPr>
            <w:tcW w:w="1560" w:type="dxa"/>
            <w:hideMark/>
          </w:tcPr>
          <w:p w:rsidR="001E5CAD" w:rsidRPr="00242020" w:rsidRDefault="001E5CAD" w:rsidP="001E5CAD">
            <w:pPr>
              <w:ind w:left="-45" w:right="-68" w:firstLine="0"/>
              <w:jc w:val="both"/>
              <w:rPr>
                <w:b/>
              </w:rPr>
            </w:pPr>
            <w:r w:rsidRPr="00242020">
              <w:rPr>
                <w:b/>
              </w:rPr>
              <w:t>Додаток 11</w:t>
            </w:r>
          </w:p>
        </w:tc>
        <w:tc>
          <w:tcPr>
            <w:tcW w:w="7371" w:type="dxa"/>
            <w:hideMark/>
          </w:tcPr>
          <w:p w:rsidR="001E5CAD" w:rsidRPr="00242020" w:rsidRDefault="001E5CAD" w:rsidP="001E5CAD">
            <w:pPr>
              <w:tabs>
                <w:tab w:val="left" w:leader="dot" w:pos="7121"/>
              </w:tabs>
              <w:spacing w:after="100"/>
              <w:ind w:firstLine="0"/>
              <w:jc w:val="both"/>
              <w:rPr>
                <w:color w:val="000000"/>
                <w:szCs w:val="28"/>
              </w:rPr>
            </w:pPr>
            <w:r w:rsidRPr="00242020">
              <w:rPr>
                <w:color w:val="000000"/>
                <w:szCs w:val="28"/>
              </w:rPr>
              <w:t xml:space="preserve">Довідка про надходження та перерахування коштів, одержаних від приватизації державного майна за січень-грудень 2016 року </w:t>
            </w:r>
            <w:r w:rsidRPr="00242020">
              <w:rPr>
                <w:color w:val="000000"/>
                <w:szCs w:val="28"/>
              </w:rPr>
              <w:tab/>
            </w:r>
          </w:p>
        </w:tc>
        <w:tc>
          <w:tcPr>
            <w:tcW w:w="706" w:type="dxa"/>
            <w:vAlign w:val="bottom"/>
          </w:tcPr>
          <w:p w:rsidR="001E5CAD" w:rsidRPr="00242020" w:rsidRDefault="00813306" w:rsidP="001E5CAD">
            <w:pPr>
              <w:tabs>
                <w:tab w:val="left" w:leader="dot" w:pos="7012"/>
              </w:tabs>
              <w:spacing w:after="100"/>
              <w:ind w:firstLine="0"/>
              <w:rPr>
                <w:color w:val="000000"/>
                <w:szCs w:val="28"/>
              </w:rPr>
            </w:pPr>
            <w:r>
              <w:rPr>
                <w:color w:val="000000"/>
                <w:szCs w:val="28"/>
              </w:rPr>
              <w:t>108</w:t>
            </w:r>
          </w:p>
        </w:tc>
      </w:tr>
      <w:tr w:rsidR="001E5CAD" w:rsidRPr="00242020" w:rsidTr="003A3D6B">
        <w:tc>
          <w:tcPr>
            <w:tcW w:w="1560" w:type="dxa"/>
            <w:hideMark/>
          </w:tcPr>
          <w:p w:rsidR="001E5CAD" w:rsidRPr="00242020" w:rsidRDefault="001E5CAD" w:rsidP="001E5CAD">
            <w:pPr>
              <w:ind w:left="-45" w:right="-68" w:firstLine="0"/>
              <w:jc w:val="both"/>
              <w:rPr>
                <w:b/>
              </w:rPr>
            </w:pPr>
            <w:r w:rsidRPr="00242020">
              <w:rPr>
                <w:b/>
              </w:rPr>
              <w:t>Додаток 12</w:t>
            </w:r>
          </w:p>
        </w:tc>
        <w:tc>
          <w:tcPr>
            <w:tcW w:w="7371" w:type="dxa"/>
            <w:hideMark/>
          </w:tcPr>
          <w:p w:rsidR="001E5CAD" w:rsidRPr="00242020" w:rsidRDefault="001E5CAD" w:rsidP="00085F86">
            <w:pPr>
              <w:tabs>
                <w:tab w:val="left" w:leader="dot" w:pos="7121"/>
              </w:tabs>
              <w:spacing w:after="100"/>
              <w:ind w:firstLine="0"/>
              <w:jc w:val="both"/>
              <w:rPr>
                <w:color w:val="000000"/>
                <w:szCs w:val="28"/>
              </w:rPr>
            </w:pPr>
            <w:r w:rsidRPr="00242020">
              <w:rPr>
                <w:color w:val="000000"/>
                <w:szCs w:val="28"/>
              </w:rPr>
              <w:t xml:space="preserve">Інформація </w:t>
            </w:r>
            <w:r w:rsidR="00085F86">
              <w:rPr>
                <w:color w:val="000000"/>
                <w:szCs w:val="28"/>
              </w:rPr>
              <w:t>щод</w:t>
            </w:r>
            <w:r w:rsidRPr="00242020">
              <w:rPr>
                <w:color w:val="000000"/>
                <w:szCs w:val="28"/>
              </w:rPr>
              <w:t>о видатк</w:t>
            </w:r>
            <w:r w:rsidR="00085F86">
              <w:rPr>
                <w:color w:val="000000"/>
                <w:szCs w:val="28"/>
              </w:rPr>
              <w:t>ів</w:t>
            </w:r>
            <w:r w:rsidRPr="00242020">
              <w:rPr>
                <w:color w:val="000000"/>
                <w:szCs w:val="28"/>
              </w:rPr>
              <w:t xml:space="preserve"> загального фонду державного бюджету на заходи, пов’язані з проведенням приватизації державного майна за 2016 рік </w:t>
            </w:r>
            <w:r w:rsidRPr="00242020">
              <w:rPr>
                <w:color w:val="000000"/>
                <w:szCs w:val="28"/>
              </w:rPr>
              <w:tab/>
            </w:r>
          </w:p>
        </w:tc>
        <w:tc>
          <w:tcPr>
            <w:tcW w:w="706" w:type="dxa"/>
            <w:vAlign w:val="bottom"/>
          </w:tcPr>
          <w:p w:rsidR="001E5CAD" w:rsidRPr="00242020" w:rsidRDefault="00813306" w:rsidP="001E5CAD">
            <w:pPr>
              <w:tabs>
                <w:tab w:val="left" w:leader="dot" w:pos="7012"/>
              </w:tabs>
              <w:spacing w:after="100"/>
              <w:ind w:firstLine="0"/>
              <w:rPr>
                <w:color w:val="000000"/>
                <w:szCs w:val="28"/>
              </w:rPr>
            </w:pPr>
            <w:r>
              <w:rPr>
                <w:color w:val="000000"/>
                <w:szCs w:val="28"/>
              </w:rPr>
              <w:t>110</w:t>
            </w:r>
          </w:p>
        </w:tc>
      </w:tr>
      <w:tr w:rsidR="001E5CAD" w:rsidRPr="00242020" w:rsidTr="003A3D6B">
        <w:tc>
          <w:tcPr>
            <w:tcW w:w="1560" w:type="dxa"/>
            <w:hideMark/>
          </w:tcPr>
          <w:p w:rsidR="001E5CAD" w:rsidRPr="00242020" w:rsidRDefault="001E5CAD" w:rsidP="001E5CAD">
            <w:pPr>
              <w:ind w:left="-45" w:right="-68" w:firstLine="0"/>
              <w:jc w:val="both"/>
              <w:rPr>
                <w:b/>
              </w:rPr>
            </w:pPr>
            <w:r w:rsidRPr="00242020">
              <w:rPr>
                <w:b/>
              </w:rPr>
              <w:t>Додаток 13</w:t>
            </w:r>
          </w:p>
        </w:tc>
        <w:tc>
          <w:tcPr>
            <w:tcW w:w="7371" w:type="dxa"/>
            <w:hideMark/>
          </w:tcPr>
          <w:p w:rsidR="001E5CAD" w:rsidRPr="00242020" w:rsidRDefault="001E5CAD" w:rsidP="001E5CAD">
            <w:pPr>
              <w:tabs>
                <w:tab w:val="left" w:leader="dot" w:pos="7121"/>
              </w:tabs>
              <w:spacing w:after="100"/>
              <w:ind w:firstLine="0"/>
              <w:jc w:val="both"/>
              <w:rPr>
                <w:color w:val="000000"/>
                <w:szCs w:val="28"/>
              </w:rPr>
            </w:pPr>
            <w:r w:rsidRPr="00242020">
              <w:rPr>
                <w:color w:val="000000"/>
                <w:szCs w:val="28"/>
              </w:rPr>
              <w:t xml:space="preserve">Інформація про бюджет головного розпорядника бюджетних коштів за </w:t>
            </w:r>
            <w:proofErr w:type="spellStart"/>
            <w:r w:rsidRPr="00242020">
              <w:rPr>
                <w:color w:val="000000"/>
                <w:szCs w:val="28"/>
              </w:rPr>
              <w:t>КВКВ</w:t>
            </w:r>
            <w:proofErr w:type="spellEnd"/>
            <w:r w:rsidRPr="00242020">
              <w:rPr>
                <w:color w:val="000000"/>
                <w:szCs w:val="28"/>
              </w:rPr>
              <w:t xml:space="preserve"> 661 «Фонд державного майна України» за 2016 рік </w:t>
            </w:r>
            <w:r w:rsidRPr="00242020">
              <w:rPr>
                <w:color w:val="000000"/>
                <w:szCs w:val="28"/>
              </w:rPr>
              <w:tab/>
            </w:r>
          </w:p>
        </w:tc>
        <w:tc>
          <w:tcPr>
            <w:tcW w:w="706" w:type="dxa"/>
            <w:vAlign w:val="bottom"/>
          </w:tcPr>
          <w:p w:rsidR="001E5CAD" w:rsidRPr="00242020" w:rsidRDefault="00813306" w:rsidP="001E5CAD">
            <w:pPr>
              <w:tabs>
                <w:tab w:val="left" w:leader="dot" w:pos="7012"/>
              </w:tabs>
              <w:spacing w:after="100"/>
              <w:ind w:firstLine="0"/>
              <w:rPr>
                <w:color w:val="000000"/>
                <w:szCs w:val="28"/>
              </w:rPr>
            </w:pPr>
            <w:r>
              <w:rPr>
                <w:color w:val="000000"/>
                <w:szCs w:val="28"/>
              </w:rPr>
              <w:t>111</w:t>
            </w:r>
          </w:p>
        </w:tc>
      </w:tr>
    </w:tbl>
    <w:p w:rsidR="00D226C3" w:rsidRPr="00242020" w:rsidRDefault="00D226C3"/>
    <w:p w:rsidR="00D226C3" w:rsidRPr="00242020" w:rsidRDefault="00095093">
      <w:r>
        <w:rPr>
          <w:noProof/>
          <w:lang w:eastAsia="uk-UA"/>
        </w:rPr>
        <w:lastRenderedPageBreak/>
        <w:pict>
          <v:rect id="Прямоугольник 198" o:spid="_x0000_s1045" style="position:absolute;left:0;text-align:left;margin-left:-2.25pt;margin-top:-39.1pt;width:499.5pt;height:43.5pt;z-index:251671040;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" fillcolor="white [3212]" stroked="f" strokeweight="1pt">
            <w10:wrap anchorx="margin"/>
          </v:rect>
        </w:pict>
      </w:r>
    </w:p>
    <w:p w:rsidR="00D226C3" w:rsidRPr="00242020" w:rsidRDefault="00D226C3"/>
    <w:p w:rsidR="00D226C3" w:rsidRPr="00242020" w:rsidRDefault="00D226C3"/>
    <w:p w:rsidR="00D226C3" w:rsidRPr="00242020" w:rsidRDefault="00D226C3"/>
    <w:p w:rsidR="00D226C3" w:rsidRPr="00242020" w:rsidRDefault="00D226C3"/>
    <w:p w:rsidR="00D226C3" w:rsidRPr="00242020" w:rsidRDefault="00D226C3"/>
    <w:p w:rsidR="00D226C3" w:rsidRPr="00242020" w:rsidRDefault="00D226C3"/>
    <w:p w:rsidR="00D226C3" w:rsidRPr="00242020" w:rsidRDefault="00D226C3"/>
    <w:p w:rsidR="00D226C3" w:rsidRPr="00242020" w:rsidRDefault="00D226C3"/>
    <w:p w:rsidR="00D226C3" w:rsidRPr="00242020" w:rsidRDefault="00D226C3"/>
    <w:p w:rsidR="00D226C3" w:rsidRPr="00242020" w:rsidRDefault="00D226C3"/>
    <w:p w:rsidR="00D226C3" w:rsidRPr="00242020" w:rsidRDefault="00D226C3"/>
    <w:p w:rsidR="00D226C3" w:rsidRPr="00242020" w:rsidRDefault="00D226C3"/>
    <w:p w:rsidR="00D226C3" w:rsidRPr="00242020" w:rsidRDefault="00D226C3"/>
    <w:p w:rsidR="00D226C3" w:rsidRPr="00242020" w:rsidRDefault="00D226C3"/>
    <w:p w:rsidR="00D226C3" w:rsidRPr="00242020" w:rsidRDefault="00D226C3"/>
    <w:p w:rsidR="00D226C3" w:rsidRPr="00242020" w:rsidRDefault="00D226C3"/>
    <w:p w:rsidR="00D226C3" w:rsidRPr="00242020" w:rsidRDefault="00D226C3"/>
    <w:p w:rsidR="00D226C3" w:rsidRPr="00242020" w:rsidRDefault="00D226C3"/>
    <w:p w:rsidR="00D226C3" w:rsidRPr="00242020" w:rsidRDefault="00D226C3"/>
    <w:p w:rsidR="00D226C3" w:rsidRPr="00242020" w:rsidRDefault="00D226C3"/>
    <w:p w:rsidR="00D226C3" w:rsidRPr="00242020" w:rsidRDefault="00D226C3"/>
    <w:p w:rsidR="00D226C3" w:rsidRPr="00242020" w:rsidRDefault="00D226C3"/>
    <w:p w:rsidR="00D226C3" w:rsidRPr="00242020" w:rsidRDefault="00D226C3"/>
    <w:p w:rsidR="00D226C3" w:rsidRPr="00242020" w:rsidRDefault="00D226C3"/>
    <w:p w:rsidR="00D226C3" w:rsidRPr="00242020" w:rsidRDefault="00D226C3"/>
    <w:p w:rsidR="00D226C3" w:rsidRPr="00242020" w:rsidRDefault="00D226C3"/>
    <w:p w:rsidR="00D226C3" w:rsidRPr="00242020" w:rsidRDefault="00095093">
      <w:r>
        <w:rPr>
          <w:noProof/>
          <w:lang w:eastAsia="uk-UA"/>
        </w:rPr>
        <w:pict>
          <v:rect id="_x0000_s1072" style="position:absolute;left:0;text-align:left;margin-left:-14.55pt;margin-top:291.75pt;width:529pt;height:128pt;z-index:251685376" stroked="f"/>
        </w:pict>
      </w:r>
      <w:r>
        <w:rPr>
          <w:noProof/>
          <w:lang w:eastAsia="uk-UA"/>
        </w:rPr>
        <w:pict>
          <v:rect id="Прямоугольник 199" o:spid="_x0000_s1044" style="position:absolute;left:0;text-align:left;margin-left:-6.75pt;margin-top:405.45pt;width:499.5pt;height:43.5pt;z-index:251673088;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" fillcolor="white [3212]" stroked="f" strokeweight="1pt">
            <w10:wrap anchorx="margin"/>
          </v:rect>
        </w:pict>
      </w:r>
    </w:p>
    <w:p w:rsidR="001E5CAD" w:rsidRPr="00242020" w:rsidRDefault="001E5CAD">
      <w:pPr>
        <w:sectPr w:rsidR="001E5CAD" w:rsidRPr="00242020" w:rsidSect="00BE4231">
          <w:pgSz w:w="11906" w:h="16838"/>
          <w:pgMar w:top="1134" w:right="851" w:bottom="1134" w:left="1418" w:header="709" w:footer="709" w:gutter="0"/>
          <w:cols w:space="708"/>
          <w:docGrid w:linePitch="381"/>
        </w:sectPr>
      </w:pPr>
    </w:p>
    <w:p w:rsidR="00D226C3" w:rsidRPr="00242020" w:rsidRDefault="001E5CAD" w:rsidP="001E5CAD">
      <w:pPr>
        <w:pStyle w:val="1"/>
      </w:pPr>
      <w:r w:rsidRPr="00242020">
        <w:lastRenderedPageBreak/>
        <w:t>Вступ</w:t>
      </w:r>
    </w:p>
    <w:p w:rsidR="007D193C" w:rsidRPr="00242020" w:rsidRDefault="007D193C" w:rsidP="007D193C">
      <w:pPr>
        <w:jc w:val="both"/>
        <w:rPr>
          <w:rFonts w:eastAsia="Calibri" w:cs="Times New Roman"/>
          <w:spacing w:val="-1"/>
          <w:szCs w:val="28"/>
        </w:rPr>
      </w:pPr>
      <w:r w:rsidRPr="00242020">
        <w:rPr>
          <w:rFonts w:eastAsia="Calibri" w:cs="Times New Roman"/>
          <w:szCs w:val="28"/>
        </w:rPr>
        <w:t xml:space="preserve">У 2016 році Фонд державного майна України (далі – Фонд) здійснював свою діяльність у межах повноважень, визначених </w:t>
      </w:r>
      <w:r w:rsidRPr="00242020">
        <w:rPr>
          <w:rFonts w:eastAsia="Calibri" w:cs="Times New Roman"/>
          <w:spacing w:val="2"/>
          <w:szCs w:val="28"/>
        </w:rPr>
        <w:t>Законом України від 09 грудня 2011 року № 4107-VI «Про Фонд державного майна України»</w:t>
      </w:r>
      <w:r w:rsidRPr="00242020">
        <w:rPr>
          <w:rFonts w:eastAsia="Calibri" w:cs="Times New Roman"/>
          <w:spacing w:val="-1"/>
          <w:szCs w:val="28"/>
        </w:rPr>
        <w:t>.</w:t>
      </w:r>
    </w:p>
    <w:p w:rsidR="007D193C" w:rsidRPr="00242020" w:rsidRDefault="007D193C" w:rsidP="007D193C">
      <w:pPr>
        <w:jc w:val="both"/>
        <w:rPr>
          <w:rFonts w:eastAsia="Calibri" w:cs="Times New Roman"/>
          <w:szCs w:val="28"/>
        </w:rPr>
      </w:pPr>
      <w:r w:rsidRPr="00242020">
        <w:rPr>
          <w:rFonts w:eastAsia="Calibri" w:cs="Times New Roman"/>
          <w:szCs w:val="28"/>
        </w:rPr>
        <w:t xml:space="preserve">Фонд є центральним органом виконавчої влади із спеціальним статусом, що реалізує державну політику у сфері приватизації, оренди, використання та відчуження державного майна, управління об’єктами державної власності, </w:t>
      </w:r>
      <w:r w:rsidR="00660C74">
        <w:rPr>
          <w:rFonts w:eastAsia="Calibri" w:cs="Times New Roman"/>
          <w:color w:val="333333"/>
          <w:szCs w:val="28"/>
        </w:rPr>
        <w:t>у</w:t>
      </w:r>
      <w:r w:rsidRPr="00242020">
        <w:rPr>
          <w:rFonts w:eastAsia="Calibri" w:cs="Times New Roman"/>
          <w:color w:val="333333"/>
          <w:szCs w:val="28"/>
        </w:rPr>
        <w:t xml:space="preserve"> </w:t>
      </w:r>
      <w:r w:rsidRPr="00242020">
        <w:rPr>
          <w:rFonts w:eastAsia="Calibri" w:cs="Times New Roman"/>
          <w:szCs w:val="28"/>
        </w:rPr>
        <w:t>тому числі корпоративними правами держави щодо об’єктів державної власності, що належать до сфери його управління, а також у сфері державного регулювання оцінки майна, майнових прав та професійної оціночної діяльності.</w:t>
      </w:r>
    </w:p>
    <w:p w:rsidR="007D193C" w:rsidRPr="00242020" w:rsidRDefault="007D193C" w:rsidP="007D193C">
      <w:pPr>
        <w:jc w:val="both"/>
        <w:rPr>
          <w:rFonts w:eastAsia="Calibri" w:cs="Times New Roman"/>
          <w:szCs w:val="28"/>
        </w:rPr>
      </w:pPr>
      <w:r w:rsidRPr="00242020">
        <w:rPr>
          <w:rFonts w:eastAsia="Calibri" w:cs="Times New Roman"/>
          <w:szCs w:val="28"/>
        </w:rPr>
        <w:t>До основних завдань Фонду належать:</w:t>
      </w:r>
    </w:p>
    <w:p w:rsidR="007D193C" w:rsidRPr="00242020" w:rsidRDefault="007D193C" w:rsidP="007D193C">
      <w:pPr>
        <w:jc w:val="both"/>
        <w:rPr>
          <w:rFonts w:eastAsia="Calibri" w:cs="Times New Roman"/>
          <w:szCs w:val="28"/>
        </w:rPr>
      </w:pPr>
      <w:r w:rsidRPr="00242020">
        <w:rPr>
          <w:rFonts w:eastAsia="Calibri" w:cs="Times New Roman"/>
          <w:szCs w:val="28"/>
        </w:rPr>
        <w:t>– управління об’єктами державної власності, зокрема корпоративними правами держави у статутних капіталах господарських товариств, щодо яких прийнято рішення про приватизацію та затверджено план приватизації або план розміщення акцій; товариств, утворених у процесі перетворення (у тому числі шляхом корпоратизації) державних підприємств, що належать до сфери його управління, а також товариств, утворених за участю Фонду;</w:t>
      </w:r>
    </w:p>
    <w:p w:rsidR="007D193C" w:rsidRPr="00242020" w:rsidRDefault="007D193C" w:rsidP="007D193C">
      <w:pPr>
        <w:jc w:val="both"/>
        <w:rPr>
          <w:rFonts w:eastAsia="Calibri" w:cs="Times New Roman"/>
          <w:szCs w:val="28"/>
        </w:rPr>
      </w:pPr>
      <w:r w:rsidRPr="00242020">
        <w:rPr>
          <w:rFonts w:eastAsia="Calibri" w:cs="Times New Roman"/>
          <w:szCs w:val="28"/>
        </w:rPr>
        <w:t>– реалізація державної політики у сфері оренди, використання та відчуження державного майна;</w:t>
      </w:r>
    </w:p>
    <w:p w:rsidR="007D193C" w:rsidRPr="00242020" w:rsidRDefault="007D193C" w:rsidP="007D193C">
      <w:pPr>
        <w:jc w:val="both"/>
        <w:rPr>
          <w:rFonts w:eastAsia="Calibri" w:cs="Times New Roman"/>
          <w:szCs w:val="28"/>
        </w:rPr>
      </w:pPr>
      <w:r w:rsidRPr="00242020">
        <w:rPr>
          <w:rFonts w:eastAsia="Calibri" w:cs="Times New Roman"/>
          <w:szCs w:val="28"/>
        </w:rPr>
        <w:t>– реалізація державної політики у сфері приватизації і, як результат, сприяння процесу демонополізації економіки і створенню умов для конкуренції виробників;</w:t>
      </w:r>
    </w:p>
    <w:p w:rsidR="007D193C" w:rsidRPr="00242020" w:rsidRDefault="007D193C" w:rsidP="007D193C">
      <w:pPr>
        <w:jc w:val="both"/>
        <w:rPr>
          <w:rFonts w:eastAsia="Calibri" w:cs="Times New Roman"/>
          <w:szCs w:val="28"/>
        </w:rPr>
      </w:pPr>
      <w:r w:rsidRPr="00242020">
        <w:rPr>
          <w:rFonts w:eastAsia="Calibri" w:cs="Times New Roman"/>
          <w:szCs w:val="28"/>
        </w:rPr>
        <w:t>– здійснення контролю у сфері організації та проведення приватизації державного майна, управління державним майном; виконання покупцями об’єктів приватизації взятих на себе зобов’язань відповідно до умов договорів купівлі-продажу об’єктів приватизації; відчуження державного майна у випадках, встановлених законодавством; передачі державного майна в оренду та користування; повернення в державну власність державного майна, що було приватизоване, відчужене або вибуло з державної власності з порушенням законодавства;</w:t>
      </w:r>
    </w:p>
    <w:p w:rsidR="007D193C" w:rsidRPr="00242020" w:rsidRDefault="007D193C" w:rsidP="007D193C">
      <w:pPr>
        <w:jc w:val="both"/>
        <w:rPr>
          <w:rFonts w:eastAsia="Calibri" w:cs="Times New Roman"/>
          <w:szCs w:val="28"/>
        </w:rPr>
      </w:pPr>
      <w:r w:rsidRPr="00242020">
        <w:rPr>
          <w:rFonts w:eastAsia="Calibri" w:cs="Times New Roman"/>
          <w:szCs w:val="28"/>
        </w:rPr>
        <w:t>– державне регулювання у сфері оцінки майна, майнових прав та професійної оціночної діяльності;</w:t>
      </w:r>
    </w:p>
    <w:p w:rsidR="007D193C" w:rsidRPr="00242020" w:rsidRDefault="007D193C" w:rsidP="007D193C">
      <w:pPr>
        <w:jc w:val="both"/>
        <w:rPr>
          <w:rFonts w:eastAsia="Calibri" w:cs="Times New Roman"/>
          <w:szCs w:val="28"/>
        </w:rPr>
      </w:pPr>
      <w:r w:rsidRPr="00242020">
        <w:rPr>
          <w:rFonts w:eastAsia="Calibri" w:cs="Times New Roman"/>
          <w:szCs w:val="28"/>
        </w:rPr>
        <w:t>– забезпечення формування і ведення Єдиного реєстру об’єктів державної власності;</w:t>
      </w:r>
    </w:p>
    <w:p w:rsidR="007D193C" w:rsidRPr="00242020" w:rsidRDefault="007D193C" w:rsidP="007D193C">
      <w:pPr>
        <w:jc w:val="both"/>
        <w:rPr>
          <w:rFonts w:eastAsia="Calibri" w:cs="Times New Roman"/>
          <w:szCs w:val="28"/>
        </w:rPr>
      </w:pPr>
      <w:r w:rsidRPr="00242020">
        <w:rPr>
          <w:rFonts w:eastAsia="Calibri" w:cs="Times New Roman"/>
          <w:szCs w:val="28"/>
        </w:rPr>
        <w:t xml:space="preserve">– співробітництво з міжнародними організаціями з питань реалізації державної політики у сфері приватизації, оренди, використання та відчуження державного майна в межах покладених на нього повноважень, управління корпоративними правами держави, а також у сфері державного регулювання оцінки майна, майнових прав та професійної оціночної діяльності; </w:t>
      </w:r>
    </w:p>
    <w:p w:rsidR="007D193C" w:rsidRPr="00242020" w:rsidRDefault="007D193C" w:rsidP="007D193C">
      <w:pPr>
        <w:jc w:val="both"/>
        <w:rPr>
          <w:rFonts w:eastAsia="Calibri" w:cs="Times New Roman"/>
          <w:szCs w:val="28"/>
        </w:rPr>
      </w:pPr>
      <w:r w:rsidRPr="00242020">
        <w:rPr>
          <w:rFonts w:eastAsia="Calibri" w:cs="Times New Roman"/>
          <w:szCs w:val="28"/>
        </w:rPr>
        <w:t>– організація виконання Конституції та законів України, актів Президента України і Кабінету Міністрів України, інших актів законодавства та здійснення контролю за їх виконанням.</w:t>
      </w:r>
    </w:p>
    <w:p w:rsidR="007D193C" w:rsidRPr="00242020" w:rsidRDefault="007D193C" w:rsidP="007D193C">
      <w:pPr>
        <w:jc w:val="both"/>
        <w:rPr>
          <w:rFonts w:eastAsia="Calibri" w:cs="Times New Roman"/>
          <w:szCs w:val="28"/>
        </w:rPr>
      </w:pPr>
      <w:r w:rsidRPr="00242020">
        <w:rPr>
          <w:rFonts w:eastAsia="Calibri" w:cs="Times New Roman"/>
          <w:szCs w:val="28"/>
        </w:rPr>
        <w:t xml:space="preserve">Звіт підготовлено на виконання частини другої статті 4 Закону України «Про Фонд державного майна України», пункту 23 розділу VII Державної </w:t>
      </w:r>
      <w:r w:rsidRPr="00242020">
        <w:rPr>
          <w:rFonts w:eastAsia="Calibri" w:cs="Times New Roman"/>
          <w:szCs w:val="28"/>
        </w:rPr>
        <w:lastRenderedPageBreak/>
        <w:t>програми приватизації на 2012-2014 роки, затвердженої Законом України</w:t>
      </w:r>
      <w:r w:rsidRPr="00242020">
        <w:rPr>
          <w:szCs w:val="28"/>
        </w:rPr>
        <w:t xml:space="preserve"> </w:t>
      </w:r>
      <w:r w:rsidRPr="00242020">
        <w:rPr>
          <w:szCs w:val="28"/>
        </w:rPr>
        <w:br/>
      </w:r>
      <w:r w:rsidRPr="00242020">
        <w:rPr>
          <w:rFonts w:eastAsia="Calibri" w:cs="Times New Roman"/>
          <w:szCs w:val="28"/>
        </w:rPr>
        <w:t>від</w:t>
      </w:r>
      <w:r w:rsidRPr="00242020">
        <w:rPr>
          <w:szCs w:val="28"/>
        </w:rPr>
        <w:t xml:space="preserve"> </w:t>
      </w:r>
      <w:r w:rsidRPr="00242020">
        <w:rPr>
          <w:rFonts w:eastAsia="Calibri" w:cs="Times New Roman"/>
          <w:szCs w:val="28"/>
        </w:rPr>
        <w:t>13 січня 2012 року № 4335-VІ, частини четвертої статті 4 Закону України від</w:t>
      </w:r>
      <w:r w:rsidRPr="00242020">
        <w:rPr>
          <w:szCs w:val="28"/>
        </w:rPr>
        <w:t xml:space="preserve"> </w:t>
      </w:r>
      <w:r w:rsidRPr="00242020">
        <w:rPr>
          <w:rFonts w:eastAsia="Calibri" w:cs="Times New Roman"/>
          <w:szCs w:val="28"/>
        </w:rPr>
        <w:t>04 березня 1992 року № 2143-ХІІ «Про приватизацію державного майна».</w:t>
      </w:r>
    </w:p>
    <w:p w:rsidR="007D193C" w:rsidRPr="00242020" w:rsidRDefault="007D193C" w:rsidP="007D193C">
      <w:pPr>
        <w:jc w:val="both"/>
        <w:rPr>
          <w:rFonts w:eastAsia="Calibri" w:cs="Times New Roman"/>
          <w:szCs w:val="28"/>
        </w:rPr>
      </w:pPr>
      <w:r w:rsidRPr="00242020">
        <w:rPr>
          <w:rFonts w:eastAsia="Calibri" w:cs="Times New Roman"/>
          <w:szCs w:val="28"/>
        </w:rPr>
        <w:t>Робота Фонду у звітному періоді здійснювалася відповідно до Стратегії сталого розвитку «Україна – 2020» та була спрямована на реалізацію пріоритетів розвитку країни, зокрема</w:t>
      </w:r>
      <w:r w:rsidRPr="00242020">
        <w:rPr>
          <w:rFonts w:eastAsia="Calibri" w:cs="Times New Roman"/>
          <w:color w:val="000000"/>
          <w:szCs w:val="28"/>
        </w:rPr>
        <w:t xml:space="preserve"> щодо</w:t>
      </w:r>
      <w:r w:rsidRPr="00242020">
        <w:rPr>
          <w:rFonts w:eastAsia="Calibri" w:cs="Times New Roman"/>
          <w:b/>
        </w:rPr>
        <w:t xml:space="preserve"> </w:t>
      </w:r>
      <w:r w:rsidRPr="00242020">
        <w:rPr>
          <w:rFonts w:eastAsia="Calibri" w:cs="Times New Roman"/>
          <w:color w:val="000000"/>
          <w:szCs w:val="28"/>
        </w:rPr>
        <w:t>прозорої приватизації об’єктів державної власності</w:t>
      </w:r>
      <w:r w:rsidRPr="00242020">
        <w:rPr>
          <w:rFonts w:eastAsia="Calibri" w:cs="Times New Roman"/>
          <w:szCs w:val="28"/>
        </w:rPr>
        <w:t>, визначених Планом пріоритетних дій Уряду на 2016 рік, затвердженим розпорядженням Кабінету Міністрів України від 27 травня 2016</w:t>
      </w:r>
      <w:r w:rsidRPr="00242020">
        <w:rPr>
          <w:szCs w:val="28"/>
        </w:rPr>
        <w:t> </w:t>
      </w:r>
      <w:r w:rsidRPr="00242020">
        <w:rPr>
          <w:rFonts w:eastAsia="Calibri" w:cs="Times New Roman"/>
          <w:szCs w:val="28"/>
        </w:rPr>
        <w:t>року №</w:t>
      </w:r>
      <w:r w:rsidR="00F74FCF" w:rsidRPr="00242020">
        <w:rPr>
          <w:rFonts w:eastAsia="Calibri" w:cs="Times New Roman"/>
          <w:szCs w:val="28"/>
        </w:rPr>
        <w:t> </w:t>
      </w:r>
      <w:r w:rsidRPr="00242020">
        <w:rPr>
          <w:rFonts w:eastAsia="Calibri" w:cs="Times New Roman"/>
          <w:szCs w:val="28"/>
        </w:rPr>
        <w:t xml:space="preserve">418. </w:t>
      </w:r>
    </w:p>
    <w:p w:rsidR="007D193C" w:rsidRPr="00242020" w:rsidRDefault="007D193C" w:rsidP="007D193C">
      <w:pPr>
        <w:jc w:val="both"/>
        <w:rPr>
          <w:rFonts w:eastAsia="Calibri" w:cs="Times New Roman"/>
          <w:szCs w:val="28"/>
        </w:rPr>
      </w:pPr>
      <w:r w:rsidRPr="00242020">
        <w:rPr>
          <w:rFonts w:eastAsia="Calibri" w:cs="Times New Roman"/>
          <w:szCs w:val="28"/>
        </w:rPr>
        <w:t xml:space="preserve">У 2016 році Фонд забезпечив надходження до державного бюджету у розмірі 2,6 </w:t>
      </w:r>
      <w:proofErr w:type="spellStart"/>
      <w:r w:rsidRPr="00242020">
        <w:rPr>
          <w:rFonts w:eastAsia="Calibri" w:cs="Times New Roman"/>
          <w:szCs w:val="28"/>
        </w:rPr>
        <w:t>млрд</w:t>
      </w:r>
      <w:proofErr w:type="spellEnd"/>
      <w:r w:rsidRPr="00242020">
        <w:rPr>
          <w:rFonts w:eastAsia="Calibri" w:cs="Times New Roman"/>
          <w:szCs w:val="28"/>
        </w:rPr>
        <w:t xml:space="preserve"> </w:t>
      </w:r>
      <w:proofErr w:type="spellStart"/>
      <w:r w:rsidRPr="00242020">
        <w:rPr>
          <w:rFonts w:eastAsia="Calibri" w:cs="Times New Roman"/>
          <w:szCs w:val="28"/>
        </w:rPr>
        <w:t>грн</w:t>
      </w:r>
      <w:proofErr w:type="spellEnd"/>
      <w:r w:rsidRPr="00242020">
        <w:rPr>
          <w:rFonts w:eastAsia="Calibri" w:cs="Times New Roman"/>
          <w:szCs w:val="28"/>
        </w:rPr>
        <w:t>, що є найвищим показником з 2014 року. Зокрема, надходження від дивідендів та частини чистого прибутку господарських товариств у 2016 році більше ніж у 3 рази перевищили показники 2014 та 2015</w:t>
      </w:r>
      <w:r w:rsidRPr="00242020">
        <w:rPr>
          <w:szCs w:val="28"/>
        </w:rPr>
        <w:t> </w:t>
      </w:r>
      <w:r w:rsidRPr="00242020">
        <w:rPr>
          <w:rFonts w:eastAsia="Calibri" w:cs="Times New Roman"/>
          <w:szCs w:val="28"/>
        </w:rPr>
        <w:t xml:space="preserve">років та є рекордними за останні 10 років. Крім того, при встановленому плановому завданні 615 </w:t>
      </w:r>
      <w:proofErr w:type="spellStart"/>
      <w:r w:rsidRPr="00242020">
        <w:rPr>
          <w:rFonts w:eastAsia="Calibri" w:cs="Times New Roman"/>
          <w:szCs w:val="28"/>
        </w:rPr>
        <w:t>млн</w:t>
      </w:r>
      <w:proofErr w:type="spellEnd"/>
      <w:r w:rsidRPr="00242020">
        <w:rPr>
          <w:rFonts w:eastAsia="Calibri" w:cs="Times New Roman"/>
          <w:szCs w:val="28"/>
        </w:rPr>
        <w:t xml:space="preserve"> </w:t>
      </w:r>
      <w:proofErr w:type="spellStart"/>
      <w:r w:rsidRPr="00242020">
        <w:rPr>
          <w:rFonts w:eastAsia="Calibri" w:cs="Times New Roman"/>
          <w:szCs w:val="28"/>
        </w:rPr>
        <w:t>грн</w:t>
      </w:r>
      <w:proofErr w:type="spellEnd"/>
      <w:r w:rsidRPr="00242020">
        <w:rPr>
          <w:rFonts w:eastAsia="Calibri" w:cs="Times New Roman"/>
          <w:szCs w:val="28"/>
        </w:rPr>
        <w:t xml:space="preserve"> від оренди державного майна до державного бюджету надійшло 1 028,558 </w:t>
      </w:r>
      <w:proofErr w:type="spellStart"/>
      <w:r w:rsidRPr="00242020">
        <w:rPr>
          <w:rFonts w:eastAsia="Calibri" w:cs="Times New Roman"/>
          <w:szCs w:val="28"/>
        </w:rPr>
        <w:t>млн</w:t>
      </w:r>
      <w:proofErr w:type="spellEnd"/>
      <w:r w:rsidRPr="00242020">
        <w:rPr>
          <w:rFonts w:eastAsia="Calibri" w:cs="Times New Roman"/>
          <w:szCs w:val="28"/>
        </w:rPr>
        <w:t xml:space="preserve"> </w:t>
      </w:r>
      <w:proofErr w:type="spellStart"/>
      <w:r w:rsidRPr="00242020">
        <w:rPr>
          <w:rFonts w:eastAsia="Calibri" w:cs="Times New Roman"/>
          <w:szCs w:val="28"/>
        </w:rPr>
        <w:t>грн</w:t>
      </w:r>
      <w:proofErr w:type="spellEnd"/>
      <w:r w:rsidRPr="00242020">
        <w:rPr>
          <w:rFonts w:eastAsia="Calibri" w:cs="Times New Roman"/>
          <w:szCs w:val="28"/>
        </w:rPr>
        <w:t xml:space="preserve">, що свідчить про виконання плану на 167,25 %. </w:t>
      </w:r>
    </w:p>
    <w:p w:rsidR="007D193C" w:rsidRPr="00242020" w:rsidRDefault="007D193C" w:rsidP="007D193C">
      <w:pPr>
        <w:jc w:val="both"/>
        <w:rPr>
          <w:rFonts w:eastAsia="Calibri" w:cs="Times New Roman"/>
          <w:szCs w:val="28"/>
        </w:rPr>
      </w:pPr>
      <w:r w:rsidRPr="00242020">
        <w:rPr>
          <w:rFonts w:eastAsia="Calibri" w:cs="Times New Roman"/>
          <w:szCs w:val="28"/>
        </w:rPr>
        <w:t>Незважаючи на несприятливу економічну ситуацію, яка склалася в країні, непривабливість більшості об’єктів приватизації та низький інтерес з боку потенційних інвесторів, фактичний саботаж і гальмування процесу передачі Фонду уповноваженими органами управління підприємств для приватизації, Фонд докладав зусиль для забезпечення надходжень до державного бюджету. Увага Фонду була зосереджена на таких важливих напрямах:</w:t>
      </w:r>
    </w:p>
    <w:p w:rsidR="007D193C" w:rsidRPr="00242020" w:rsidRDefault="007D193C" w:rsidP="007D193C">
      <w:pPr>
        <w:ind w:firstLine="851"/>
        <w:jc w:val="both"/>
        <w:rPr>
          <w:rFonts w:eastAsia="Calibri" w:cs="Times New Roman"/>
          <w:color w:val="000000"/>
          <w:szCs w:val="28"/>
        </w:rPr>
      </w:pPr>
      <w:r w:rsidRPr="00242020">
        <w:rPr>
          <w:rFonts w:eastAsia="Calibri" w:cs="Times New Roman"/>
          <w:szCs w:val="28"/>
        </w:rPr>
        <w:t xml:space="preserve">– підвищення інвестиційної привабливості </w:t>
      </w:r>
      <w:r w:rsidRPr="00242020">
        <w:rPr>
          <w:rFonts w:eastAsia="Calibri" w:cs="Times New Roman"/>
          <w:color w:val="000000"/>
          <w:szCs w:val="28"/>
        </w:rPr>
        <w:t>об’єктів приватизації;</w:t>
      </w:r>
    </w:p>
    <w:p w:rsidR="007D193C" w:rsidRPr="00242020" w:rsidRDefault="007D193C" w:rsidP="007D193C">
      <w:pPr>
        <w:ind w:firstLine="851"/>
        <w:jc w:val="both"/>
        <w:rPr>
          <w:rFonts w:eastAsia="Calibri" w:cs="Times New Roman"/>
          <w:color w:val="000000"/>
          <w:szCs w:val="28"/>
        </w:rPr>
      </w:pPr>
      <w:r w:rsidRPr="00242020">
        <w:rPr>
          <w:rFonts w:eastAsia="Calibri" w:cs="Times New Roman"/>
          <w:color w:val="000000"/>
          <w:szCs w:val="28"/>
        </w:rPr>
        <w:t>– запровадження прозорого процесу приватизації;</w:t>
      </w:r>
    </w:p>
    <w:p w:rsidR="007D193C" w:rsidRPr="00242020" w:rsidRDefault="007D193C" w:rsidP="007D193C">
      <w:pPr>
        <w:ind w:firstLine="851"/>
        <w:jc w:val="both"/>
        <w:rPr>
          <w:rFonts w:eastAsia="Calibri" w:cs="Times New Roman"/>
          <w:color w:val="000000"/>
          <w:szCs w:val="28"/>
        </w:rPr>
      </w:pPr>
      <w:r w:rsidRPr="00242020">
        <w:rPr>
          <w:rFonts w:eastAsia="Calibri" w:cs="Times New Roman"/>
          <w:color w:val="000000"/>
          <w:szCs w:val="28"/>
        </w:rPr>
        <w:t>– прискорення підготовки нових об’єктів до продажу;</w:t>
      </w:r>
    </w:p>
    <w:p w:rsidR="007D193C" w:rsidRPr="00242020" w:rsidRDefault="007D193C" w:rsidP="007D193C">
      <w:pPr>
        <w:ind w:firstLine="851"/>
        <w:jc w:val="both"/>
        <w:rPr>
          <w:rFonts w:eastAsia="Calibri" w:cs="Times New Roman"/>
          <w:color w:val="000000"/>
          <w:szCs w:val="28"/>
        </w:rPr>
      </w:pPr>
      <w:r w:rsidRPr="00242020">
        <w:rPr>
          <w:rFonts w:eastAsia="Calibri" w:cs="Times New Roman"/>
          <w:color w:val="000000"/>
          <w:szCs w:val="28"/>
        </w:rPr>
        <w:t>– запровадження нових способів приватизації неліквідних об’єктів.</w:t>
      </w:r>
    </w:p>
    <w:p w:rsidR="007D193C" w:rsidRPr="00242020" w:rsidRDefault="007D193C" w:rsidP="007D193C">
      <w:pPr>
        <w:jc w:val="both"/>
        <w:rPr>
          <w:rFonts w:eastAsia="Calibri" w:cs="Times New Roman"/>
          <w:color w:val="000000"/>
          <w:szCs w:val="28"/>
        </w:rPr>
      </w:pPr>
      <w:r w:rsidRPr="00242020">
        <w:rPr>
          <w:rFonts w:eastAsia="Calibri" w:cs="Times New Roman"/>
          <w:color w:val="000000"/>
          <w:szCs w:val="28"/>
        </w:rPr>
        <w:t xml:space="preserve">Одним з головних принципів приватизації у 2016 році була прозорість процесу приватизації. Фондом було запроваджено продаж об’єктів приватизації на електронних торгах, які проводилися за участю 16 електронних бірж-партнерів, а також продаж об’єктів в «один клік» на порталі </w:t>
      </w:r>
      <w:proofErr w:type="spellStart"/>
      <w:r w:rsidRPr="00242020">
        <w:rPr>
          <w:rFonts w:eastAsia="Calibri" w:cs="Times New Roman"/>
          <w:color w:val="000000"/>
          <w:szCs w:val="28"/>
        </w:rPr>
        <w:t>privatization.gov.ua</w:t>
      </w:r>
      <w:proofErr w:type="spellEnd"/>
      <w:r w:rsidRPr="00242020">
        <w:rPr>
          <w:rFonts w:eastAsia="Calibri" w:cs="Times New Roman"/>
          <w:color w:val="000000"/>
          <w:szCs w:val="28"/>
        </w:rPr>
        <w:t>, де одночасно може продаватися до 70 об’єктів.</w:t>
      </w:r>
    </w:p>
    <w:p w:rsidR="007D193C" w:rsidRPr="00242020" w:rsidRDefault="007D193C" w:rsidP="007D193C">
      <w:pPr>
        <w:jc w:val="both"/>
        <w:rPr>
          <w:rFonts w:eastAsia="Calibri" w:cs="Times New Roman"/>
          <w:color w:val="000000"/>
          <w:szCs w:val="28"/>
        </w:rPr>
      </w:pPr>
      <w:r w:rsidRPr="00242020">
        <w:rPr>
          <w:rFonts w:eastAsia="Calibri" w:cs="Times New Roman"/>
          <w:color w:val="000000"/>
          <w:szCs w:val="28"/>
        </w:rPr>
        <w:t xml:space="preserve">З метою підвищення зацікавленості з боку потенційних інвесторів було проведено рекламну кампанію об’єктів приватизації, в рамках якої, зокрема, розроблено та розіслано потенційним інвесторам викладені українською та англійською мовами </w:t>
      </w:r>
      <w:proofErr w:type="spellStart"/>
      <w:r w:rsidRPr="00242020">
        <w:rPr>
          <w:rFonts w:eastAsia="Calibri" w:cs="Times New Roman"/>
          <w:color w:val="000000"/>
          <w:szCs w:val="28"/>
        </w:rPr>
        <w:t>інфобуклети</w:t>
      </w:r>
      <w:proofErr w:type="spellEnd"/>
      <w:r w:rsidRPr="00242020">
        <w:rPr>
          <w:rFonts w:eastAsia="Calibri" w:cs="Times New Roman"/>
          <w:color w:val="000000"/>
          <w:szCs w:val="28"/>
        </w:rPr>
        <w:t xml:space="preserve"> з інформацією про підприємства, які пропонувалися до приватизації, об’єкти малої приватизації. Також проведено першу конференцію з питань приватизації, у якій взяло участь 100 учасників з 12 країн світу. З метою надання консультацій щодо об’єктів приватизації запущено спеціалізовану «гарячу лінію», яка є безкоштовною з будь-якого номера.</w:t>
      </w:r>
    </w:p>
    <w:p w:rsidR="007D193C" w:rsidRPr="00242020" w:rsidRDefault="007D193C" w:rsidP="007D193C">
      <w:pPr>
        <w:jc w:val="both"/>
        <w:rPr>
          <w:rFonts w:eastAsia="Calibri" w:cs="Times New Roman"/>
          <w:color w:val="000000"/>
          <w:szCs w:val="28"/>
        </w:rPr>
      </w:pPr>
      <w:r w:rsidRPr="00242020">
        <w:rPr>
          <w:rFonts w:eastAsia="Calibri" w:cs="Times New Roman"/>
          <w:color w:val="000000"/>
          <w:szCs w:val="28"/>
        </w:rPr>
        <w:t xml:space="preserve">Велика увага приділялася імплементації міжнародних стандартів у процес приватизації. У 2016 році було запроваджено можливість проведення попереднього аудиту об’єктів приватизації, звернення до міжнародного арбітражу для вирішення спорів, надання персонального консультанта кожному </w:t>
      </w:r>
      <w:r w:rsidRPr="00242020">
        <w:rPr>
          <w:rFonts w:eastAsia="Calibri" w:cs="Times New Roman"/>
          <w:color w:val="000000"/>
          <w:szCs w:val="28"/>
        </w:rPr>
        <w:lastRenderedPageBreak/>
        <w:t>потенційному інвестору, допуску до участі у приватизації державних компаній-нерезидентів, вибору між грошовим депозитом та банківською гарантією.</w:t>
      </w:r>
    </w:p>
    <w:p w:rsidR="007D193C" w:rsidRPr="00242020" w:rsidRDefault="007D193C" w:rsidP="007D193C">
      <w:pPr>
        <w:jc w:val="both"/>
        <w:rPr>
          <w:rFonts w:eastAsia="Calibri" w:cs="Times New Roman"/>
          <w:color w:val="000000"/>
          <w:szCs w:val="28"/>
        </w:rPr>
      </w:pPr>
      <w:r w:rsidRPr="00242020">
        <w:rPr>
          <w:rFonts w:eastAsia="Calibri" w:cs="Times New Roman"/>
          <w:color w:val="000000"/>
          <w:szCs w:val="28"/>
        </w:rPr>
        <w:t xml:space="preserve">Крім того, розроблено покрокову інструкцію для кожного потенційного інвестора, стан готовності об’єктів до приватизації висвітлювався он-лайн. Також введено заборону щодо участі у приватизації інвесторів з офшорних зон, країн з переліку </w:t>
      </w:r>
      <w:proofErr w:type="spellStart"/>
      <w:r w:rsidRPr="00242020">
        <w:rPr>
          <w:rFonts w:eastAsia="Calibri" w:cs="Times New Roman"/>
          <w:color w:val="000000"/>
          <w:szCs w:val="28"/>
        </w:rPr>
        <w:t>FATF</w:t>
      </w:r>
      <w:proofErr w:type="spellEnd"/>
      <w:r w:rsidRPr="00242020">
        <w:rPr>
          <w:rFonts w:eastAsia="Calibri" w:cs="Times New Roman"/>
          <w:color w:val="000000"/>
          <w:szCs w:val="28"/>
        </w:rPr>
        <w:t>, країн-агресорів.</w:t>
      </w:r>
    </w:p>
    <w:p w:rsidR="007D193C" w:rsidRPr="00242020" w:rsidRDefault="007D193C" w:rsidP="007D193C">
      <w:pPr>
        <w:jc w:val="both"/>
        <w:rPr>
          <w:rFonts w:eastAsia="Calibri" w:cs="Times New Roman"/>
          <w:szCs w:val="28"/>
        </w:rPr>
      </w:pPr>
      <w:r w:rsidRPr="00242020">
        <w:rPr>
          <w:rFonts w:eastAsia="Calibri" w:cs="Times New Roman"/>
          <w:color w:val="000000"/>
          <w:szCs w:val="28"/>
        </w:rPr>
        <w:t xml:space="preserve">З метою продажу неліквідних об’єктів, </w:t>
      </w:r>
      <w:r w:rsidRPr="00242020">
        <w:rPr>
          <w:rFonts w:eastAsia="Calibri" w:cs="Times New Roman"/>
          <w:szCs w:val="28"/>
        </w:rPr>
        <w:t>які тривалий час не продавалися на «класичних» аукціонах у зв’язку з відсутністю попиту,</w:t>
      </w:r>
      <w:r w:rsidRPr="00242020">
        <w:rPr>
          <w:rFonts w:eastAsia="Calibri" w:cs="Times New Roman"/>
          <w:color w:val="000000"/>
          <w:szCs w:val="28"/>
        </w:rPr>
        <w:t xml:space="preserve"> було запроваджено «голландські» аукціони. </w:t>
      </w:r>
      <w:r w:rsidRPr="00242020">
        <w:rPr>
          <w:rFonts w:eastAsia="Calibri" w:cs="Times New Roman"/>
          <w:szCs w:val="28"/>
        </w:rPr>
        <w:t xml:space="preserve">У 2016 році проведено близько 120 «голландських» аукціонів (для порівняння: у 2015 році було оголошено лише 26 таких аукціонів, що майже у 5 разів менше ніж у звітному періоді), на яких вдалося продати 19 об’єктів – у 5 разів більше ніж у 2015 році, коли  було продано лише 4 об’єкти. </w:t>
      </w:r>
    </w:p>
    <w:p w:rsidR="007D193C" w:rsidRPr="00242020" w:rsidRDefault="007D193C" w:rsidP="007D193C">
      <w:pPr>
        <w:jc w:val="both"/>
        <w:rPr>
          <w:rFonts w:eastAsia="Calibri" w:cs="Times New Roman"/>
          <w:szCs w:val="28"/>
        </w:rPr>
      </w:pPr>
      <w:r w:rsidRPr="00242020">
        <w:rPr>
          <w:rFonts w:eastAsia="Calibri" w:cs="Times New Roman"/>
          <w:szCs w:val="28"/>
        </w:rPr>
        <w:t>Поряд з цим у 2016 році досягнуто декілька рекордних показників. Зокрема, за рекордні суми продано дві ГЕС у Миколаївській області (</w:t>
      </w:r>
      <w:proofErr w:type="spellStart"/>
      <w:r w:rsidRPr="00242020">
        <w:rPr>
          <w:rFonts w:eastAsia="Calibri" w:cs="Times New Roman"/>
          <w:szCs w:val="28"/>
        </w:rPr>
        <w:t>Мигіївську</w:t>
      </w:r>
      <w:proofErr w:type="spellEnd"/>
      <w:r w:rsidRPr="00242020">
        <w:rPr>
          <w:rFonts w:eastAsia="Calibri" w:cs="Times New Roman"/>
          <w:szCs w:val="28"/>
        </w:rPr>
        <w:t xml:space="preserve"> ГЕС – за 52 </w:t>
      </w:r>
      <w:proofErr w:type="spellStart"/>
      <w:r w:rsidRPr="00242020">
        <w:rPr>
          <w:rFonts w:eastAsia="Calibri" w:cs="Times New Roman"/>
          <w:szCs w:val="28"/>
        </w:rPr>
        <w:t>млн</w:t>
      </w:r>
      <w:proofErr w:type="spellEnd"/>
      <w:r w:rsidRPr="00242020">
        <w:rPr>
          <w:rFonts w:eastAsia="Calibri" w:cs="Times New Roman"/>
          <w:szCs w:val="28"/>
        </w:rPr>
        <w:t xml:space="preserve"> </w:t>
      </w:r>
      <w:proofErr w:type="spellStart"/>
      <w:r w:rsidRPr="00242020">
        <w:rPr>
          <w:rFonts w:eastAsia="Calibri" w:cs="Times New Roman"/>
          <w:szCs w:val="28"/>
        </w:rPr>
        <w:t>грн</w:t>
      </w:r>
      <w:proofErr w:type="spellEnd"/>
      <w:r w:rsidRPr="00242020">
        <w:rPr>
          <w:rFonts w:eastAsia="Calibri" w:cs="Times New Roman"/>
          <w:szCs w:val="28"/>
        </w:rPr>
        <w:t xml:space="preserve">, Костянтинівську ГЕС – за 64 </w:t>
      </w:r>
      <w:proofErr w:type="spellStart"/>
      <w:r w:rsidRPr="00242020">
        <w:rPr>
          <w:rFonts w:eastAsia="Calibri" w:cs="Times New Roman"/>
          <w:szCs w:val="28"/>
        </w:rPr>
        <w:t>млн</w:t>
      </w:r>
      <w:proofErr w:type="spellEnd"/>
      <w:r w:rsidRPr="00242020">
        <w:rPr>
          <w:rFonts w:eastAsia="Calibri" w:cs="Times New Roman"/>
          <w:szCs w:val="28"/>
        </w:rPr>
        <w:t xml:space="preserve"> </w:t>
      </w:r>
      <w:proofErr w:type="spellStart"/>
      <w:r w:rsidRPr="00242020">
        <w:rPr>
          <w:rFonts w:eastAsia="Calibri" w:cs="Times New Roman"/>
          <w:szCs w:val="28"/>
        </w:rPr>
        <w:t>грн</w:t>
      </w:r>
      <w:proofErr w:type="spellEnd"/>
      <w:r w:rsidRPr="00242020">
        <w:rPr>
          <w:rFonts w:eastAsia="Calibri" w:cs="Times New Roman"/>
          <w:szCs w:val="28"/>
        </w:rPr>
        <w:t>). Уперше за 25 років в аукціоні взяло участь 16 учасників, у тому числі іноземні компанії. Під час аукціону ціна порівняно зі стартовою, оголошеною Фондом, зросла приблизно в 5 разів.</w:t>
      </w:r>
    </w:p>
    <w:p w:rsidR="007D193C" w:rsidRPr="00242020" w:rsidRDefault="007D193C" w:rsidP="007D193C">
      <w:pPr>
        <w:jc w:val="both"/>
        <w:rPr>
          <w:rFonts w:eastAsia="Calibri" w:cs="Times New Roman"/>
          <w:szCs w:val="28"/>
        </w:rPr>
      </w:pPr>
      <w:r w:rsidRPr="00242020">
        <w:rPr>
          <w:rFonts w:eastAsia="Calibri" w:cs="Times New Roman"/>
          <w:szCs w:val="28"/>
        </w:rPr>
        <w:t>Крім того, уперше в історії Фонду проведено аукціон без оголошення ціни (стартові ціни пропонувалися потенційними покупцями) з продажу пакета акцій ПАТ «</w:t>
      </w:r>
      <w:proofErr w:type="spellStart"/>
      <w:r w:rsidRPr="00242020">
        <w:rPr>
          <w:rFonts w:eastAsia="Calibri" w:cs="Times New Roman"/>
          <w:szCs w:val="28"/>
        </w:rPr>
        <w:t>Славутський</w:t>
      </w:r>
      <w:proofErr w:type="spellEnd"/>
      <w:r w:rsidRPr="00242020">
        <w:rPr>
          <w:rFonts w:eastAsia="Calibri" w:cs="Times New Roman"/>
          <w:szCs w:val="28"/>
        </w:rPr>
        <w:t xml:space="preserve"> завод залізобетонних виробів». Ціна об’єкта зросла майже у 10 разів порівняно зі стартовою ціною.</w:t>
      </w:r>
    </w:p>
    <w:p w:rsidR="007D193C" w:rsidRPr="00242020" w:rsidRDefault="007D193C" w:rsidP="007D193C">
      <w:pPr>
        <w:jc w:val="both"/>
        <w:rPr>
          <w:rFonts w:eastAsia="Calibri" w:cs="Times New Roman"/>
          <w:szCs w:val="28"/>
        </w:rPr>
      </w:pPr>
      <w:r w:rsidRPr="00242020">
        <w:rPr>
          <w:rFonts w:eastAsia="Calibri" w:cs="Times New Roman"/>
          <w:szCs w:val="28"/>
        </w:rPr>
        <w:t xml:space="preserve">Загалом у 2016 році оголошено понад 1000 аукціонів, що є рекордною кількістю з 2000 року, приватизовано 17 пакетів акцій та 135 об’єктів малої приватизації, що є найвищим показником з 2014 року (для порівняння: у 2015 році було оголошено 403 аукціони, приватизовано 12 пакетів акцій та 109 об’єктів малої приватизації). </w:t>
      </w:r>
    </w:p>
    <w:p w:rsidR="007D193C" w:rsidRPr="00242020" w:rsidRDefault="007D193C" w:rsidP="007D193C">
      <w:pPr>
        <w:ind w:firstLine="720"/>
        <w:jc w:val="both"/>
        <w:rPr>
          <w:rFonts w:eastAsia="Calibri" w:cs="Times New Roman"/>
          <w:szCs w:val="28"/>
        </w:rPr>
      </w:pPr>
      <w:r w:rsidRPr="00242020">
        <w:rPr>
          <w:rFonts w:eastAsia="Calibri" w:cs="Times New Roman"/>
          <w:szCs w:val="28"/>
        </w:rPr>
        <w:t>Багато об’єктів продається лише з п’ятого, а іноді й з десятого разу, що свідчить про зношений стан і занедбаність об’єктів (95 % всіх об’єктів приватизації введено в експлуатацію 50-150 років тому).</w:t>
      </w:r>
    </w:p>
    <w:p w:rsidR="007D193C" w:rsidRPr="00242020" w:rsidRDefault="007D193C" w:rsidP="007D193C">
      <w:pPr>
        <w:ind w:firstLine="720"/>
        <w:jc w:val="both"/>
        <w:rPr>
          <w:rFonts w:eastAsia="Calibri" w:cs="Times New Roman"/>
          <w:szCs w:val="28"/>
        </w:rPr>
      </w:pPr>
    </w:p>
    <w:p w:rsidR="007D193C" w:rsidRPr="00242020" w:rsidRDefault="007D193C" w:rsidP="007D193C">
      <w:pPr>
        <w:ind w:firstLine="720"/>
        <w:jc w:val="both"/>
        <w:rPr>
          <w:rFonts w:eastAsia="Calibri" w:cs="Times New Roman"/>
          <w:szCs w:val="28"/>
        </w:rPr>
      </w:pPr>
    </w:p>
    <w:p w:rsidR="001E5CAD" w:rsidRPr="00242020" w:rsidRDefault="001E5CAD" w:rsidP="001E5CAD">
      <w:pPr>
        <w:rPr>
          <w:szCs w:val="28"/>
        </w:rPr>
      </w:pPr>
    </w:p>
    <w:p w:rsidR="001E5CAD" w:rsidRPr="00242020" w:rsidRDefault="001E5CAD" w:rsidP="001E5CAD"/>
    <w:p w:rsidR="00D226C3" w:rsidRPr="00242020" w:rsidRDefault="00D226C3"/>
    <w:p w:rsidR="001E5CAD" w:rsidRPr="00242020" w:rsidRDefault="001E5CAD">
      <w:pPr>
        <w:sectPr w:rsidR="001E5CAD" w:rsidRPr="00242020" w:rsidSect="00B93382">
          <w:footerReference w:type="first" r:id="rId16"/>
          <w:pgSz w:w="11906" w:h="16838"/>
          <w:pgMar w:top="1134" w:right="851" w:bottom="1134" w:left="1418" w:header="709" w:footer="706" w:gutter="0"/>
          <w:cols w:space="708"/>
          <w:titlePg/>
          <w:docGrid w:linePitch="381"/>
        </w:sectPr>
      </w:pPr>
    </w:p>
    <w:p w:rsidR="001E5CAD" w:rsidRPr="00242020" w:rsidRDefault="001E5CAD" w:rsidP="001E5CAD">
      <w:pPr>
        <w:pStyle w:val="1"/>
      </w:pPr>
      <w:r w:rsidRPr="00242020">
        <w:lastRenderedPageBreak/>
        <w:t xml:space="preserve">1. Стислий огляд узагальнених результатів роботи Фонду у сфері приватизації державного майна та управління державною власністю за всі роки приватизації та за звітний період </w:t>
      </w:r>
    </w:p>
    <w:p w:rsidR="0088199A" w:rsidRPr="00242020" w:rsidRDefault="0088199A" w:rsidP="001E5CAD">
      <w:pPr>
        <w:spacing w:line="225" w:lineRule="auto"/>
        <w:jc w:val="both"/>
        <w:rPr>
          <w:sz w:val="16"/>
          <w:szCs w:val="16"/>
          <w:highlight w:val="magenta"/>
        </w:rPr>
      </w:pPr>
    </w:p>
    <w:p w:rsidR="007D193C" w:rsidRPr="00242020" w:rsidRDefault="007D193C" w:rsidP="007D193C">
      <w:pPr>
        <w:jc w:val="both"/>
        <w:rPr>
          <w:rFonts w:eastAsia="Calibri" w:cs="Times New Roman"/>
        </w:rPr>
      </w:pPr>
      <w:r w:rsidRPr="00242020">
        <w:rPr>
          <w:rFonts w:eastAsia="Calibri" w:cs="Times New Roman"/>
        </w:rPr>
        <w:t>За роки приватизації</w:t>
      </w:r>
      <w:r w:rsidRPr="00242020">
        <w:rPr>
          <w:rFonts w:eastAsia="Calibri" w:cs="Times New Roman"/>
          <w:bCs/>
        </w:rPr>
        <w:t xml:space="preserve"> (</w:t>
      </w:r>
      <w:r w:rsidRPr="00242020">
        <w:rPr>
          <w:rFonts w:eastAsia="Calibri" w:cs="Times New Roman"/>
        </w:rPr>
        <w:t>з</w:t>
      </w:r>
      <w:r w:rsidRPr="00242020">
        <w:rPr>
          <w:rFonts w:eastAsia="Calibri" w:cs="Times New Roman"/>
          <w:bCs/>
        </w:rPr>
        <w:t xml:space="preserve"> </w:t>
      </w:r>
      <w:r w:rsidRPr="00242020">
        <w:rPr>
          <w:rFonts w:eastAsia="Calibri" w:cs="Times New Roman"/>
        </w:rPr>
        <w:t xml:space="preserve">1992 р. по 2016 р.) </w:t>
      </w:r>
      <w:proofErr w:type="spellStart"/>
      <w:r w:rsidRPr="00242020">
        <w:rPr>
          <w:rFonts w:eastAsia="Calibri" w:cs="Times New Roman"/>
        </w:rPr>
        <w:t>роздержавлено</w:t>
      </w:r>
      <w:proofErr w:type="spellEnd"/>
      <w:r w:rsidRPr="00242020">
        <w:rPr>
          <w:rFonts w:eastAsia="Calibri" w:cs="Times New Roman"/>
        </w:rPr>
        <w:t xml:space="preserve"> більше </w:t>
      </w:r>
      <w:r w:rsidRPr="00242020">
        <w:rPr>
          <w:rFonts w:eastAsia="Calibri" w:cs="Times New Roman"/>
          <w:b/>
        </w:rPr>
        <w:t xml:space="preserve">130 тисяч </w:t>
      </w:r>
      <w:r w:rsidRPr="00242020">
        <w:rPr>
          <w:rFonts w:eastAsia="Calibri" w:cs="Times New Roman"/>
        </w:rPr>
        <w:t>об’єктів.</w:t>
      </w:r>
      <w:r w:rsidR="00B1085F" w:rsidRPr="00B1085F">
        <w:rPr>
          <w:rStyle w:val="afa"/>
          <w:rFonts w:eastAsia="Calibri" w:cs="Times New Roman"/>
        </w:rPr>
        <w:footnoteReference w:customMarkFollows="1" w:id="1"/>
        <w:sym w:font="Symbol" w:char="F02A"/>
      </w:r>
      <w:r w:rsidRPr="00242020">
        <w:rPr>
          <w:rFonts w:eastAsia="Calibri" w:cs="Times New Roman"/>
        </w:rPr>
        <w:t xml:space="preserve"> Починаючи з 1992 р., в Україні приватизовано</w:t>
      </w:r>
      <w:r w:rsidRPr="00242020">
        <w:rPr>
          <w:rFonts w:eastAsia="Calibri" w:cs="Times New Roman"/>
          <w:bCs/>
        </w:rPr>
        <w:t xml:space="preserve"> </w:t>
      </w:r>
      <w:r w:rsidRPr="00242020">
        <w:rPr>
          <w:rFonts w:eastAsia="Calibri" w:cs="Times New Roman"/>
          <w:b/>
        </w:rPr>
        <w:t>29 46</w:t>
      </w:r>
      <w:r w:rsidR="00F97348">
        <w:rPr>
          <w:rFonts w:eastAsia="Calibri" w:cs="Times New Roman"/>
          <w:b/>
        </w:rPr>
        <w:t>5</w:t>
      </w:r>
      <w:r w:rsidRPr="00242020">
        <w:rPr>
          <w:rFonts w:eastAsia="Calibri" w:cs="Times New Roman"/>
          <w:bCs/>
        </w:rPr>
        <w:t xml:space="preserve"> </w:t>
      </w:r>
      <w:r w:rsidRPr="00242020">
        <w:rPr>
          <w:rFonts w:eastAsia="Calibri" w:cs="Times New Roman"/>
        </w:rPr>
        <w:t xml:space="preserve">об’єкти </w:t>
      </w:r>
      <w:r w:rsidRPr="00242020">
        <w:rPr>
          <w:rFonts w:eastAsia="Calibri" w:cs="Times New Roman"/>
          <w:b/>
          <w:bCs/>
        </w:rPr>
        <w:t xml:space="preserve">державної </w:t>
      </w:r>
      <w:r w:rsidRPr="00242020">
        <w:rPr>
          <w:rFonts w:eastAsia="Calibri" w:cs="Times New Roman"/>
        </w:rPr>
        <w:t>форми власності з урахуванням 608 об’єктів, розташованих у Автономній Республіці Крим (далі – АР Крим) (</w:t>
      </w:r>
      <w:r w:rsidRPr="00242020">
        <w:rPr>
          <w:rFonts w:eastAsia="Calibri" w:cs="Times New Roman"/>
          <w:b/>
        </w:rPr>
        <w:t>додаток 1</w:t>
      </w:r>
      <w:r w:rsidRPr="00242020">
        <w:rPr>
          <w:rFonts w:eastAsia="Calibri" w:cs="Times New Roman"/>
        </w:rPr>
        <w:t>), та</w:t>
      </w:r>
      <w:r w:rsidRPr="00242020">
        <w:rPr>
          <w:rFonts w:eastAsia="Calibri" w:cs="Times New Roman"/>
          <w:bCs/>
        </w:rPr>
        <w:t xml:space="preserve"> </w:t>
      </w:r>
      <w:r w:rsidRPr="00242020">
        <w:rPr>
          <w:rFonts w:eastAsia="Calibri" w:cs="Times New Roman"/>
          <w:b/>
          <w:bCs/>
        </w:rPr>
        <w:t>102 584</w:t>
      </w:r>
      <w:r w:rsidRPr="00242020">
        <w:rPr>
          <w:rFonts w:eastAsia="Calibri" w:cs="Times New Roman"/>
          <w:bCs/>
        </w:rPr>
        <w:t xml:space="preserve"> </w:t>
      </w:r>
      <w:r w:rsidRPr="00242020">
        <w:rPr>
          <w:rFonts w:eastAsia="Calibri" w:cs="Times New Roman"/>
        </w:rPr>
        <w:t xml:space="preserve">об’єкти </w:t>
      </w:r>
      <w:r w:rsidRPr="00242020">
        <w:rPr>
          <w:rFonts w:eastAsia="Calibri" w:cs="Times New Roman"/>
          <w:b/>
          <w:bCs/>
        </w:rPr>
        <w:t xml:space="preserve">комунальної </w:t>
      </w:r>
      <w:r w:rsidRPr="00242020">
        <w:rPr>
          <w:rFonts w:eastAsia="Calibri" w:cs="Times New Roman"/>
        </w:rPr>
        <w:t>власності з урахуванням 7 169 об’єктів, розташованих у АР Крим (</w:t>
      </w:r>
      <w:r w:rsidRPr="00242020">
        <w:rPr>
          <w:rFonts w:eastAsia="Calibri" w:cs="Times New Roman"/>
          <w:b/>
        </w:rPr>
        <w:t>додаток 2</w:t>
      </w:r>
      <w:r w:rsidRPr="00242020">
        <w:rPr>
          <w:rFonts w:eastAsia="Calibri" w:cs="Times New Roman"/>
        </w:rPr>
        <w:t>).</w:t>
      </w:r>
    </w:p>
    <w:p w:rsidR="007D193C" w:rsidRPr="00242020" w:rsidRDefault="007D193C" w:rsidP="007D193C">
      <w:pPr>
        <w:jc w:val="both"/>
        <w:rPr>
          <w:rFonts w:eastAsia="Calibri" w:cs="Times New Roman"/>
        </w:rPr>
      </w:pPr>
      <w:r w:rsidRPr="00242020">
        <w:rPr>
          <w:rFonts w:eastAsia="Calibri" w:cs="Times New Roman"/>
        </w:rPr>
        <w:t xml:space="preserve">За всі роки приватизації змінено форму власності більше </w:t>
      </w:r>
      <w:r w:rsidRPr="00242020">
        <w:rPr>
          <w:rFonts w:eastAsia="Calibri" w:cs="Times New Roman"/>
          <w:b/>
        </w:rPr>
        <w:t>113 тисяч</w:t>
      </w:r>
      <w:r w:rsidRPr="00242020">
        <w:rPr>
          <w:rFonts w:eastAsia="Calibri" w:cs="Times New Roman"/>
        </w:rPr>
        <w:t xml:space="preserve"> об’єктів</w:t>
      </w:r>
      <w:r w:rsidRPr="00242020">
        <w:rPr>
          <w:rFonts w:eastAsia="Calibri" w:cs="Times New Roman"/>
          <w:b/>
        </w:rPr>
        <w:t xml:space="preserve"> груп А та Ж, </w:t>
      </w:r>
      <w:r w:rsidRPr="00242020">
        <w:rPr>
          <w:rFonts w:eastAsia="Calibri" w:cs="Times New Roman"/>
        </w:rPr>
        <w:t xml:space="preserve">більше </w:t>
      </w:r>
      <w:r w:rsidRPr="00242020">
        <w:rPr>
          <w:rFonts w:eastAsia="Calibri" w:cs="Times New Roman"/>
          <w:b/>
        </w:rPr>
        <w:t>5 тисяч</w:t>
      </w:r>
      <w:r w:rsidRPr="00242020">
        <w:rPr>
          <w:rFonts w:eastAsia="Calibri" w:cs="Times New Roman"/>
        </w:rPr>
        <w:t xml:space="preserve"> об’єктів незавершеного будівництва</w:t>
      </w:r>
      <w:r w:rsidRPr="00242020">
        <w:t xml:space="preserve"> </w:t>
      </w:r>
      <w:r w:rsidRPr="00242020">
        <w:rPr>
          <w:rFonts w:eastAsia="Calibri" w:cs="Times New Roman"/>
        </w:rPr>
        <w:t>(</w:t>
      </w:r>
      <w:r w:rsidRPr="00242020">
        <w:rPr>
          <w:rFonts w:eastAsia="Calibri" w:cs="Times New Roman"/>
          <w:b/>
        </w:rPr>
        <w:t>група Д</w:t>
      </w:r>
      <w:r w:rsidRPr="00242020">
        <w:rPr>
          <w:rFonts w:eastAsia="Calibri" w:cs="Times New Roman"/>
        </w:rPr>
        <w:t xml:space="preserve">) </w:t>
      </w:r>
      <w:r w:rsidRPr="00242020">
        <w:rPr>
          <w:rFonts w:eastAsia="Calibri" w:cs="Times New Roman"/>
          <w:b/>
        </w:rPr>
        <w:t>(додатки 3, 4)</w:t>
      </w:r>
      <w:r w:rsidRPr="00242020">
        <w:rPr>
          <w:rFonts w:eastAsia="Calibri" w:cs="Times New Roman"/>
        </w:rPr>
        <w:t xml:space="preserve">. </w:t>
      </w:r>
    </w:p>
    <w:p w:rsidR="007D193C" w:rsidRPr="00242020" w:rsidRDefault="007D193C" w:rsidP="007D193C">
      <w:pPr>
        <w:jc w:val="both"/>
        <w:rPr>
          <w:rFonts w:eastAsia="Calibri" w:cs="Times New Roman"/>
        </w:rPr>
      </w:pPr>
      <w:r w:rsidRPr="00242020">
        <w:rPr>
          <w:rFonts w:eastAsia="Calibri" w:cs="Times New Roman"/>
        </w:rPr>
        <w:t xml:space="preserve">У результаті здійснення приватизації державного майна створено вагомий недержавний сектор економіки, який включає понад </w:t>
      </w:r>
      <w:r w:rsidRPr="00242020">
        <w:rPr>
          <w:rFonts w:eastAsia="Calibri" w:cs="Times New Roman"/>
          <w:b/>
        </w:rPr>
        <w:t>11 тисяч</w:t>
      </w:r>
      <w:r w:rsidRPr="00242020">
        <w:rPr>
          <w:rFonts w:eastAsia="Calibri" w:cs="Times New Roman"/>
        </w:rPr>
        <w:t xml:space="preserve"> </w:t>
      </w:r>
      <w:r w:rsidRPr="00242020">
        <w:rPr>
          <w:rFonts w:eastAsia="Calibri" w:cs="Times New Roman"/>
          <w:b/>
        </w:rPr>
        <w:t>акціонерних товариств</w:t>
      </w:r>
      <w:r w:rsidRPr="00242020">
        <w:rPr>
          <w:rFonts w:eastAsia="Calibri" w:cs="Times New Roman"/>
        </w:rPr>
        <w:t xml:space="preserve"> (далі – АТ) (</w:t>
      </w:r>
      <w:r w:rsidRPr="00242020">
        <w:rPr>
          <w:rFonts w:eastAsia="Calibri" w:cs="Times New Roman"/>
          <w:b/>
        </w:rPr>
        <w:t>додаток 5</w:t>
      </w:r>
      <w:r w:rsidRPr="00242020">
        <w:rPr>
          <w:rFonts w:eastAsia="Calibri" w:cs="Times New Roman"/>
        </w:rPr>
        <w:t>).</w:t>
      </w:r>
    </w:p>
    <w:p w:rsidR="007D193C" w:rsidRPr="00242020" w:rsidRDefault="007D193C" w:rsidP="007D193C">
      <w:pPr>
        <w:jc w:val="both"/>
        <w:rPr>
          <w:rFonts w:eastAsia="Calibri" w:cs="Times New Roman"/>
          <w:sz w:val="16"/>
        </w:rPr>
      </w:pPr>
      <w:r w:rsidRPr="00242020">
        <w:rPr>
          <w:rFonts w:eastAsia="Calibri" w:cs="Times New Roman"/>
        </w:rPr>
        <w:t xml:space="preserve">За всі роки </w:t>
      </w:r>
      <w:r w:rsidRPr="00242020">
        <w:rPr>
          <w:rFonts w:eastAsia="Calibri" w:cs="Times New Roman"/>
          <w:b/>
        </w:rPr>
        <w:t>від</w:t>
      </w:r>
      <w:r w:rsidRPr="00242020">
        <w:rPr>
          <w:rFonts w:eastAsia="Calibri" w:cs="Times New Roman"/>
        </w:rPr>
        <w:t xml:space="preserve"> </w:t>
      </w:r>
      <w:r w:rsidRPr="00242020">
        <w:rPr>
          <w:rFonts w:eastAsia="Calibri" w:cs="Times New Roman"/>
          <w:b/>
        </w:rPr>
        <w:t>приватизації державного майна</w:t>
      </w:r>
      <w:r w:rsidRPr="00242020">
        <w:rPr>
          <w:rFonts w:eastAsia="Calibri" w:cs="Times New Roman"/>
        </w:rPr>
        <w:t xml:space="preserve"> надійшло більше </w:t>
      </w:r>
      <w:r w:rsidRPr="00242020">
        <w:rPr>
          <w:rFonts w:eastAsia="Calibri" w:cs="Times New Roman"/>
          <w:b/>
        </w:rPr>
        <w:t>64</w:t>
      </w:r>
      <w:r w:rsidRPr="00242020">
        <w:rPr>
          <w:rFonts w:eastAsia="Calibri" w:cs="Times New Roman"/>
          <w:b/>
          <w:bCs/>
        </w:rPr>
        <w:t> </w:t>
      </w:r>
      <w:proofErr w:type="spellStart"/>
      <w:r w:rsidRPr="00242020">
        <w:rPr>
          <w:rFonts w:eastAsia="Calibri" w:cs="Times New Roman"/>
          <w:b/>
          <w:bCs/>
        </w:rPr>
        <w:t>млрд</w:t>
      </w:r>
      <w:proofErr w:type="spellEnd"/>
      <w:r w:rsidRPr="00242020">
        <w:rPr>
          <w:rFonts w:eastAsia="Calibri" w:cs="Times New Roman"/>
          <w:b/>
          <w:bCs/>
        </w:rPr>
        <w:t xml:space="preserve"> </w:t>
      </w:r>
      <w:proofErr w:type="spellStart"/>
      <w:r w:rsidRPr="00242020">
        <w:rPr>
          <w:rFonts w:eastAsia="Calibri" w:cs="Times New Roman"/>
          <w:b/>
          <w:bCs/>
        </w:rPr>
        <w:t>грн</w:t>
      </w:r>
      <w:proofErr w:type="spellEnd"/>
      <w:r w:rsidRPr="00242020">
        <w:rPr>
          <w:rFonts w:eastAsia="Calibri" w:cs="Times New Roman"/>
          <w:b/>
          <w:bCs/>
        </w:rPr>
        <w:t xml:space="preserve"> </w:t>
      </w:r>
      <w:r w:rsidRPr="00242020">
        <w:rPr>
          <w:rFonts w:eastAsia="Calibri" w:cs="Times New Roman"/>
        </w:rPr>
        <w:t>(</w:t>
      </w:r>
      <w:r w:rsidRPr="00242020">
        <w:rPr>
          <w:rFonts w:eastAsia="Calibri" w:cs="Times New Roman"/>
          <w:b/>
        </w:rPr>
        <w:t>додаток</w:t>
      </w:r>
      <w:r w:rsidRPr="00242020">
        <w:rPr>
          <w:rFonts w:eastAsia="Calibri" w:cs="Times New Roman"/>
        </w:rPr>
        <w:t> </w:t>
      </w:r>
      <w:r w:rsidRPr="00242020">
        <w:rPr>
          <w:rFonts w:eastAsia="Calibri" w:cs="Times New Roman"/>
          <w:b/>
          <w:bCs/>
        </w:rPr>
        <w:t>6</w:t>
      </w:r>
      <w:r w:rsidRPr="00242020">
        <w:rPr>
          <w:rFonts w:eastAsia="Calibri" w:cs="Times New Roman"/>
        </w:rPr>
        <w:t xml:space="preserve">), </w:t>
      </w:r>
      <w:r w:rsidRPr="00242020">
        <w:rPr>
          <w:rFonts w:eastAsia="Calibri" w:cs="Times New Roman"/>
          <w:bCs/>
        </w:rPr>
        <w:t xml:space="preserve">майже </w:t>
      </w:r>
      <w:r w:rsidRPr="00242020">
        <w:rPr>
          <w:rFonts w:eastAsia="Calibri" w:cs="Times New Roman"/>
          <w:b/>
          <w:bCs/>
        </w:rPr>
        <w:t xml:space="preserve">10 </w:t>
      </w:r>
      <w:proofErr w:type="spellStart"/>
      <w:r w:rsidRPr="00242020">
        <w:rPr>
          <w:rFonts w:eastAsia="Calibri" w:cs="Times New Roman"/>
          <w:b/>
          <w:bCs/>
        </w:rPr>
        <w:t>млрд</w:t>
      </w:r>
      <w:proofErr w:type="spellEnd"/>
      <w:r w:rsidRPr="00242020">
        <w:rPr>
          <w:rFonts w:eastAsia="Calibri" w:cs="Times New Roman"/>
          <w:b/>
          <w:bCs/>
        </w:rPr>
        <w:t xml:space="preserve"> </w:t>
      </w:r>
      <w:proofErr w:type="spellStart"/>
      <w:r w:rsidRPr="00242020">
        <w:rPr>
          <w:rFonts w:eastAsia="Calibri" w:cs="Times New Roman"/>
          <w:b/>
          <w:bCs/>
        </w:rPr>
        <w:t>грн</w:t>
      </w:r>
      <w:proofErr w:type="spellEnd"/>
      <w:r w:rsidRPr="00242020">
        <w:rPr>
          <w:rFonts w:eastAsia="Calibri" w:cs="Times New Roman"/>
          <w:b/>
          <w:bCs/>
        </w:rPr>
        <w:t xml:space="preserve"> плати за оренду</w:t>
      </w:r>
      <w:r w:rsidRPr="00242020">
        <w:rPr>
          <w:rFonts w:eastAsia="Calibri" w:cs="Times New Roman"/>
        </w:rPr>
        <w:t xml:space="preserve"> державного майна, понад </w:t>
      </w:r>
      <w:smartTag w:uri="urn:schemas-microsoft-com:office:smarttags" w:element="metricconverter">
        <w:smartTagPr>
          <w:attr w:name="ProductID" w:val="7 м"/>
        </w:smartTagPr>
        <w:r w:rsidRPr="00242020">
          <w:rPr>
            <w:rFonts w:eastAsia="Calibri" w:cs="Times New Roman"/>
            <w:b/>
            <w:bCs/>
          </w:rPr>
          <w:t>7 </w:t>
        </w:r>
        <w:proofErr w:type="spellStart"/>
        <w:r w:rsidRPr="00242020">
          <w:rPr>
            <w:rFonts w:eastAsia="Calibri" w:cs="Times New Roman"/>
            <w:b/>
            <w:bCs/>
          </w:rPr>
          <w:t>м</w:t>
        </w:r>
      </w:smartTag>
      <w:r w:rsidRPr="00242020">
        <w:rPr>
          <w:rFonts w:eastAsia="Calibri" w:cs="Times New Roman"/>
          <w:b/>
          <w:bCs/>
        </w:rPr>
        <w:t>лрд</w:t>
      </w:r>
      <w:proofErr w:type="spellEnd"/>
      <w:r w:rsidRPr="00242020">
        <w:rPr>
          <w:rFonts w:eastAsia="Calibri" w:cs="Times New Roman"/>
          <w:b/>
          <w:bCs/>
        </w:rPr>
        <w:t xml:space="preserve"> </w:t>
      </w:r>
      <w:proofErr w:type="spellStart"/>
      <w:r w:rsidRPr="00242020">
        <w:rPr>
          <w:rFonts w:eastAsia="Calibri" w:cs="Times New Roman"/>
          <w:b/>
          <w:bCs/>
        </w:rPr>
        <w:t>грн</w:t>
      </w:r>
      <w:proofErr w:type="spellEnd"/>
      <w:r w:rsidRPr="00242020">
        <w:rPr>
          <w:rFonts w:eastAsia="Calibri" w:cs="Times New Roman"/>
          <w:b/>
          <w:bCs/>
        </w:rPr>
        <w:t xml:space="preserve"> дивідендів</w:t>
      </w:r>
      <w:r w:rsidRPr="00242020">
        <w:rPr>
          <w:rFonts w:eastAsia="Calibri" w:cs="Times New Roman"/>
        </w:rPr>
        <w:t xml:space="preserve">, нарахованих на державні акції (паї). </w:t>
      </w:r>
    </w:p>
    <w:p w:rsidR="007D193C" w:rsidRPr="00242020" w:rsidRDefault="007D193C" w:rsidP="007D193C">
      <w:pPr>
        <w:jc w:val="both"/>
        <w:rPr>
          <w:rFonts w:eastAsia="Calibri" w:cs="Times New Roman"/>
          <w:b/>
          <w:bCs/>
          <w:szCs w:val="28"/>
        </w:rPr>
      </w:pPr>
      <w:r w:rsidRPr="00242020">
        <w:rPr>
          <w:rFonts w:eastAsia="Calibri" w:cs="Times New Roman"/>
          <w:b/>
        </w:rPr>
        <w:t>Протягом 2016 року</w:t>
      </w:r>
      <w:r w:rsidRPr="00242020">
        <w:rPr>
          <w:rFonts w:eastAsia="Calibri" w:cs="Times New Roman"/>
        </w:rPr>
        <w:t xml:space="preserve"> </w:t>
      </w:r>
      <w:r w:rsidRPr="00242020">
        <w:rPr>
          <w:rFonts w:eastAsia="Calibri" w:cs="Times New Roman"/>
          <w:b/>
        </w:rPr>
        <w:t xml:space="preserve">державну форму </w:t>
      </w:r>
      <w:r w:rsidRPr="00242020">
        <w:rPr>
          <w:rFonts w:eastAsia="Calibri" w:cs="Times New Roman"/>
        </w:rPr>
        <w:t xml:space="preserve">власності змінили </w:t>
      </w:r>
      <w:r w:rsidRPr="00242020">
        <w:rPr>
          <w:rFonts w:eastAsia="Calibri" w:cs="Times New Roman"/>
          <w:b/>
          <w:bCs/>
        </w:rPr>
        <w:t>13</w:t>
      </w:r>
      <w:r w:rsidR="00F97348">
        <w:rPr>
          <w:rFonts w:eastAsia="Calibri" w:cs="Times New Roman"/>
          <w:b/>
          <w:bCs/>
        </w:rPr>
        <w:t>9</w:t>
      </w:r>
      <w:r w:rsidRPr="00242020">
        <w:rPr>
          <w:rFonts w:eastAsia="Calibri" w:cs="Times New Roman"/>
          <w:b/>
        </w:rPr>
        <w:t xml:space="preserve"> об’єктів</w:t>
      </w:r>
      <w:r w:rsidRPr="00F37533">
        <w:rPr>
          <w:rFonts w:eastAsia="Calibri" w:cs="Times New Roman"/>
        </w:rPr>
        <w:t xml:space="preserve">. </w:t>
      </w:r>
      <w:r w:rsidRPr="00242020">
        <w:rPr>
          <w:rFonts w:eastAsia="Calibri" w:cs="Times New Roman"/>
        </w:rPr>
        <w:t xml:space="preserve">Місцевими органами приватизації та регіональними відділеннями Фонду за угодами з </w:t>
      </w:r>
      <w:r w:rsidRPr="00242020">
        <w:rPr>
          <w:rFonts w:eastAsia="Calibri" w:cs="Times New Roman"/>
          <w:spacing w:val="1"/>
        </w:rPr>
        <w:t xml:space="preserve">органами місцевого самоврядування змінено </w:t>
      </w:r>
      <w:r w:rsidRPr="00242020">
        <w:rPr>
          <w:rFonts w:eastAsia="Calibri" w:cs="Times New Roman"/>
          <w:b/>
          <w:spacing w:val="1"/>
        </w:rPr>
        <w:t xml:space="preserve">комунальну форму </w:t>
      </w:r>
      <w:r w:rsidRPr="00242020">
        <w:rPr>
          <w:rFonts w:eastAsia="Calibri" w:cs="Times New Roman"/>
          <w:spacing w:val="1"/>
        </w:rPr>
        <w:t xml:space="preserve">власності </w:t>
      </w:r>
      <w:r w:rsidRPr="00242020">
        <w:rPr>
          <w:rFonts w:eastAsia="Calibri" w:cs="Times New Roman"/>
          <w:b/>
          <w:spacing w:val="1"/>
        </w:rPr>
        <w:t xml:space="preserve">407 </w:t>
      </w:r>
      <w:r w:rsidRPr="00242020">
        <w:rPr>
          <w:rFonts w:eastAsia="Calibri" w:cs="Times New Roman"/>
          <w:b/>
          <w:spacing w:val="5"/>
        </w:rPr>
        <w:t>об’єктів.</w:t>
      </w:r>
      <w:r w:rsidR="00022F5E" w:rsidRPr="00022F5E">
        <w:rPr>
          <w:rFonts w:eastAsia="Calibri" w:cs="Times New Roman"/>
          <w:b/>
          <w:spacing w:val="5"/>
          <w:vertAlign w:val="superscript"/>
        </w:rPr>
        <w:t>*</w:t>
      </w:r>
    </w:p>
    <w:p w:rsidR="007D193C" w:rsidRPr="00242020" w:rsidRDefault="007D193C" w:rsidP="007D193C">
      <w:pPr>
        <w:jc w:val="both"/>
        <w:rPr>
          <w:rFonts w:eastAsia="Calibri" w:cs="Times New Roman"/>
          <w:b/>
          <w:bCs/>
          <w:szCs w:val="28"/>
        </w:rPr>
      </w:pPr>
      <w:r w:rsidRPr="00242020">
        <w:rPr>
          <w:rFonts w:eastAsia="Calibri" w:cs="Times New Roman"/>
          <w:szCs w:val="28"/>
        </w:rPr>
        <w:t xml:space="preserve">У 2016 році регіональними відділеннями Фонду від приватизації об’єктів </w:t>
      </w:r>
      <w:r w:rsidRPr="00242020">
        <w:rPr>
          <w:rFonts w:eastAsia="Calibri" w:cs="Times New Roman"/>
          <w:b/>
          <w:bCs/>
          <w:szCs w:val="28"/>
        </w:rPr>
        <w:t>комунальної</w:t>
      </w:r>
      <w:r w:rsidRPr="00242020">
        <w:rPr>
          <w:rFonts w:eastAsia="Calibri" w:cs="Times New Roman"/>
          <w:szCs w:val="28"/>
        </w:rPr>
        <w:t xml:space="preserve"> форми власності отримано </w:t>
      </w:r>
      <w:r w:rsidRPr="00242020">
        <w:rPr>
          <w:rFonts w:eastAsia="Calibri" w:cs="Times New Roman"/>
          <w:bCs/>
          <w:szCs w:val="28"/>
        </w:rPr>
        <w:t xml:space="preserve">і </w:t>
      </w:r>
      <w:r w:rsidRPr="00242020">
        <w:rPr>
          <w:rFonts w:eastAsia="Calibri" w:cs="Times New Roman"/>
          <w:b/>
          <w:bCs/>
          <w:szCs w:val="28"/>
        </w:rPr>
        <w:t xml:space="preserve">перераховано </w:t>
      </w:r>
      <w:r w:rsidRPr="00242020">
        <w:rPr>
          <w:rFonts w:eastAsia="Calibri" w:cs="Times New Roman"/>
          <w:szCs w:val="28"/>
        </w:rPr>
        <w:t>коштів</w:t>
      </w:r>
      <w:r w:rsidRPr="00242020">
        <w:rPr>
          <w:rFonts w:eastAsia="Calibri" w:cs="Times New Roman"/>
          <w:b/>
          <w:bCs/>
          <w:szCs w:val="28"/>
        </w:rPr>
        <w:t xml:space="preserve"> </w:t>
      </w:r>
      <w:r w:rsidRPr="00242020">
        <w:rPr>
          <w:rFonts w:eastAsia="Calibri" w:cs="Times New Roman"/>
          <w:szCs w:val="28"/>
        </w:rPr>
        <w:t>до відповідних місцевих бюджетів</w:t>
      </w:r>
      <w:r w:rsidRPr="00242020">
        <w:rPr>
          <w:rFonts w:eastAsia="Calibri" w:cs="Times New Roman"/>
          <w:b/>
          <w:bCs/>
          <w:szCs w:val="28"/>
        </w:rPr>
        <w:t xml:space="preserve"> </w:t>
      </w:r>
      <w:r w:rsidRPr="00242020">
        <w:rPr>
          <w:rFonts w:eastAsia="Calibri" w:cs="Times New Roman"/>
          <w:szCs w:val="28"/>
        </w:rPr>
        <w:t>у сумі</w:t>
      </w:r>
      <w:r w:rsidRPr="00242020">
        <w:rPr>
          <w:rFonts w:eastAsia="Calibri" w:cs="Times New Roman"/>
          <w:b/>
          <w:bCs/>
          <w:szCs w:val="28"/>
        </w:rPr>
        <w:t xml:space="preserve"> 3,55 </w:t>
      </w:r>
      <w:proofErr w:type="spellStart"/>
      <w:r w:rsidRPr="00242020">
        <w:rPr>
          <w:rFonts w:eastAsia="Calibri" w:cs="Times New Roman"/>
          <w:b/>
          <w:bCs/>
          <w:szCs w:val="28"/>
        </w:rPr>
        <w:t>млн</w:t>
      </w:r>
      <w:proofErr w:type="spellEnd"/>
      <w:r w:rsidRPr="00242020">
        <w:rPr>
          <w:rFonts w:eastAsia="Calibri" w:cs="Times New Roman"/>
          <w:b/>
          <w:bCs/>
          <w:szCs w:val="28"/>
        </w:rPr>
        <w:t> грн.</w:t>
      </w:r>
    </w:p>
    <w:p w:rsidR="007D193C" w:rsidRPr="00242020" w:rsidRDefault="007D193C" w:rsidP="007D193C">
      <w:pPr>
        <w:jc w:val="both"/>
        <w:rPr>
          <w:rFonts w:eastAsia="Calibri" w:cs="Times New Roman"/>
          <w:szCs w:val="28"/>
        </w:rPr>
      </w:pPr>
      <w:r w:rsidRPr="00242020">
        <w:rPr>
          <w:rFonts w:eastAsia="Calibri" w:cs="Times New Roman"/>
          <w:szCs w:val="28"/>
        </w:rPr>
        <w:t xml:space="preserve">Виконано планові завдання з </w:t>
      </w:r>
      <w:r w:rsidRPr="00242020">
        <w:rPr>
          <w:rFonts w:eastAsia="Calibri" w:cs="Times New Roman"/>
          <w:b/>
          <w:szCs w:val="28"/>
        </w:rPr>
        <w:t>оренди</w:t>
      </w:r>
      <w:r w:rsidRPr="00242020">
        <w:rPr>
          <w:rFonts w:eastAsia="Calibri" w:cs="Times New Roman"/>
          <w:szCs w:val="28"/>
        </w:rPr>
        <w:t xml:space="preserve"> державного майна на 167,25 %, до державного бюджету надійшло </w:t>
      </w:r>
      <w:r w:rsidRPr="00242020">
        <w:rPr>
          <w:rFonts w:eastAsia="Calibri" w:cs="Times New Roman"/>
          <w:b/>
          <w:szCs w:val="28"/>
        </w:rPr>
        <w:t>1 028,558</w:t>
      </w:r>
      <w:r w:rsidRPr="00242020">
        <w:rPr>
          <w:rFonts w:eastAsia="Calibri" w:cs="Times New Roman"/>
          <w:szCs w:val="28"/>
        </w:rPr>
        <w:t> </w:t>
      </w:r>
      <w:proofErr w:type="spellStart"/>
      <w:r w:rsidRPr="00242020">
        <w:rPr>
          <w:rFonts w:eastAsia="Calibri" w:cs="Times New Roman"/>
          <w:b/>
          <w:szCs w:val="28"/>
        </w:rPr>
        <w:t>млн</w:t>
      </w:r>
      <w:proofErr w:type="spellEnd"/>
      <w:r w:rsidRPr="00242020">
        <w:rPr>
          <w:rFonts w:eastAsia="Calibri" w:cs="Times New Roman"/>
          <w:b/>
          <w:szCs w:val="28"/>
        </w:rPr>
        <w:t> </w:t>
      </w:r>
      <w:proofErr w:type="spellStart"/>
      <w:r w:rsidRPr="00242020">
        <w:rPr>
          <w:rFonts w:eastAsia="Calibri" w:cs="Times New Roman"/>
          <w:b/>
          <w:szCs w:val="28"/>
        </w:rPr>
        <w:t>грн</w:t>
      </w:r>
      <w:proofErr w:type="spellEnd"/>
      <w:r w:rsidRPr="00242020">
        <w:rPr>
          <w:rFonts w:eastAsia="Calibri" w:cs="Times New Roman"/>
          <w:b/>
          <w:szCs w:val="28"/>
        </w:rPr>
        <w:t xml:space="preserve"> </w:t>
      </w:r>
      <w:r w:rsidRPr="00242020">
        <w:rPr>
          <w:rFonts w:eastAsia="Calibri" w:cs="Times New Roman"/>
        </w:rPr>
        <w:t>(</w:t>
      </w:r>
      <w:r w:rsidRPr="00242020">
        <w:rPr>
          <w:rFonts w:eastAsia="Calibri" w:cs="Times New Roman"/>
          <w:b/>
        </w:rPr>
        <w:t>додаток 7</w:t>
      </w:r>
      <w:r w:rsidRPr="00242020">
        <w:rPr>
          <w:rFonts w:eastAsia="Calibri" w:cs="Times New Roman"/>
        </w:rPr>
        <w:t>).</w:t>
      </w:r>
      <w:r w:rsidRPr="00242020">
        <w:rPr>
          <w:rFonts w:eastAsia="Calibri" w:cs="Times New Roman"/>
          <w:b/>
          <w:szCs w:val="28"/>
        </w:rPr>
        <w:t xml:space="preserve"> </w:t>
      </w:r>
    </w:p>
    <w:p w:rsidR="007D193C" w:rsidRPr="00242020" w:rsidRDefault="007D193C" w:rsidP="007D193C">
      <w:pPr>
        <w:jc w:val="both"/>
        <w:rPr>
          <w:rFonts w:eastAsia="Calibri" w:cs="Times New Roman"/>
          <w:szCs w:val="28"/>
        </w:rPr>
      </w:pPr>
      <w:r w:rsidRPr="00242020">
        <w:rPr>
          <w:rFonts w:eastAsia="Calibri" w:cs="Times New Roman"/>
          <w:szCs w:val="28"/>
        </w:rPr>
        <w:t xml:space="preserve">До державного бюджету перераховано </w:t>
      </w:r>
      <w:r w:rsidRPr="00242020">
        <w:rPr>
          <w:rFonts w:eastAsia="Calibri" w:cs="Times New Roman"/>
          <w:b/>
          <w:szCs w:val="28"/>
        </w:rPr>
        <w:t xml:space="preserve">1 249,48 </w:t>
      </w:r>
      <w:proofErr w:type="spellStart"/>
      <w:r w:rsidRPr="00242020">
        <w:rPr>
          <w:rFonts w:eastAsia="Calibri" w:cs="Times New Roman"/>
          <w:b/>
          <w:szCs w:val="28"/>
        </w:rPr>
        <w:t>млн</w:t>
      </w:r>
      <w:proofErr w:type="spellEnd"/>
      <w:r w:rsidRPr="00242020">
        <w:rPr>
          <w:rFonts w:eastAsia="Calibri" w:cs="Times New Roman"/>
          <w:b/>
          <w:szCs w:val="28"/>
        </w:rPr>
        <w:t xml:space="preserve"> </w:t>
      </w:r>
      <w:proofErr w:type="spellStart"/>
      <w:r w:rsidRPr="00242020">
        <w:rPr>
          <w:rFonts w:eastAsia="Calibri" w:cs="Times New Roman"/>
          <w:b/>
          <w:szCs w:val="28"/>
        </w:rPr>
        <w:t>грн</w:t>
      </w:r>
      <w:proofErr w:type="spellEnd"/>
      <w:r w:rsidRPr="00242020">
        <w:rPr>
          <w:rFonts w:eastAsia="Calibri" w:cs="Times New Roman"/>
          <w:b/>
          <w:szCs w:val="28"/>
        </w:rPr>
        <w:t xml:space="preserve"> дивідендів та</w:t>
      </w:r>
      <w:r w:rsidRPr="00242020">
        <w:rPr>
          <w:rFonts w:eastAsia="Calibri" w:cs="Times New Roman"/>
          <w:szCs w:val="28"/>
        </w:rPr>
        <w:t xml:space="preserve"> </w:t>
      </w:r>
      <w:r w:rsidRPr="00242020">
        <w:rPr>
          <w:rFonts w:eastAsia="Calibri" w:cs="Times New Roman"/>
          <w:b/>
          <w:szCs w:val="28"/>
        </w:rPr>
        <w:t>частини чистого прибутку</w:t>
      </w:r>
      <w:r w:rsidRPr="00242020">
        <w:rPr>
          <w:rFonts w:eastAsia="Calibri" w:cs="Times New Roman"/>
          <w:szCs w:val="28"/>
        </w:rPr>
        <w:t xml:space="preserve"> від господарських товариств, що належать до сфери управління Фонду (</w:t>
      </w:r>
      <w:r w:rsidRPr="00242020">
        <w:rPr>
          <w:rFonts w:eastAsia="Calibri" w:cs="Times New Roman"/>
          <w:b/>
          <w:szCs w:val="28"/>
        </w:rPr>
        <w:t>додаток 8</w:t>
      </w:r>
      <w:r w:rsidRPr="00242020">
        <w:rPr>
          <w:rFonts w:eastAsia="Calibri" w:cs="Times New Roman"/>
          <w:szCs w:val="28"/>
        </w:rPr>
        <w:t xml:space="preserve">). </w:t>
      </w:r>
    </w:p>
    <w:p w:rsidR="007D193C" w:rsidRPr="00242020" w:rsidRDefault="007D193C" w:rsidP="007D193C">
      <w:pPr>
        <w:jc w:val="both"/>
        <w:rPr>
          <w:rFonts w:eastAsia="Calibri" w:cs="Times New Roman"/>
          <w:szCs w:val="28"/>
        </w:rPr>
      </w:pPr>
      <w:r w:rsidRPr="00242020">
        <w:rPr>
          <w:rFonts w:eastAsia="Calibri" w:cs="Times New Roman"/>
          <w:szCs w:val="28"/>
        </w:rPr>
        <w:t xml:space="preserve">Відповідно до Закону України «Про Державний бюджет України на 2016 рік» Фонду встановлено завдання з надходження коштів від приватизації державного майна до державного бюджету обсягом 17,1 </w:t>
      </w:r>
      <w:proofErr w:type="spellStart"/>
      <w:r w:rsidRPr="00242020">
        <w:rPr>
          <w:rFonts w:eastAsia="Calibri" w:cs="Times New Roman"/>
          <w:szCs w:val="28"/>
        </w:rPr>
        <w:t>млрд</w:t>
      </w:r>
      <w:proofErr w:type="spellEnd"/>
      <w:r w:rsidRPr="00242020">
        <w:rPr>
          <w:rFonts w:eastAsia="Calibri" w:cs="Times New Roman"/>
          <w:szCs w:val="28"/>
        </w:rPr>
        <w:t xml:space="preserve"> грн.</w:t>
      </w:r>
    </w:p>
    <w:p w:rsidR="007D193C" w:rsidRPr="00242020" w:rsidRDefault="007D193C" w:rsidP="007D193C">
      <w:pPr>
        <w:tabs>
          <w:tab w:val="right" w:pos="10065"/>
        </w:tabs>
        <w:jc w:val="both"/>
        <w:rPr>
          <w:rFonts w:eastAsia="Calibri" w:cs="Times New Roman"/>
          <w:bCs/>
          <w:szCs w:val="28"/>
        </w:rPr>
      </w:pPr>
      <w:r w:rsidRPr="00242020">
        <w:rPr>
          <w:rFonts w:eastAsia="Calibri" w:cs="Times New Roman"/>
          <w:szCs w:val="28"/>
        </w:rPr>
        <w:t xml:space="preserve">Протягом 2016 року </w:t>
      </w:r>
      <w:r w:rsidRPr="00242020">
        <w:rPr>
          <w:rFonts w:eastAsia="Calibri" w:cs="Times New Roman"/>
          <w:b/>
          <w:szCs w:val="28"/>
        </w:rPr>
        <w:t>від приватизації</w:t>
      </w:r>
      <w:r w:rsidRPr="00242020">
        <w:rPr>
          <w:rFonts w:eastAsia="Calibri" w:cs="Times New Roman"/>
          <w:szCs w:val="28"/>
        </w:rPr>
        <w:t xml:space="preserve"> державного майна та інших надходжень, безпосередньо пов’язаних з процесом приватизації, надійшло 187,503 </w:t>
      </w:r>
      <w:proofErr w:type="spellStart"/>
      <w:r w:rsidRPr="00242020">
        <w:rPr>
          <w:rFonts w:eastAsia="Calibri" w:cs="Times New Roman"/>
          <w:szCs w:val="28"/>
        </w:rPr>
        <w:t>млн</w:t>
      </w:r>
      <w:proofErr w:type="spellEnd"/>
      <w:r w:rsidRPr="00242020">
        <w:rPr>
          <w:rFonts w:eastAsia="Calibri" w:cs="Times New Roman"/>
          <w:szCs w:val="28"/>
        </w:rPr>
        <w:t xml:space="preserve"> </w:t>
      </w:r>
      <w:proofErr w:type="spellStart"/>
      <w:r w:rsidRPr="00242020">
        <w:rPr>
          <w:rFonts w:eastAsia="Calibri" w:cs="Times New Roman"/>
          <w:szCs w:val="28"/>
        </w:rPr>
        <w:t>грн</w:t>
      </w:r>
      <w:proofErr w:type="spellEnd"/>
      <w:r w:rsidRPr="00242020">
        <w:rPr>
          <w:rFonts w:eastAsia="Calibri" w:cs="Times New Roman"/>
          <w:szCs w:val="28"/>
        </w:rPr>
        <w:t xml:space="preserve"> (</w:t>
      </w:r>
      <w:r w:rsidRPr="00242020">
        <w:rPr>
          <w:rFonts w:eastAsia="Calibri" w:cs="Times New Roman"/>
          <w:b/>
          <w:szCs w:val="28"/>
        </w:rPr>
        <w:t>додаток 9</w:t>
      </w:r>
      <w:r w:rsidRPr="00242020">
        <w:rPr>
          <w:rFonts w:eastAsia="Calibri" w:cs="Times New Roman"/>
          <w:szCs w:val="28"/>
        </w:rPr>
        <w:t xml:space="preserve">). </w:t>
      </w:r>
      <w:r w:rsidRPr="00242020">
        <w:rPr>
          <w:rFonts w:eastAsia="Calibri" w:cs="Times New Roman"/>
        </w:rPr>
        <w:t xml:space="preserve">До загального фонду державного бюджету </w:t>
      </w:r>
      <w:r w:rsidRPr="00242020">
        <w:rPr>
          <w:rFonts w:eastAsia="Calibri" w:cs="Times New Roman"/>
          <w:b/>
        </w:rPr>
        <w:t xml:space="preserve">перераховано 188,918 </w:t>
      </w:r>
      <w:proofErr w:type="spellStart"/>
      <w:r w:rsidRPr="00242020">
        <w:rPr>
          <w:rFonts w:eastAsia="Calibri" w:cs="Times New Roman"/>
          <w:b/>
        </w:rPr>
        <w:t>млн</w:t>
      </w:r>
      <w:proofErr w:type="spellEnd"/>
      <w:r w:rsidRPr="00242020">
        <w:rPr>
          <w:rFonts w:eastAsia="Calibri" w:cs="Times New Roman"/>
          <w:b/>
        </w:rPr>
        <w:t xml:space="preserve"> грн.</w:t>
      </w:r>
      <w:r w:rsidRPr="00242020">
        <w:rPr>
          <w:rFonts w:eastAsia="Calibri" w:cs="Times New Roman"/>
        </w:rPr>
        <w:t xml:space="preserve"> Від продажу земельних ділянок несільськогосподарського призначення або прав на них, що перебувають у державній власності, на яких розташовано об’єкти, що підлягали приватизації, надійшло 4,279 </w:t>
      </w:r>
      <w:proofErr w:type="spellStart"/>
      <w:r w:rsidRPr="00242020">
        <w:rPr>
          <w:rFonts w:eastAsia="Calibri" w:cs="Times New Roman"/>
        </w:rPr>
        <w:t>млн</w:t>
      </w:r>
      <w:proofErr w:type="spellEnd"/>
      <w:r w:rsidRPr="00242020">
        <w:rPr>
          <w:rFonts w:eastAsia="Calibri" w:cs="Times New Roman"/>
        </w:rPr>
        <w:t xml:space="preserve"> </w:t>
      </w:r>
      <w:proofErr w:type="spellStart"/>
      <w:r w:rsidRPr="00242020">
        <w:rPr>
          <w:rFonts w:eastAsia="Calibri" w:cs="Times New Roman"/>
        </w:rPr>
        <w:t>грн</w:t>
      </w:r>
      <w:proofErr w:type="spellEnd"/>
      <w:r w:rsidRPr="00242020">
        <w:rPr>
          <w:rFonts w:eastAsia="Calibri" w:cs="Times New Roman"/>
        </w:rPr>
        <w:t xml:space="preserve"> та перераховано до державного бюджету 4,274 </w:t>
      </w:r>
      <w:proofErr w:type="spellStart"/>
      <w:r w:rsidRPr="00242020">
        <w:rPr>
          <w:rFonts w:eastAsia="Calibri" w:cs="Times New Roman"/>
        </w:rPr>
        <w:t>млн</w:t>
      </w:r>
      <w:proofErr w:type="spellEnd"/>
      <w:r w:rsidRPr="00242020">
        <w:rPr>
          <w:rFonts w:eastAsia="Calibri" w:cs="Times New Roman"/>
        </w:rPr>
        <w:t xml:space="preserve"> грн. </w:t>
      </w:r>
    </w:p>
    <w:p w:rsidR="00022F5E" w:rsidRDefault="00022F5E" w:rsidP="007D193C">
      <w:pPr>
        <w:jc w:val="both"/>
        <w:rPr>
          <w:rFonts w:eastAsia="Calibri" w:cs="Times New Roman"/>
          <w:szCs w:val="28"/>
        </w:rPr>
      </w:pPr>
    </w:p>
    <w:p w:rsidR="007D193C" w:rsidRPr="00242020" w:rsidRDefault="007D193C" w:rsidP="007D193C">
      <w:pPr>
        <w:jc w:val="both"/>
        <w:rPr>
          <w:rFonts w:eastAsia="Calibri" w:cs="Times New Roman"/>
          <w:szCs w:val="28"/>
        </w:rPr>
      </w:pPr>
      <w:r w:rsidRPr="00242020">
        <w:rPr>
          <w:rFonts w:eastAsia="Calibri" w:cs="Times New Roman"/>
          <w:szCs w:val="28"/>
        </w:rPr>
        <w:t xml:space="preserve">Виконання поставлених перед Фондом завдань, як вже неодноразово зазначалося у звітах за минулі роки, в першу чергу залежить від передачі уповноваженими органами управління Фонду нових інвестиційно-привабливих </w:t>
      </w:r>
      <w:r w:rsidR="00345E76">
        <w:rPr>
          <w:rFonts w:eastAsia="Calibri" w:cs="Times New Roman"/>
          <w:szCs w:val="28"/>
        </w:rPr>
        <w:br/>
      </w:r>
      <w:r w:rsidRPr="00242020">
        <w:rPr>
          <w:rFonts w:eastAsia="Calibri" w:cs="Times New Roman"/>
          <w:szCs w:val="28"/>
        </w:rPr>
        <w:t>об’єктів на приватизацію, оскільки за роки приватизації в управлінні Фонду не залишилося об’єктів, реалізація яких може забезпечити встановлені чинним законодавством обсяги надходження коштів до державного бюджету.</w:t>
      </w:r>
    </w:p>
    <w:p w:rsidR="007D193C" w:rsidRPr="00242020" w:rsidRDefault="007D193C" w:rsidP="007D193C">
      <w:pPr>
        <w:tabs>
          <w:tab w:val="right" w:pos="10065"/>
        </w:tabs>
        <w:jc w:val="both"/>
        <w:rPr>
          <w:rFonts w:eastAsia="Calibri" w:cs="Times New Roman"/>
          <w:szCs w:val="28"/>
        </w:rPr>
      </w:pPr>
      <w:r w:rsidRPr="00242020">
        <w:rPr>
          <w:rFonts w:eastAsia="Calibri" w:cs="Times New Roman"/>
          <w:bCs/>
          <w:szCs w:val="28"/>
        </w:rPr>
        <w:t>Водночас, незважаючи на обставини</w:t>
      </w:r>
      <w:r w:rsidRPr="00242020">
        <w:rPr>
          <w:rFonts w:eastAsia="Calibri" w:cs="Times New Roman"/>
          <w:szCs w:val="28"/>
        </w:rPr>
        <w:t>, які ускладнювали здійснення Фондом повноважень щодо підготовки і проведення приватизації та функцій з управління державним майном на значній території України, Фонд протягом звітного періоду проводив системну та наполегливу роботу щодо створення умов для виконання завдань з наповнення державного бюджету.</w:t>
      </w:r>
    </w:p>
    <w:p w:rsidR="00D226C3" w:rsidRPr="00242020" w:rsidRDefault="00D226C3"/>
    <w:p w:rsidR="00D226C3" w:rsidRPr="00242020" w:rsidRDefault="00D226C3"/>
    <w:p w:rsidR="00D226C3" w:rsidRPr="00242020" w:rsidRDefault="00D226C3"/>
    <w:p w:rsidR="00D226C3" w:rsidRPr="00242020" w:rsidRDefault="00D226C3"/>
    <w:p w:rsidR="0088199A" w:rsidRPr="00242020" w:rsidRDefault="0088199A">
      <w:pPr>
        <w:sectPr w:rsidR="0088199A" w:rsidRPr="00242020" w:rsidSect="00BE4231">
          <w:pgSz w:w="11906" w:h="16838"/>
          <w:pgMar w:top="1134" w:right="851" w:bottom="1134" w:left="1418" w:header="709" w:footer="709" w:gutter="0"/>
          <w:cols w:space="708"/>
          <w:docGrid w:linePitch="381"/>
        </w:sectPr>
      </w:pPr>
    </w:p>
    <w:p w:rsidR="0088199A" w:rsidRPr="00242020" w:rsidRDefault="0088199A" w:rsidP="0088199A">
      <w:pPr>
        <w:pStyle w:val="1"/>
      </w:pPr>
      <w:r w:rsidRPr="00242020">
        <w:lastRenderedPageBreak/>
        <w:t>2. Приватизація державного майна</w:t>
      </w:r>
    </w:p>
    <w:p w:rsidR="00A5280A" w:rsidRPr="00242020" w:rsidRDefault="00A5280A" w:rsidP="00A5280A">
      <w:pPr>
        <w:jc w:val="both"/>
        <w:rPr>
          <w:sz w:val="12"/>
          <w:szCs w:val="12"/>
        </w:rPr>
      </w:pPr>
    </w:p>
    <w:p w:rsidR="0088199A" w:rsidRPr="00242020" w:rsidRDefault="0088199A" w:rsidP="0088199A">
      <w:pPr>
        <w:pStyle w:val="2"/>
      </w:pPr>
      <w:r w:rsidRPr="00242020">
        <w:t>2.1. Підготовка підприємств до приватизації</w:t>
      </w:r>
    </w:p>
    <w:p w:rsidR="007F3E31" w:rsidRPr="00242020" w:rsidRDefault="007F3E31" w:rsidP="0088199A">
      <w:pPr>
        <w:jc w:val="both"/>
        <w:rPr>
          <w:sz w:val="12"/>
          <w:szCs w:val="12"/>
        </w:rPr>
      </w:pPr>
    </w:p>
    <w:p w:rsidR="002769BF" w:rsidRPr="00242020" w:rsidRDefault="002769BF" w:rsidP="00102753">
      <w:pPr>
        <w:widowControl/>
        <w:jc w:val="both"/>
        <w:rPr>
          <w:rFonts w:eastAsia="Times New Roman" w:cs="Times New Roman"/>
          <w:szCs w:val="28"/>
          <w:lang w:eastAsia="ru-RU"/>
        </w:rPr>
      </w:pPr>
      <w:r w:rsidRPr="00242020">
        <w:rPr>
          <w:rFonts w:eastAsia="Times New Roman" w:cs="Times New Roman"/>
          <w:szCs w:val="28"/>
          <w:lang w:eastAsia="ru-RU"/>
        </w:rPr>
        <w:t xml:space="preserve">З метою вивчення попиту потенційних покупців на об’єкти приватизації та аналізу фінансового стану підприємств до прийняття рішення про їх приватизацію на офіційному </w:t>
      </w:r>
      <w:proofErr w:type="spellStart"/>
      <w:r w:rsidRPr="00242020">
        <w:rPr>
          <w:rFonts w:eastAsia="Times New Roman" w:cs="Times New Roman"/>
          <w:szCs w:val="28"/>
          <w:lang w:eastAsia="ru-RU"/>
        </w:rPr>
        <w:t>веб-сайті</w:t>
      </w:r>
      <w:proofErr w:type="spellEnd"/>
      <w:r w:rsidRPr="00242020">
        <w:rPr>
          <w:rFonts w:eastAsia="Times New Roman" w:cs="Times New Roman"/>
          <w:szCs w:val="28"/>
          <w:lang w:eastAsia="ru-RU"/>
        </w:rPr>
        <w:t xml:space="preserve"> Фонду в рубриці «Приватизація» (підрубрика «Вивчення попиту підприємств») протягом звітного періоду </w:t>
      </w:r>
      <w:proofErr w:type="spellStart"/>
      <w:r w:rsidRPr="00242020">
        <w:rPr>
          <w:rFonts w:eastAsia="Times New Roman" w:cs="Times New Roman"/>
          <w:szCs w:val="28"/>
          <w:lang w:eastAsia="ru-RU"/>
        </w:rPr>
        <w:t>оприлюднено</w:t>
      </w:r>
      <w:proofErr w:type="spellEnd"/>
      <w:r w:rsidRPr="00242020">
        <w:rPr>
          <w:rFonts w:eastAsia="Times New Roman" w:cs="Times New Roman"/>
          <w:szCs w:val="28"/>
          <w:lang w:eastAsia="ru-RU"/>
        </w:rPr>
        <w:t xml:space="preserve"> економічну інформацію щодо фінансово-майнового стану 10 підприємств: </w:t>
      </w:r>
      <w:proofErr w:type="spellStart"/>
      <w:r w:rsidRPr="00242020">
        <w:rPr>
          <w:rFonts w:eastAsia="Times New Roman" w:cs="Times New Roman"/>
          <w:szCs w:val="28"/>
          <w:lang w:eastAsia="ru-RU"/>
        </w:rPr>
        <w:t>ДП</w:t>
      </w:r>
      <w:proofErr w:type="spellEnd"/>
      <w:r w:rsidRPr="00242020">
        <w:rPr>
          <w:rFonts w:eastAsia="Times New Roman" w:cs="Times New Roman"/>
          <w:szCs w:val="28"/>
          <w:lang w:eastAsia="ru-RU"/>
        </w:rPr>
        <w:t xml:space="preserve"> «</w:t>
      </w:r>
      <w:proofErr w:type="spellStart"/>
      <w:r w:rsidRPr="00242020">
        <w:rPr>
          <w:rFonts w:eastAsia="Times New Roman" w:cs="Times New Roman"/>
          <w:szCs w:val="28"/>
          <w:lang w:eastAsia="ru-RU"/>
        </w:rPr>
        <w:t>Укрекоресурси</w:t>
      </w:r>
      <w:proofErr w:type="spellEnd"/>
      <w:r w:rsidRPr="00242020">
        <w:rPr>
          <w:rFonts w:eastAsia="Times New Roman" w:cs="Times New Roman"/>
          <w:szCs w:val="28"/>
          <w:lang w:eastAsia="ru-RU"/>
        </w:rPr>
        <w:t xml:space="preserve">», </w:t>
      </w:r>
      <w:proofErr w:type="spellStart"/>
      <w:r w:rsidRPr="00242020">
        <w:rPr>
          <w:rFonts w:eastAsia="Times New Roman" w:cs="Times New Roman"/>
          <w:szCs w:val="28"/>
          <w:lang w:eastAsia="ru-RU"/>
        </w:rPr>
        <w:t>ДП</w:t>
      </w:r>
      <w:proofErr w:type="spellEnd"/>
      <w:r w:rsidRPr="00242020">
        <w:rPr>
          <w:rFonts w:eastAsia="Times New Roman" w:cs="Times New Roman"/>
          <w:szCs w:val="28"/>
          <w:lang w:eastAsia="ru-RU"/>
        </w:rPr>
        <w:t xml:space="preserve"> Водних шляхів «</w:t>
      </w:r>
      <w:proofErr w:type="spellStart"/>
      <w:r w:rsidRPr="00242020">
        <w:rPr>
          <w:rFonts w:eastAsia="Times New Roman" w:cs="Times New Roman"/>
          <w:szCs w:val="28"/>
          <w:lang w:eastAsia="ru-RU"/>
        </w:rPr>
        <w:t>Устьдунайводшлях</w:t>
      </w:r>
      <w:proofErr w:type="spellEnd"/>
      <w:r w:rsidRPr="00242020">
        <w:rPr>
          <w:rFonts w:eastAsia="Times New Roman" w:cs="Times New Roman"/>
          <w:szCs w:val="28"/>
          <w:lang w:eastAsia="ru-RU"/>
        </w:rPr>
        <w:t xml:space="preserve">», </w:t>
      </w:r>
      <w:proofErr w:type="spellStart"/>
      <w:r w:rsidRPr="00242020">
        <w:rPr>
          <w:rFonts w:eastAsia="Times New Roman" w:cs="Times New Roman"/>
          <w:szCs w:val="28"/>
          <w:lang w:eastAsia="ru-RU"/>
        </w:rPr>
        <w:t>ДНВП</w:t>
      </w:r>
      <w:proofErr w:type="spellEnd"/>
      <w:r w:rsidRPr="00242020">
        <w:rPr>
          <w:rFonts w:eastAsia="Times New Roman" w:cs="Times New Roman"/>
          <w:szCs w:val="28"/>
          <w:lang w:eastAsia="ru-RU"/>
        </w:rPr>
        <w:t xml:space="preserve"> «Електронмаш», </w:t>
      </w:r>
      <w:proofErr w:type="spellStart"/>
      <w:r w:rsidRPr="00242020">
        <w:rPr>
          <w:rFonts w:eastAsia="Times New Roman" w:cs="Times New Roman"/>
          <w:szCs w:val="28"/>
          <w:lang w:eastAsia="ru-RU"/>
        </w:rPr>
        <w:t>ДП</w:t>
      </w:r>
      <w:proofErr w:type="spellEnd"/>
      <w:r w:rsidRPr="00242020">
        <w:rPr>
          <w:rFonts w:eastAsia="Times New Roman" w:cs="Times New Roman"/>
          <w:szCs w:val="28"/>
          <w:lang w:eastAsia="ru-RU"/>
        </w:rPr>
        <w:t xml:space="preserve"> «Завод «Радіореле», </w:t>
      </w:r>
      <w:proofErr w:type="spellStart"/>
      <w:r w:rsidRPr="00242020">
        <w:rPr>
          <w:rFonts w:eastAsia="Times New Roman" w:cs="Times New Roman"/>
          <w:szCs w:val="28"/>
          <w:lang w:eastAsia="ru-RU"/>
        </w:rPr>
        <w:t>ДП</w:t>
      </w:r>
      <w:proofErr w:type="spellEnd"/>
      <w:r w:rsidRPr="00242020">
        <w:rPr>
          <w:rFonts w:eastAsia="Times New Roman" w:cs="Times New Roman"/>
          <w:szCs w:val="28"/>
          <w:lang w:eastAsia="ru-RU"/>
        </w:rPr>
        <w:t xml:space="preserve"> «Вінницький завод «Кристал», ПАТ «Національна акціонерна компанія «</w:t>
      </w:r>
      <w:proofErr w:type="spellStart"/>
      <w:r w:rsidRPr="00242020">
        <w:rPr>
          <w:rFonts w:eastAsia="Times New Roman" w:cs="Times New Roman"/>
          <w:szCs w:val="28"/>
          <w:lang w:eastAsia="ru-RU"/>
        </w:rPr>
        <w:t>Украгролізінг</w:t>
      </w:r>
      <w:proofErr w:type="spellEnd"/>
      <w:r w:rsidRPr="00242020">
        <w:rPr>
          <w:rFonts w:eastAsia="Times New Roman" w:cs="Times New Roman"/>
          <w:szCs w:val="28"/>
          <w:lang w:eastAsia="ru-RU"/>
        </w:rPr>
        <w:t xml:space="preserve">», ПАТ «Аграрний фонд», ПАТ «Державна продовольчо-зернова корпорація України», </w:t>
      </w:r>
      <w:proofErr w:type="spellStart"/>
      <w:r w:rsidRPr="00242020">
        <w:rPr>
          <w:rFonts w:eastAsia="Times New Roman" w:cs="Times New Roman"/>
          <w:szCs w:val="28"/>
          <w:lang w:eastAsia="ru-RU"/>
        </w:rPr>
        <w:t>ДП</w:t>
      </w:r>
      <w:proofErr w:type="spellEnd"/>
      <w:r w:rsidRPr="00242020">
        <w:rPr>
          <w:rFonts w:eastAsia="Times New Roman" w:cs="Times New Roman"/>
          <w:szCs w:val="28"/>
          <w:lang w:eastAsia="ru-RU"/>
        </w:rPr>
        <w:t xml:space="preserve"> «</w:t>
      </w:r>
      <w:proofErr w:type="spellStart"/>
      <w:r w:rsidRPr="00242020">
        <w:rPr>
          <w:rFonts w:eastAsia="Times New Roman" w:cs="Times New Roman"/>
          <w:szCs w:val="28"/>
          <w:lang w:eastAsia="ru-RU"/>
        </w:rPr>
        <w:t>Екотрансенерго</w:t>
      </w:r>
      <w:proofErr w:type="spellEnd"/>
      <w:r w:rsidRPr="00242020">
        <w:rPr>
          <w:rFonts w:eastAsia="Times New Roman" w:cs="Times New Roman"/>
          <w:szCs w:val="28"/>
          <w:lang w:eastAsia="ru-RU"/>
        </w:rPr>
        <w:t xml:space="preserve">», </w:t>
      </w:r>
      <w:proofErr w:type="spellStart"/>
      <w:r w:rsidRPr="00242020">
        <w:rPr>
          <w:rFonts w:eastAsia="Times New Roman" w:cs="Times New Roman"/>
          <w:szCs w:val="28"/>
          <w:lang w:eastAsia="ru-RU"/>
        </w:rPr>
        <w:t>ДП</w:t>
      </w:r>
      <w:proofErr w:type="spellEnd"/>
      <w:r w:rsidRPr="00242020">
        <w:rPr>
          <w:rFonts w:eastAsia="Times New Roman" w:cs="Times New Roman"/>
          <w:szCs w:val="28"/>
          <w:lang w:eastAsia="ru-RU"/>
        </w:rPr>
        <w:t xml:space="preserve"> «</w:t>
      </w:r>
      <w:proofErr w:type="spellStart"/>
      <w:r w:rsidRPr="00242020">
        <w:rPr>
          <w:rFonts w:eastAsia="Times New Roman" w:cs="Times New Roman"/>
          <w:szCs w:val="28"/>
          <w:lang w:eastAsia="ru-RU"/>
        </w:rPr>
        <w:t>Новопокровський</w:t>
      </w:r>
      <w:proofErr w:type="spellEnd"/>
      <w:r w:rsidRPr="00242020">
        <w:rPr>
          <w:rFonts w:eastAsia="Times New Roman" w:cs="Times New Roman"/>
          <w:szCs w:val="28"/>
          <w:lang w:eastAsia="ru-RU"/>
        </w:rPr>
        <w:t xml:space="preserve"> комбінат хлібопродуктів». До Фонду надійшло 3 анкети на вивчення попиту </w:t>
      </w:r>
      <w:proofErr w:type="spellStart"/>
      <w:r w:rsidRPr="00242020">
        <w:rPr>
          <w:rFonts w:eastAsia="Times New Roman" w:cs="Times New Roman"/>
          <w:szCs w:val="28"/>
          <w:lang w:eastAsia="ru-RU"/>
        </w:rPr>
        <w:t>ДП</w:t>
      </w:r>
      <w:proofErr w:type="spellEnd"/>
      <w:r w:rsidRPr="00242020">
        <w:rPr>
          <w:rFonts w:eastAsia="Times New Roman" w:cs="Times New Roman"/>
          <w:szCs w:val="28"/>
          <w:lang w:eastAsia="ru-RU"/>
        </w:rPr>
        <w:t xml:space="preserve"> «</w:t>
      </w:r>
      <w:proofErr w:type="spellStart"/>
      <w:r w:rsidRPr="00242020">
        <w:rPr>
          <w:rFonts w:eastAsia="Times New Roman" w:cs="Times New Roman"/>
          <w:szCs w:val="28"/>
          <w:lang w:eastAsia="ru-RU"/>
        </w:rPr>
        <w:t>Новопокровський</w:t>
      </w:r>
      <w:proofErr w:type="spellEnd"/>
      <w:r w:rsidRPr="00242020">
        <w:rPr>
          <w:rFonts w:eastAsia="Times New Roman" w:cs="Times New Roman"/>
          <w:szCs w:val="28"/>
          <w:lang w:eastAsia="ru-RU"/>
        </w:rPr>
        <w:t xml:space="preserve"> комбінат хлібопродуктів», на інші об’єкти анкет не надходило.</w:t>
      </w:r>
    </w:p>
    <w:p w:rsidR="002769BF" w:rsidRPr="00242020" w:rsidRDefault="002769BF" w:rsidP="00102753">
      <w:pPr>
        <w:jc w:val="both"/>
        <w:rPr>
          <w:rFonts w:eastAsia="Times New Roman" w:cs="Times New Roman"/>
          <w:szCs w:val="28"/>
          <w:lang w:eastAsia="ru-RU"/>
        </w:rPr>
      </w:pPr>
      <w:r w:rsidRPr="00242020">
        <w:rPr>
          <w:rFonts w:eastAsia="Times New Roman" w:cs="Times New Roman"/>
          <w:szCs w:val="28"/>
          <w:lang w:eastAsia="ru-RU"/>
        </w:rPr>
        <w:t>Згідно з Положенням про порядок вивчення попиту потенційних покупців на об’єкти приватизації, затвердженим наказом Фонду від 30 липня 2000 року № 1798 (із змінами), та Положенням про порядок здійснення аналізу фінансового стану підприємств, що підлягають приватизації, затвердженим спільним наказом Міністерства фінансів України та Фонду від 26 січня 2001 року № 49/121, протягом звітного періоду за спрощеною схемою здійснено аналіз фінансового стану та надано відповідні висновки стосовно 2 підприємств групи В, що підлягають приватизації, які характеризуються незадовільним фінансовим станом (високою ризикованістю діяльності з точки зору неповернення боргів, низьким рівнем ліквідності, платоспроможності (фінансової стійкості), ділової активності, а також збитковою діяльністю).</w:t>
      </w:r>
    </w:p>
    <w:p w:rsidR="002769BF" w:rsidRPr="00242020" w:rsidRDefault="002769BF" w:rsidP="00102753">
      <w:pPr>
        <w:widowControl/>
        <w:jc w:val="both"/>
        <w:rPr>
          <w:rFonts w:eastAsia="Times-Roman" w:cs="Times New Roman"/>
          <w:szCs w:val="28"/>
          <w:lang w:eastAsia="ru-RU"/>
        </w:rPr>
      </w:pPr>
      <w:r w:rsidRPr="00242020">
        <w:rPr>
          <w:rFonts w:eastAsia="Times-Roman" w:cs="Times New Roman"/>
          <w:szCs w:val="28"/>
          <w:lang w:eastAsia="ru-RU"/>
        </w:rPr>
        <w:t>Відповідно до пункту 2 постанови Кабінету Міністрів України від 12 травня 2015 року № 271 «Про проведення прозорої та конкурентної приватизації у 2015 – 2017 роках» (із змінами) (далі – постанова Кабінету Міністрів України від 12 травня 2015 року № 271) Фонду визначено завдання забезпечити виставлення на продаж об’єктів, включених до переліків</w:t>
      </w:r>
      <w:r w:rsidRPr="00242020">
        <w:rPr>
          <w:rFonts w:eastAsia="Times New Roman" w:cs="Times New Roman"/>
          <w:szCs w:val="28"/>
          <w:lang w:eastAsia="ru-RU"/>
        </w:rPr>
        <w:t xml:space="preserve"> о</w:t>
      </w:r>
      <w:r w:rsidRPr="00242020">
        <w:rPr>
          <w:rFonts w:eastAsia="Times-Roman" w:cs="Times New Roman"/>
          <w:szCs w:val="28"/>
          <w:lang w:eastAsia="ru-RU"/>
        </w:rPr>
        <w:t>б’єктів державної власності, що підлягають приватизації, затверджених цією постановою.</w:t>
      </w:r>
    </w:p>
    <w:p w:rsidR="002769BF" w:rsidRPr="00242020" w:rsidRDefault="002769BF" w:rsidP="00102753">
      <w:pPr>
        <w:widowControl/>
        <w:jc w:val="both"/>
        <w:rPr>
          <w:rFonts w:eastAsia="Times-Roman" w:cs="Times New Roman"/>
          <w:szCs w:val="28"/>
          <w:lang w:eastAsia="ru-RU"/>
        </w:rPr>
      </w:pPr>
      <w:r w:rsidRPr="00242020">
        <w:rPr>
          <w:rFonts w:eastAsia="Times-Roman" w:cs="Times New Roman"/>
          <w:szCs w:val="28"/>
          <w:lang w:eastAsia="ru-RU"/>
        </w:rPr>
        <w:t xml:space="preserve">Протягом звітного періоду проводилася системна робота з регіональними відділеннями Фонду та уповноваженими органами управління, зокрема з </w:t>
      </w:r>
      <w:proofErr w:type="spellStart"/>
      <w:r w:rsidRPr="00242020">
        <w:rPr>
          <w:rFonts w:eastAsia="Times-Roman" w:cs="Times New Roman"/>
          <w:szCs w:val="28"/>
          <w:lang w:eastAsia="ru-RU"/>
        </w:rPr>
        <w:t>Мінекономрозвитку</w:t>
      </w:r>
      <w:proofErr w:type="spellEnd"/>
      <w:r w:rsidRPr="00242020">
        <w:rPr>
          <w:rFonts w:eastAsia="Times-Roman" w:cs="Times New Roman"/>
          <w:szCs w:val="28"/>
          <w:lang w:eastAsia="ru-RU"/>
        </w:rPr>
        <w:t xml:space="preserve">, </w:t>
      </w:r>
      <w:proofErr w:type="spellStart"/>
      <w:r w:rsidRPr="00242020">
        <w:rPr>
          <w:rFonts w:eastAsia="Times-Roman" w:cs="Times New Roman"/>
          <w:szCs w:val="28"/>
          <w:lang w:eastAsia="ru-RU"/>
        </w:rPr>
        <w:t>Міненерговугілля</w:t>
      </w:r>
      <w:proofErr w:type="spellEnd"/>
      <w:r w:rsidRPr="00242020">
        <w:rPr>
          <w:rFonts w:eastAsia="Times-Roman" w:cs="Times New Roman"/>
          <w:szCs w:val="28"/>
          <w:lang w:eastAsia="ru-RU"/>
        </w:rPr>
        <w:t xml:space="preserve">, </w:t>
      </w:r>
      <w:proofErr w:type="spellStart"/>
      <w:r w:rsidRPr="00242020">
        <w:rPr>
          <w:rFonts w:eastAsia="Times-Roman" w:cs="Times New Roman"/>
          <w:szCs w:val="28"/>
          <w:lang w:eastAsia="ru-RU"/>
        </w:rPr>
        <w:t>Мінінфраструктури</w:t>
      </w:r>
      <w:proofErr w:type="spellEnd"/>
      <w:r w:rsidRPr="00242020">
        <w:rPr>
          <w:rFonts w:eastAsia="Times-Roman" w:cs="Times New Roman"/>
          <w:szCs w:val="28"/>
          <w:lang w:eastAsia="ru-RU"/>
        </w:rPr>
        <w:t xml:space="preserve">, </w:t>
      </w:r>
      <w:proofErr w:type="spellStart"/>
      <w:r w:rsidRPr="00242020">
        <w:rPr>
          <w:rFonts w:eastAsia="Times-Roman" w:cs="Times New Roman"/>
          <w:szCs w:val="28"/>
          <w:lang w:eastAsia="ru-RU"/>
        </w:rPr>
        <w:t>Мінагрополітики</w:t>
      </w:r>
      <w:proofErr w:type="spellEnd"/>
      <w:r w:rsidRPr="00242020">
        <w:rPr>
          <w:rFonts w:eastAsia="Times-Roman" w:cs="Times New Roman"/>
          <w:szCs w:val="28"/>
          <w:lang w:eastAsia="ru-RU"/>
        </w:rPr>
        <w:t xml:space="preserve">, </w:t>
      </w:r>
      <w:proofErr w:type="spellStart"/>
      <w:r w:rsidRPr="00242020">
        <w:rPr>
          <w:rFonts w:eastAsia="Times-Roman" w:cs="Times New Roman"/>
          <w:szCs w:val="28"/>
          <w:lang w:eastAsia="ru-RU"/>
        </w:rPr>
        <w:t>Держрибагентством</w:t>
      </w:r>
      <w:proofErr w:type="spellEnd"/>
      <w:r w:rsidR="00443208">
        <w:rPr>
          <w:rFonts w:eastAsia="Times-Roman" w:cs="Times New Roman"/>
          <w:szCs w:val="28"/>
          <w:lang w:eastAsia="ru-RU"/>
        </w:rPr>
        <w:t>,</w:t>
      </w:r>
      <w:r w:rsidRPr="00242020">
        <w:rPr>
          <w:rFonts w:eastAsia="Times-Roman" w:cs="Times New Roman"/>
          <w:szCs w:val="28"/>
          <w:lang w:eastAsia="ru-RU"/>
        </w:rPr>
        <w:t xml:space="preserve"> з метою забезпечення проведення </w:t>
      </w:r>
      <w:proofErr w:type="spellStart"/>
      <w:r w:rsidRPr="00242020">
        <w:rPr>
          <w:rFonts w:eastAsia="Times-Roman" w:cs="Times New Roman"/>
          <w:szCs w:val="28"/>
          <w:lang w:eastAsia="ru-RU"/>
        </w:rPr>
        <w:t>передприватизаційної</w:t>
      </w:r>
      <w:proofErr w:type="spellEnd"/>
      <w:r w:rsidRPr="00242020">
        <w:rPr>
          <w:rFonts w:eastAsia="Times-Roman" w:cs="Times New Roman"/>
          <w:szCs w:val="28"/>
          <w:lang w:eastAsia="ru-RU"/>
        </w:rPr>
        <w:t xml:space="preserve"> підготовки підприємств, прийняття рішення про приватизацію підприємств та передачі у встановленому порядку державним органам приватизації об’єктів, щодо яких прийнято рішення про приватизацію.</w:t>
      </w:r>
    </w:p>
    <w:p w:rsidR="002769BF" w:rsidRPr="00242020" w:rsidRDefault="002769BF" w:rsidP="00102753">
      <w:pPr>
        <w:jc w:val="both"/>
        <w:rPr>
          <w:rFonts w:eastAsia="Times-Roman" w:cs="Times New Roman"/>
          <w:szCs w:val="28"/>
          <w:lang w:eastAsia="ru-RU"/>
        </w:rPr>
      </w:pPr>
      <w:r w:rsidRPr="00242020">
        <w:rPr>
          <w:rFonts w:eastAsia="Times-Roman" w:cs="Times New Roman"/>
          <w:szCs w:val="28"/>
          <w:lang w:eastAsia="ru-RU"/>
        </w:rPr>
        <w:t xml:space="preserve">Згідно з пунктом 4 постанови Кабінету Міністрів України від 12 травня 2015 року № 271 уповноваженим органам управління державним майном доручено забезпечити здійснення у випадках, передбачених законодавством, </w:t>
      </w:r>
      <w:proofErr w:type="spellStart"/>
      <w:r w:rsidRPr="00242020">
        <w:rPr>
          <w:rFonts w:eastAsia="Times-Roman" w:cs="Times New Roman"/>
          <w:szCs w:val="28"/>
          <w:lang w:eastAsia="ru-RU"/>
        </w:rPr>
        <w:t>передприватизаційної</w:t>
      </w:r>
      <w:proofErr w:type="spellEnd"/>
      <w:r w:rsidRPr="00242020">
        <w:rPr>
          <w:rFonts w:eastAsia="Times-Roman" w:cs="Times New Roman"/>
          <w:szCs w:val="28"/>
          <w:lang w:eastAsia="ru-RU"/>
        </w:rPr>
        <w:t xml:space="preserve"> підготовки об’єктів, включених до переліків</w:t>
      </w:r>
      <w:r w:rsidRPr="00242020">
        <w:rPr>
          <w:rFonts w:eastAsia="Times New Roman" w:cs="Times New Roman"/>
          <w:szCs w:val="28"/>
          <w:lang w:eastAsia="ru-RU"/>
        </w:rPr>
        <w:t xml:space="preserve"> о</w:t>
      </w:r>
      <w:r w:rsidRPr="00242020">
        <w:rPr>
          <w:rFonts w:eastAsia="Times-Roman" w:cs="Times New Roman"/>
          <w:szCs w:val="28"/>
          <w:lang w:eastAsia="ru-RU"/>
        </w:rPr>
        <w:t xml:space="preserve">б’єктів </w:t>
      </w:r>
      <w:r w:rsidRPr="00242020">
        <w:rPr>
          <w:rFonts w:eastAsia="Times-Roman" w:cs="Times New Roman"/>
          <w:szCs w:val="28"/>
          <w:lang w:eastAsia="ru-RU"/>
        </w:rPr>
        <w:lastRenderedPageBreak/>
        <w:t>державної власності, що підлягають приватизації, та передати в установленому порядку Фонду функції з управління ними.</w:t>
      </w:r>
    </w:p>
    <w:p w:rsidR="002769BF" w:rsidRPr="00242020" w:rsidRDefault="002769BF" w:rsidP="00102753">
      <w:pPr>
        <w:jc w:val="both"/>
        <w:rPr>
          <w:rFonts w:eastAsia="Times-Roman" w:cs="Times New Roman"/>
          <w:szCs w:val="28"/>
          <w:lang w:eastAsia="ru-RU"/>
        </w:rPr>
      </w:pPr>
      <w:r w:rsidRPr="00242020">
        <w:rPr>
          <w:rFonts w:eastAsia="Times-Roman" w:cs="Times New Roman"/>
          <w:szCs w:val="28"/>
          <w:lang w:eastAsia="ru-RU"/>
        </w:rPr>
        <w:t xml:space="preserve">Для забезпечення виконання зазначеної постанови Фонд систематично співпрацював з Міністерством економічного розвитку і торгівлі України (далі – </w:t>
      </w:r>
      <w:proofErr w:type="spellStart"/>
      <w:r w:rsidRPr="00242020">
        <w:rPr>
          <w:rFonts w:eastAsia="Times-Roman" w:cs="Times New Roman"/>
          <w:szCs w:val="28"/>
          <w:lang w:eastAsia="ru-RU"/>
        </w:rPr>
        <w:t>Мінекономрозвитку</w:t>
      </w:r>
      <w:proofErr w:type="spellEnd"/>
      <w:r w:rsidRPr="00242020">
        <w:rPr>
          <w:rFonts w:eastAsia="Times-Roman" w:cs="Times New Roman"/>
          <w:szCs w:val="28"/>
          <w:lang w:eastAsia="ru-RU"/>
        </w:rPr>
        <w:t xml:space="preserve">), до якого неодноразово звертався </w:t>
      </w:r>
      <w:r w:rsidR="00443208">
        <w:rPr>
          <w:rFonts w:eastAsia="Times-Roman" w:cs="Times New Roman"/>
          <w:szCs w:val="28"/>
          <w:lang w:eastAsia="ru-RU"/>
        </w:rPr>
        <w:t>стосовно</w:t>
      </w:r>
      <w:r w:rsidRPr="00242020">
        <w:rPr>
          <w:rFonts w:eastAsia="Times-Roman" w:cs="Times New Roman"/>
          <w:szCs w:val="28"/>
          <w:lang w:eastAsia="ru-RU"/>
        </w:rPr>
        <w:t xml:space="preserve"> прискорення заходів з проведення </w:t>
      </w:r>
      <w:proofErr w:type="spellStart"/>
      <w:r w:rsidRPr="00242020">
        <w:rPr>
          <w:rFonts w:eastAsia="Times-Roman" w:cs="Times New Roman"/>
          <w:szCs w:val="28"/>
          <w:lang w:eastAsia="ru-RU"/>
        </w:rPr>
        <w:t>передприватизаційної</w:t>
      </w:r>
      <w:proofErr w:type="spellEnd"/>
      <w:r w:rsidRPr="00242020">
        <w:rPr>
          <w:rFonts w:eastAsia="Times-Roman" w:cs="Times New Roman"/>
          <w:szCs w:val="28"/>
          <w:lang w:eastAsia="ru-RU"/>
        </w:rPr>
        <w:t xml:space="preserve"> підготовки підприємств, віднесених до сфери його управління.</w:t>
      </w:r>
    </w:p>
    <w:p w:rsidR="002769BF" w:rsidRPr="00242020" w:rsidRDefault="002769BF" w:rsidP="00102753">
      <w:pPr>
        <w:jc w:val="both"/>
        <w:rPr>
          <w:rFonts w:eastAsia="Times-Roman" w:cs="Times New Roman"/>
          <w:szCs w:val="28"/>
          <w:lang w:eastAsia="ru-RU"/>
        </w:rPr>
      </w:pPr>
      <w:r w:rsidRPr="00242020">
        <w:rPr>
          <w:rFonts w:eastAsia="Times-Roman" w:cs="Times New Roman"/>
          <w:szCs w:val="28"/>
          <w:lang w:eastAsia="ru-RU"/>
        </w:rPr>
        <w:t xml:space="preserve">Так, протягом звітного періоду за ініціативою Фонду проведено низку узгоджувальних нарад за участю представників </w:t>
      </w:r>
      <w:proofErr w:type="spellStart"/>
      <w:r w:rsidRPr="00242020">
        <w:rPr>
          <w:rFonts w:eastAsia="Times-Roman" w:cs="Times New Roman"/>
          <w:szCs w:val="28"/>
          <w:lang w:eastAsia="ru-RU"/>
        </w:rPr>
        <w:t>Мінекономрозвитку</w:t>
      </w:r>
      <w:proofErr w:type="spellEnd"/>
      <w:r w:rsidRPr="00242020">
        <w:rPr>
          <w:rFonts w:eastAsia="Times-Roman" w:cs="Times New Roman"/>
          <w:szCs w:val="28"/>
          <w:lang w:eastAsia="ru-RU"/>
        </w:rPr>
        <w:t xml:space="preserve">, на яких обговорювалися питання проведення </w:t>
      </w:r>
      <w:proofErr w:type="spellStart"/>
      <w:r w:rsidRPr="00242020">
        <w:rPr>
          <w:rFonts w:eastAsia="Times-Roman" w:cs="Times New Roman"/>
          <w:szCs w:val="28"/>
          <w:lang w:eastAsia="ru-RU"/>
        </w:rPr>
        <w:t>передприватизаційної</w:t>
      </w:r>
      <w:proofErr w:type="spellEnd"/>
      <w:r w:rsidRPr="00242020">
        <w:rPr>
          <w:rFonts w:eastAsia="Times-Roman" w:cs="Times New Roman"/>
          <w:szCs w:val="28"/>
          <w:lang w:eastAsia="ru-RU"/>
        </w:rPr>
        <w:t xml:space="preserve"> підготовки таких державних підприємств: «Державне науково-виробниче підприємство «Електронмаш», «Дніпропетровський науково-виробничий комплекс «Електровозобудування», «Запорізький конструкторсько-технологічний інститут сільськогосподарського машинобудування», «Державний інститут по проектуванню промислових підприємств», «Державний український науково-дослідний інститут фарфоро-фаянсової промисловості», «Харківський науково-дослідний інститут технології машинобудування».</w:t>
      </w:r>
    </w:p>
    <w:p w:rsidR="002769BF" w:rsidRPr="00242020" w:rsidRDefault="002769BF" w:rsidP="00102753">
      <w:pPr>
        <w:widowControl/>
        <w:jc w:val="both"/>
        <w:rPr>
          <w:rFonts w:eastAsia="Times-Roman" w:cs="Times New Roman"/>
          <w:szCs w:val="28"/>
          <w:lang w:eastAsia="ru-RU"/>
        </w:rPr>
      </w:pPr>
      <w:r w:rsidRPr="00242020">
        <w:rPr>
          <w:rFonts w:eastAsia="Times-Roman" w:cs="Times New Roman"/>
          <w:szCs w:val="28"/>
          <w:lang w:eastAsia="ru-RU"/>
        </w:rPr>
        <w:t xml:space="preserve">Представників Фонду було включено до складу створених </w:t>
      </w:r>
      <w:proofErr w:type="spellStart"/>
      <w:r w:rsidRPr="00242020">
        <w:rPr>
          <w:rFonts w:eastAsia="Times-Roman" w:cs="Times New Roman"/>
          <w:szCs w:val="28"/>
          <w:lang w:eastAsia="ru-RU"/>
        </w:rPr>
        <w:t>Мінекономрозвитку</w:t>
      </w:r>
      <w:proofErr w:type="spellEnd"/>
      <w:r w:rsidRPr="00242020">
        <w:rPr>
          <w:rFonts w:eastAsia="Times-Roman" w:cs="Times New Roman"/>
          <w:szCs w:val="28"/>
          <w:lang w:eastAsia="ru-RU"/>
        </w:rPr>
        <w:t xml:space="preserve"> робочих груп з розроблення проектів </w:t>
      </w:r>
      <w:proofErr w:type="spellStart"/>
      <w:r w:rsidRPr="00242020">
        <w:rPr>
          <w:rFonts w:eastAsia="Times-Roman" w:cs="Times New Roman"/>
          <w:szCs w:val="28"/>
          <w:lang w:eastAsia="ru-RU"/>
        </w:rPr>
        <w:t>передприватизаційної</w:t>
      </w:r>
      <w:proofErr w:type="spellEnd"/>
      <w:r w:rsidRPr="00242020">
        <w:rPr>
          <w:rFonts w:eastAsia="Times-Roman" w:cs="Times New Roman"/>
          <w:szCs w:val="28"/>
          <w:lang w:eastAsia="ru-RU"/>
        </w:rPr>
        <w:t xml:space="preserve"> підготовки таких державних підприємств груп В, Г: «Державний інститут по проектуванню промислових підприємств», «Державне науково-виробниче підприємство «Електронмаш», «Дніпропетровський науково-виробничий комплекс «Електровозобудування». На засіданнях робочих груп Фондом надано свої зауваження і пропозиції до проектів </w:t>
      </w:r>
      <w:proofErr w:type="spellStart"/>
      <w:r w:rsidRPr="00242020">
        <w:rPr>
          <w:rFonts w:eastAsia="Times-Roman" w:cs="Times New Roman"/>
          <w:szCs w:val="28"/>
          <w:lang w:eastAsia="ru-RU"/>
        </w:rPr>
        <w:t>передприватизаційної</w:t>
      </w:r>
      <w:proofErr w:type="spellEnd"/>
      <w:r w:rsidRPr="00242020">
        <w:rPr>
          <w:rFonts w:eastAsia="Times-Roman" w:cs="Times New Roman"/>
          <w:szCs w:val="28"/>
          <w:lang w:eastAsia="ru-RU"/>
        </w:rPr>
        <w:t xml:space="preserve"> підготовки зазначених підприємств та проводилася робота щодо їх доопрацювання. </w:t>
      </w:r>
    </w:p>
    <w:p w:rsidR="002769BF" w:rsidRPr="00242020" w:rsidRDefault="002769BF" w:rsidP="00102753">
      <w:pPr>
        <w:jc w:val="both"/>
        <w:rPr>
          <w:rFonts w:eastAsia="Times-Roman" w:cs="Times New Roman"/>
          <w:szCs w:val="28"/>
          <w:lang w:eastAsia="ru-RU"/>
        </w:rPr>
      </w:pPr>
      <w:r w:rsidRPr="00242020">
        <w:rPr>
          <w:rFonts w:eastAsia="Times-Roman" w:cs="Times New Roman"/>
          <w:szCs w:val="28"/>
          <w:lang w:eastAsia="ru-RU"/>
        </w:rPr>
        <w:t xml:space="preserve">У вересні 2016 року Фонд звернувся до </w:t>
      </w:r>
      <w:proofErr w:type="spellStart"/>
      <w:r w:rsidRPr="00242020">
        <w:rPr>
          <w:rFonts w:eastAsia="Times-Roman" w:cs="Times New Roman"/>
          <w:szCs w:val="28"/>
          <w:lang w:eastAsia="ru-RU"/>
        </w:rPr>
        <w:t>Мінекономрозвитку</w:t>
      </w:r>
      <w:proofErr w:type="spellEnd"/>
      <w:r w:rsidRPr="00242020">
        <w:rPr>
          <w:rFonts w:eastAsia="Times-Roman" w:cs="Times New Roman"/>
          <w:szCs w:val="28"/>
          <w:lang w:eastAsia="ru-RU"/>
        </w:rPr>
        <w:t xml:space="preserve"> </w:t>
      </w:r>
      <w:r w:rsidR="00443208">
        <w:rPr>
          <w:rFonts w:eastAsia="Times-Roman" w:cs="Times New Roman"/>
          <w:szCs w:val="28"/>
          <w:lang w:eastAsia="ru-RU"/>
        </w:rPr>
        <w:t>стосовно</w:t>
      </w:r>
      <w:r w:rsidRPr="00242020">
        <w:rPr>
          <w:rFonts w:eastAsia="Times-Roman" w:cs="Times New Roman"/>
          <w:szCs w:val="28"/>
          <w:lang w:eastAsia="ru-RU"/>
        </w:rPr>
        <w:t xml:space="preserve"> прискорення завершення заходів стосовно підприємств, питання щодо </w:t>
      </w:r>
      <w:proofErr w:type="spellStart"/>
      <w:r w:rsidRPr="00242020">
        <w:rPr>
          <w:rFonts w:eastAsia="Times-Roman" w:cs="Times New Roman"/>
          <w:szCs w:val="28"/>
          <w:lang w:eastAsia="ru-RU"/>
        </w:rPr>
        <w:t>передприватизаційної</w:t>
      </w:r>
      <w:proofErr w:type="spellEnd"/>
      <w:r w:rsidRPr="00242020">
        <w:rPr>
          <w:rFonts w:eastAsia="Times-Roman" w:cs="Times New Roman"/>
          <w:szCs w:val="28"/>
          <w:lang w:eastAsia="ru-RU"/>
        </w:rPr>
        <w:t xml:space="preserve"> підготовки яких опрацьовувалися у 2015 – 2016 роках та які підлягали такій підготовці, проте розроблені проекти так і не було подано до Фонду для погодження</w:t>
      </w:r>
      <w:r w:rsidRPr="00242020">
        <w:rPr>
          <w:rFonts w:eastAsia="Times-Roman" w:cs="Times New Roman"/>
          <w:color w:val="FF0000"/>
          <w:szCs w:val="28"/>
          <w:lang w:eastAsia="ru-RU"/>
        </w:rPr>
        <w:t xml:space="preserve"> </w:t>
      </w:r>
      <w:r w:rsidRPr="00242020">
        <w:rPr>
          <w:rFonts w:eastAsia="Times-Roman" w:cs="Times New Roman"/>
          <w:szCs w:val="28"/>
          <w:lang w:eastAsia="ru-RU"/>
        </w:rPr>
        <w:t>в установленому порядку.</w:t>
      </w:r>
    </w:p>
    <w:p w:rsidR="002769BF" w:rsidRPr="00242020" w:rsidRDefault="002769BF" w:rsidP="00102753">
      <w:pPr>
        <w:jc w:val="both"/>
        <w:rPr>
          <w:rFonts w:eastAsia="Times-Roman" w:cs="Times New Roman"/>
          <w:szCs w:val="28"/>
          <w:lang w:eastAsia="ru-RU"/>
        </w:rPr>
      </w:pPr>
      <w:r w:rsidRPr="00242020">
        <w:rPr>
          <w:rFonts w:eastAsia="Times-Roman" w:cs="Times New Roman"/>
          <w:szCs w:val="28"/>
          <w:lang w:eastAsia="ru-RU"/>
        </w:rPr>
        <w:t xml:space="preserve">Для забезпечення виконання постанови Кабінету Міністрів України від 12 травня 2015 року № 271 Фондом підготовлено та затверджено наказом від 22 січня 2016 року № 106 перелік об’єктів груп В, Г, які підлягають підготовці до продажу в 2016 році, до якого включено 167 об’єктів груп В, Г, з яких 149 об’єктів групи В та 18 об’єктів групи Г. </w:t>
      </w:r>
    </w:p>
    <w:p w:rsidR="002769BF" w:rsidRPr="00242020" w:rsidRDefault="002769BF" w:rsidP="00102753">
      <w:pPr>
        <w:jc w:val="both"/>
        <w:rPr>
          <w:rFonts w:eastAsia="Times-Roman" w:cs="Times New Roman"/>
          <w:szCs w:val="28"/>
          <w:lang w:eastAsia="ru-RU"/>
        </w:rPr>
      </w:pPr>
      <w:r w:rsidRPr="00242020">
        <w:rPr>
          <w:rFonts w:eastAsia="Times-Roman" w:cs="Times New Roman"/>
          <w:szCs w:val="28"/>
          <w:lang w:eastAsia="ru-RU"/>
        </w:rPr>
        <w:t xml:space="preserve">У зв’язку з прийняттям постанови Кабінету Міністрів України від 31 серпня 2016 року № 588 «Про внесення змін до постанови Кабінету Міністрів України від 12 травня 2015 року № 271» Фондом підготовлено та затверджено наказом від 05 жовтня 2016 року № 1832 (із змінами) оновлений перелік об’єктів груп В, Г, які підлягають підготовці до продажу в 2016 році, до якого включено 115 об’єктів груп В, Г, з яких 110 об’єктів групи В та 5 об’єктів групи Г. </w:t>
      </w:r>
    </w:p>
    <w:p w:rsidR="002769BF" w:rsidRPr="00242020" w:rsidRDefault="002769BF" w:rsidP="00102753">
      <w:pPr>
        <w:jc w:val="both"/>
        <w:rPr>
          <w:rFonts w:eastAsia="Times-Roman" w:cs="Times New Roman"/>
          <w:szCs w:val="28"/>
          <w:lang w:eastAsia="ru-RU"/>
        </w:rPr>
      </w:pPr>
      <w:r w:rsidRPr="00242020">
        <w:rPr>
          <w:rFonts w:eastAsia="Times-Roman" w:cs="Times New Roman"/>
          <w:szCs w:val="28"/>
          <w:lang w:eastAsia="ru-RU"/>
        </w:rPr>
        <w:t>Крім того</w:t>
      </w:r>
      <w:r w:rsidR="00F8752E">
        <w:rPr>
          <w:rFonts w:eastAsia="Times-Roman" w:cs="Times New Roman"/>
          <w:szCs w:val="28"/>
          <w:lang w:eastAsia="ru-RU"/>
        </w:rPr>
        <w:t>,</w:t>
      </w:r>
      <w:r w:rsidRPr="00242020">
        <w:rPr>
          <w:rFonts w:eastAsia="Times-Roman" w:cs="Times New Roman"/>
          <w:szCs w:val="28"/>
          <w:lang w:eastAsia="ru-RU"/>
        </w:rPr>
        <w:t xml:space="preserve"> підготовку до продажу 27 об’єктів групи Г та 53</w:t>
      </w:r>
      <w:r w:rsidRPr="00242020">
        <w:rPr>
          <w:rFonts w:eastAsia="Times-Roman" w:cs="Times New Roman"/>
          <w:color w:val="FF0000"/>
          <w:szCs w:val="28"/>
          <w:lang w:eastAsia="ru-RU"/>
        </w:rPr>
        <w:t xml:space="preserve"> </w:t>
      </w:r>
      <w:r w:rsidRPr="00242020">
        <w:rPr>
          <w:rFonts w:eastAsia="Times-Roman" w:cs="Times New Roman"/>
          <w:szCs w:val="28"/>
          <w:lang w:eastAsia="ru-RU"/>
        </w:rPr>
        <w:t xml:space="preserve">об’єктів групи В можливо розпочати після їх виключення з переліку об’єктів права державної </w:t>
      </w:r>
      <w:r w:rsidRPr="00242020">
        <w:rPr>
          <w:rFonts w:eastAsia="Times-Roman" w:cs="Times New Roman"/>
          <w:szCs w:val="28"/>
          <w:lang w:eastAsia="ru-RU"/>
        </w:rPr>
        <w:lastRenderedPageBreak/>
        <w:t>власності, що не підлягають приватизації.</w:t>
      </w:r>
    </w:p>
    <w:p w:rsidR="002769BF" w:rsidRPr="00242020" w:rsidRDefault="002769BF" w:rsidP="00102753">
      <w:pPr>
        <w:jc w:val="both"/>
        <w:rPr>
          <w:rFonts w:eastAsia="Times New Roman" w:cs="Times New Roman"/>
          <w:szCs w:val="28"/>
          <w:lang w:eastAsia="ru-RU"/>
        </w:rPr>
      </w:pPr>
      <w:r w:rsidRPr="00242020">
        <w:rPr>
          <w:rFonts w:eastAsia="Times-Roman" w:cs="Times New Roman"/>
          <w:szCs w:val="28"/>
          <w:lang w:eastAsia="ru-RU"/>
        </w:rPr>
        <w:t>Станом на 31.12.2016 в управлінні Фонду перебувають 25 об’єктів груп В, Г, з яких 9 об’єктів – в управлінні Фонду, 16 – в управлінні регіональних</w:t>
      </w:r>
      <w:r w:rsidRPr="00242020">
        <w:rPr>
          <w:rFonts w:eastAsia="Times New Roman" w:cs="Times New Roman"/>
          <w:szCs w:val="28"/>
          <w:lang w:eastAsia="ru-RU"/>
        </w:rPr>
        <w:t xml:space="preserve"> відділень. </w:t>
      </w:r>
    </w:p>
    <w:p w:rsidR="002769BF" w:rsidRPr="00242020" w:rsidRDefault="002769BF" w:rsidP="00102753">
      <w:pPr>
        <w:jc w:val="both"/>
        <w:rPr>
          <w:rFonts w:eastAsia="Times New Roman" w:cs="Times New Roman"/>
          <w:szCs w:val="28"/>
          <w:lang w:eastAsia="ru-RU"/>
        </w:rPr>
      </w:pPr>
      <w:r w:rsidRPr="00242020">
        <w:rPr>
          <w:rFonts w:eastAsia="Times New Roman" w:cs="Times New Roman"/>
          <w:szCs w:val="28"/>
          <w:lang w:eastAsia="ru-RU"/>
        </w:rPr>
        <w:t>Відповідно до заходів щодо виконання Указу Президента України від 19 березня 2002 року № 267 «Про організаційні заходи з підготовки об’єктів права державної власності до приватизації», затверджених розпорядженням Кабінету Міністрів України від 26 квітня 2002 року № 224-р, Фонд звертався до уповноважених органів управління з проханням надати пропозиції щодо об’єктів державної власності, що підлягають приватизації у 2016 році. Відповіді отримано від 9 центральних органів виконавчої влади та 14 обласних державних адміністрацій, які надали пропозиції стосовно лише 3 об’єктів малої приватизації.</w:t>
      </w:r>
    </w:p>
    <w:p w:rsidR="002769BF" w:rsidRPr="00242020" w:rsidRDefault="002769BF" w:rsidP="00102753">
      <w:pPr>
        <w:jc w:val="both"/>
        <w:rPr>
          <w:rFonts w:eastAsia="Times-Roman" w:cs="Times New Roman"/>
          <w:szCs w:val="28"/>
          <w:lang w:eastAsia="ru-RU"/>
        </w:rPr>
      </w:pPr>
      <w:r w:rsidRPr="00242020">
        <w:rPr>
          <w:rFonts w:eastAsia="Times-Roman" w:cs="Times New Roman"/>
          <w:szCs w:val="28"/>
          <w:lang w:eastAsia="ru-RU"/>
        </w:rPr>
        <w:t>Згідно з додатком 1 до постанови Кабінету Міністрів України від 12 травня 2015 року № 271 (у редакції постанови від 31 серпня 2016 року № 588, із змінами) уповноважені органи управління повинні були передати Фонду 15</w:t>
      </w:r>
      <w:r w:rsidR="00F8752E">
        <w:rPr>
          <w:rFonts w:eastAsia="Times-Roman" w:cs="Times New Roman"/>
          <w:szCs w:val="28"/>
          <w:lang w:eastAsia="ru-RU"/>
        </w:rPr>
        <w:t>4</w:t>
      </w:r>
      <w:r w:rsidRPr="00242020">
        <w:rPr>
          <w:rFonts w:eastAsia="Times-Roman" w:cs="Times New Roman"/>
          <w:szCs w:val="28"/>
          <w:lang w:eastAsia="ru-RU"/>
        </w:rPr>
        <w:t xml:space="preserve"> об’єкт</w:t>
      </w:r>
      <w:r w:rsidR="00F8752E">
        <w:rPr>
          <w:rFonts w:eastAsia="Times-Roman" w:cs="Times New Roman"/>
          <w:szCs w:val="28"/>
          <w:lang w:eastAsia="ru-RU"/>
        </w:rPr>
        <w:t>и</w:t>
      </w:r>
      <w:r w:rsidRPr="00242020">
        <w:rPr>
          <w:rFonts w:eastAsia="Times-Roman" w:cs="Times New Roman"/>
          <w:szCs w:val="28"/>
          <w:lang w:eastAsia="ru-RU"/>
        </w:rPr>
        <w:t xml:space="preserve">, з яких 94 об’єкти груп В, Г для приватизації. </w:t>
      </w:r>
    </w:p>
    <w:p w:rsidR="002769BF" w:rsidRPr="00242020" w:rsidRDefault="002769BF" w:rsidP="00102753">
      <w:pPr>
        <w:jc w:val="both"/>
        <w:rPr>
          <w:rFonts w:eastAsia="Times New Roman" w:cs="Times New Roman"/>
          <w:szCs w:val="28"/>
          <w:lang w:eastAsia="ru-RU"/>
        </w:rPr>
      </w:pPr>
      <w:r w:rsidRPr="00242020">
        <w:rPr>
          <w:rFonts w:eastAsia="Times New Roman" w:cs="Times New Roman"/>
          <w:szCs w:val="28"/>
          <w:lang w:eastAsia="ru-RU"/>
        </w:rPr>
        <w:t>Регіональними відділеннями Фонду в 2016 році було видано 11 наказів про прийняття рішень про приватизацію,</w:t>
      </w:r>
      <w:r w:rsidRPr="00242020">
        <w:rPr>
          <w:rFonts w:eastAsia="Times New Roman" w:cs="Times New Roman"/>
          <w:sz w:val="24"/>
          <w:szCs w:val="24"/>
          <w:lang w:eastAsia="ru-RU"/>
        </w:rPr>
        <w:t xml:space="preserve"> </w:t>
      </w:r>
      <w:r w:rsidRPr="00242020">
        <w:rPr>
          <w:rFonts w:eastAsia="Times New Roman" w:cs="Times New Roman"/>
          <w:szCs w:val="28"/>
          <w:lang w:eastAsia="ru-RU"/>
        </w:rPr>
        <w:t>з них 1 наказ – на підставі рішення Уряду.</w:t>
      </w:r>
    </w:p>
    <w:p w:rsidR="002769BF" w:rsidRPr="00242020" w:rsidRDefault="002769BF" w:rsidP="00102753">
      <w:pPr>
        <w:jc w:val="both"/>
        <w:rPr>
          <w:rFonts w:eastAsia="Times New Roman" w:cs="Times New Roman"/>
          <w:szCs w:val="28"/>
          <w:lang w:eastAsia="ru-RU"/>
        </w:rPr>
      </w:pPr>
      <w:r w:rsidRPr="00242020">
        <w:rPr>
          <w:rFonts w:eastAsia="Times New Roman" w:cs="Times New Roman"/>
          <w:szCs w:val="28"/>
          <w:lang w:eastAsia="ru-RU"/>
        </w:rPr>
        <w:t>Уповноваженими органами управління з метою приватизації протягом звітного періоду передано регіональним відділенням Фонду 5 об’єктів.</w:t>
      </w:r>
    </w:p>
    <w:p w:rsidR="002769BF" w:rsidRPr="00242020" w:rsidRDefault="002769BF" w:rsidP="00102753">
      <w:pPr>
        <w:jc w:val="both"/>
        <w:rPr>
          <w:rFonts w:eastAsia="Times-Roman" w:cs="Times New Roman"/>
          <w:szCs w:val="28"/>
          <w:lang w:eastAsia="ru-RU"/>
        </w:rPr>
      </w:pPr>
      <w:r w:rsidRPr="00242020">
        <w:rPr>
          <w:rFonts w:eastAsia="Times New Roman" w:cs="Times New Roman"/>
          <w:szCs w:val="28"/>
          <w:lang w:eastAsia="ru-RU"/>
        </w:rPr>
        <w:t xml:space="preserve">Регіональними відділеннями Фонду в 2016 році затверджено плани </w:t>
      </w:r>
      <w:r w:rsidRPr="00242020">
        <w:rPr>
          <w:rFonts w:eastAsia="Times-Roman" w:cs="Times New Roman"/>
          <w:szCs w:val="28"/>
          <w:lang w:eastAsia="ru-RU"/>
        </w:rPr>
        <w:t xml:space="preserve">приватизації 3 державних підприємств </w:t>
      </w:r>
      <w:r w:rsidRPr="00242020">
        <w:rPr>
          <w:rFonts w:eastAsia="Times New Roman" w:cs="Times New Roman"/>
          <w:szCs w:val="28"/>
          <w:lang w:eastAsia="ru-RU"/>
        </w:rPr>
        <w:t>агропромислового комплексу</w:t>
      </w:r>
      <w:r w:rsidRPr="00242020">
        <w:rPr>
          <w:rFonts w:eastAsia="Times-Roman" w:cs="Times New Roman"/>
          <w:szCs w:val="28"/>
          <w:lang w:eastAsia="ru-RU"/>
        </w:rPr>
        <w:t>.</w:t>
      </w:r>
    </w:p>
    <w:p w:rsidR="002769BF" w:rsidRPr="00242020" w:rsidRDefault="002769BF" w:rsidP="00102753">
      <w:pPr>
        <w:jc w:val="both"/>
        <w:rPr>
          <w:rFonts w:eastAsia="Times-Roman" w:cs="Times New Roman"/>
          <w:szCs w:val="28"/>
          <w:lang w:eastAsia="ru-RU"/>
        </w:rPr>
      </w:pPr>
      <w:r w:rsidRPr="00242020">
        <w:rPr>
          <w:rFonts w:eastAsia="Times-Roman" w:cs="Times New Roman"/>
          <w:szCs w:val="28"/>
          <w:lang w:eastAsia="ru-RU"/>
        </w:rPr>
        <w:t>Станом на 31.12.2016 Фонду передано функції з управління 1</w:t>
      </w:r>
      <w:r w:rsidR="00F8752E">
        <w:rPr>
          <w:rFonts w:eastAsia="Times-Roman" w:cs="Times New Roman"/>
          <w:szCs w:val="28"/>
          <w:lang w:eastAsia="ru-RU"/>
        </w:rPr>
        <w:t xml:space="preserve">4 </w:t>
      </w:r>
      <w:r w:rsidRPr="00242020">
        <w:rPr>
          <w:rFonts w:eastAsia="Times-Roman" w:cs="Times New Roman"/>
          <w:szCs w:val="28"/>
          <w:lang w:eastAsia="ru-RU"/>
        </w:rPr>
        <w:t xml:space="preserve">об’єктами, </w:t>
      </w:r>
      <w:r w:rsidR="00F8752E">
        <w:rPr>
          <w:rFonts w:eastAsia="Times-Roman" w:cs="Times New Roman"/>
          <w:szCs w:val="28"/>
          <w:lang w:eastAsia="ru-RU"/>
        </w:rPr>
        <w:t>7</w:t>
      </w:r>
      <w:r w:rsidRPr="00242020">
        <w:rPr>
          <w:rFonts w:eastAsia="Times-Roman" w:cs="Times New Roman"/>
          <w:szCs w:val="28"/>
          <w:lang w:eastAsia="ru-RU"/>
        </w:rPr>
        <w:t xml:space="preserve"> з яких належать до груп В, Г. </w:t>
      </w:r>
    </w:p>
    <w:p w:rsidR="002769BF" w:rsidRPr="00242020" w:rsidRDefault="002769BF" w:rsidP="00102753">
      <w:pPr>
        <w:shd w:val="clear" w:color="auto" w:fill="FFFFFF"/>
        <w:jc w:val="both"/>
        <w:rPr>
          <w:rFonts w:eastAsia="Times New Roman" w:cs="Times New Roman"/>
          <w:color w:val="000000"/>
          <w:szCs w:val="28"/>
          <w:lang w:eastAsia="ru-RU"/>
        </w:rPr>
      </w:pPr>
      <w:r w:rsidRPr="00242020">
        <w:rPr>
          <w:rFonts w:eastAsia="Times New Roman" w:cs="Times New Roman"/>
          <w:color w:val="000000"/>
          <w:szCs w:val="28"/>
          <w:lang w:eastAsia="ru-RU"/>
        </w:rPr>
        <w:t xml:space="preserve">Протягом </w:t>
      </w:r>
      <w:r w:rsidRPr="00242020">
        <w:rPr>
          <w:rFonts w:eastAsia="Times New Roman" w:cs="Times New Roman"/>
          <w:szCs w:val="28"/>
          <w:lang w:eastAsia="ru-RU"/>
        </w:rPr>
        <w:t xml:space="preserve">звітного періоду </w:t>
      </w:r>
      <w:r w:rsidRPr="00242020">
        <w:rPr>
          <w:rFonts w:eastAsia="Times New Roman" w:cs="Times New Roman"/>
          <w:color w:val="000000"/>
          <w:szCs w:val="28"/>
          <w:lang w:eastAsia="ru-RU"/>
        </w:rPr>
        <w:t xml:space="preserve">Фондом проводилася робота з державними </w:t>
      </w:r>
      <w:r w:rsidRPr="00242020">
        <w:rPr>
          <w:rFonts w:eastAsia="Times New Roman" w:cs="Times New Roman"/>
          <w:szCs w:val="28"/>
          <w:lang w:eastAsia="ru-RU"/>
        </w:rPr>
        <w:t>підприємствами (без урахування підприємств агропромислового комплексу),</w:t>
      </w:r>
      <w:r w:rsidRPr="00242020">
        <w:rPr>
          <w:rFonts w:eastAsia="Times New Roman" w:cs="Times New Roman"/>
          <w:color w:val="000000"/>
          <w:szCs w:val="28"/>
          <w:lang w:eastAsia="ru-RU"/>
        </w:rPr>
        <w:t xml:space="preserve"> які підлягали підготовці до продажу в 2016 році:</w:t>
      </w:r>
    </w:p>
    <w:p w:rsidR="002769BF" w:rsidRPr="00242020" w:rsidRDefault="002769BF" w:rsidP="00102753">
      <w:pPr>
        <w:widowControl/>
        <w:numPr>
          <w:ilvl w:val="0"/>
          <w:numId w:val="1"/>
        </w:numPr>
        <w:ind w:left="0" w:firstLine="709"/>
        <w:jc w:val="both"/>
        <w:rPr>
          <w:rFonts w:eastAsia="Times New Roman" w:cs="Times New Roman"/>
          <w:szCs w:val="28"/>
          <w:lang w:eastAsia="uk-UA"/>
        </w:rPr>
      </w:pPr>
      <w:r w:rsidRPr="00242020">
        <w:rPr>
          <w:rFonts w:eastAsia="Times New Roman" w:cs="Times New Roman"/>
          <w:szCs w:val="28"/>
          <w:lang w:eastAsia="ru-RU"/>
        </w:rPr>
        <w:t>Костянтинівським державним хімічним заводом;</w:t>
      </w:r>
    </w:p>
    <w:p w:rsidR="002769BF" w:rsidRPr="00242020" w:rsidRDefault="002769BF" w:rsidP="00102753">
      <w:pPr>
        <w:widowControl/>
        <w:numPr>
          <w:ilvl w:val="0"/>
          <w:numId w:val="1"/>
        </w:numPr>
        <w:ind w:left="0" w:firstLine="709"/>
        <w:jc w:val="both"/>
        <w:rPr>
          <w:rFonts w:eastAsia="Times New Roman" w:cs="Times New Roman"/>
          <w:szCs w:val="28"/>
          <w:lang w:eastAsia="uk-UA"/>
        </w:rPr>
      </w:pPr>
      <w:r w:rsidRPr="00242020">
        <w:rPr>
          <w:rFonts w:eastAsia="Times New Roman" w:cs="Times New Roman"/>
          <w:szCs w:val="28"/>
          <w:lang w:eastAsia="ru-RU"/>
        </w:rPr>
        <w:t>Криворізькою ТЕЦ;</w:t>
      </w:r>
    </w:p>
    <w:p w:rsidR="002769BF" w:rsidRPr="00242020" w:rsidRDefault="002769BF" w:rsidP="00102753">
      <w:pPr>
        <w:widowControl/>
        <w:numPr>
          <w:ilvl w:val="0"/>
          <w:numId w:val="1"/>
        </w:numPr>
        <w:ind w:left="1083" w:hanging="374"/>
        <w:jc w:val="both"/>
        <w:rPr>
          <w:rFonts w:eastAsia="Times New Roman" w:cs="Times New Roman"/>
          <w:szCs w:val="28"/>
          <w:lang w:eastAsia="uk-UA"/>
        </w:rPr>
      </w:pPr>
      <w:proofErr w:type="spellStart"/>
      <w:r w:rsidRPr="00242020">
        <w:rPr>
          <w:rFonts w:eastAsia="Times New Roman" w:cs="Times New Roman"/>
          <w:szCs w:val="28"/>
          <w:lang w:eastAsia="ru-RU"/>
        </w:rPr>
        <w:t>Сєвєродонецькою</w:t>
      </w:r>
      <w:proofErr w:type="spellEnd"/>
      <w:r w:rsidRPr="00242020">
        <w:rPr>
          <w:rFonts w:eastAsia="Times New Roman" w:cs="Times New Roman"/>
          <w:szCs w:val="28"/>
          <w:lang w:eastAsia="ru-RU"/>
        </w:rPr>
        <w:t xml:space="preserve"> ТЕЦ; </w:t>
      </w:r>
    </w:p>
    <w:p w:rsidR="002769BF" w:rsidRPr="00242020" w:rsidRDefault="002769BF" w:rsidP="00102753">
      <w:pPr>
        <w:widowControl/>
        <w:numPr>
          <w:ilvl w:val="0"/>
          <w:numId w:val="1"/>
        </w:numPr>
        <w:ind w:left="1083" w:hanging="374"/>
        <w:jc w:val="both"/>
        <w:rPr>
          <w:rFonts w:eastAsia="Times New Roman" w:cs="Times New Roman"/>
          <w:szCs w:val="28"/>
          <w:lang w:eastAsia="uk-UA"/>
        </w:rPr>
      </w:pPr>
      <w:proofErr w:type="spellStart"/>
      <w:r w:rsidRPr="00242020">
        <w:rPr>
          <w:rFonts w:eastAsia="Times New Roman" w:cs="Times New Roman"/>
          <w:szCs w:val="28"/>
          <w:lang w:eastAsia="ru-RU"/>
        </w:rPr>
        <w:t>Київпассервіс</w:t>
      </w:r>
      <w:r w:rsidR="00443208">
        <w:rPr>
          <w:rFonts w:eastAsia="Times New Roman" w:cs="Times New Roman"/>
          <w:szCs w:val="28"/>
          <w:lang w:eastAsia="ru-RU"/>
        </w:rPr>
        <w:t>о</w:t>
      </w:r>
      <w:r w:rsidRPr="00242020">
        <w:rPr>
          <w:rFonts w:eastAsia="Times New Roman" w:cs="Times New Roman"/>
          <w:szCs w:val="28"/>
          <w:lang w:eastAsia="ru-RU"/>
        </w:rPr>
        <w:t>м</w:t>
      </w:r>
      <w:proofErr w:type="spellEnd"/>
      <w:r w:rsidRPr="00242020">
        <w:rPr>
          <w:rFonts w:eastAsia="Times New Roman" w:cs="Times New Roman"/>
          <w:szCs w:val="28"/>
          <w:lang w:eastAsia="ru-RU"/>
        </w:rPr>
        <w:t>;</w:t>
      </w:r>
    </w:p>
    <w:p w:rsidR="002769BF" w:rsidRPr="00242020" w:rsidRDefault="002769BF" w:rsidP="00102753">
      <w:pPr>
        <w:widowControl/>
        <w:numPr>
          <w:ilvl w:val="0"/>
          <w:numId w:val="1"/>
        </w:numPr>
        <w:ind w:left="0" w:firstLine="709"/>
        <w:jc w:val="both"/>
        <w:rPr>
          <w:rFonts w:eastAsia="Times New Roman" w:cs="Times New Roman"/>
          <w:szCs w:val="28"/>
          <w:lang w:eastAsia="uk-UA"/>
        </w:rPr>
      </w:pPr>
      <w:proofErr w:type="spellStart"/>
      <w:r w:rsidRPr="00242020">
        <w:rPr>
          <w:rFonts w:eastAsia="Times New Roman" w:cs="Times New Roman"/>
          <w:szCs w:val="28"/>
          <w:lang w:eastAsia="ru-RU"/>
        </w:rPr>
        <w:t>Укрекоресурсами</w:t>
      </w:r>
      <w:proofErr w:type="spellEnd"/>
      <w:r w:rsidRPr="00242020">
        <w:rPr>
          <w:rFonts w:eastAsia="Times New Roman" w:cs="Times New Roman"/>
          <w:szCs w:val="28"/>
          <w:lang w:eastAsia="ru-RU"/>
        </w:rPr>
        <w:t>;</w:t>
      </w:r>
    </w:p>
    <w:p w:rsidR="002769BF" w:rsidRPr="00242020" w:rsidRDefault="002769BF" w:rsidP="00102753">
      <w:pPr>
        <w:widowControl/>
        <w:numPr>
          <w:ilvl w:val="0"/>
          <w:numId w:val="1"/>
        </w:numPr>
        <w:ind w:left="0" w:firstLine="709"/>
        <w:jc w:val="both"/>
        <w:rPr>
          <w:rFonts w:eastAsia="Times New Roman" w:cs="Times New Roman"/>
          <w:szCs w:val="28"/>
          <w:lang w:eastAsia="uk-UA"/>
        </w:rPr>
      </w:pPr>
      <w:proofErr w:type="spellStart"/>
      <w:r w:rsidRPr="00242020">
        <w:rPr>
          <w:rFonts w:eastAsia="Times-Roman" w:cs="Times New Roman"/>
          <w:szCs w:val="28"/>
          <w:lang w:eastAsia="ru-RU"/>
        </w:rPr>
        <w:t>Устьдунайводшляхом</w:t>
      </w:r>
      <w:proofErr w:type="spellEnd"/>
      <w:r w:rsidRPr="00242020">
        <w:rPr>
          <w:rFonts w:eastAsia="Times-Roman" w:cs="Times New Roman"/>
          <w:szCs w:val="28"/>
          <w:lang w:eastAsia="ru-RU"/>
        </w:rPr>
        <w:t>;</w:t>
      </w:r>
    </w:p>
    <w:p w:rsidR="002769BF" w:rsidRPr="00242020" w:rsidRDefault="002769BF" w:rsidP="00102753">
      <w:pPr>
        <w:widowControl/>
        <w:numPr>
          <w:ilvl w:val="0"/>
          <w:numId w:val="1"/>
        </w:numPr>
        <w:ind w:left="0" w:firstLine="709"/>
        <w:jc w:val="both"/>
        <w:rPr>
          <w:rFonts w:eastAsia="Times New Roman" w:cs="Times New Roman"/>
          <w:szCs w:val="28"/>
          <w:lang w:eastAsia="uk-UA"/>
        </w:rPr>
      </w:pPr>
      <w:r w:rsidRPr="00242020">
        <w:rPr>
          <w:rFonts w:eastAsia="Times-Roman" w:cs="Times New Roman"/>
          <w:szCs w:val="28"/>
          <w:lang w:eastAsia="ru-RU"/>
        </w:rPr>
        <w:t>Чорноморським морським пароплавством.</w:t>
      </w:r>
    </w:p>
    <w:p w:rsidR="002769BF" w:rsidRPr="00242020" w:rsidRDefault="002769BF" w:rsidP="00102753">
      <w:pPr>
        <w:jc w:val="both"/>
        <w:rPr>
          <w:rFonts w:eastAsia="Times New Roman" w:cs="Times New Roman"/>
          <w:lang w:eastAsia="uk-UA"/>
        </w:rPr>
      </w:pPr>
      <w:r w:rsidRPr="00242020">
        <w:rPr>
          <w:rFonts w:eastAsia="Times New Roman" w:cs="Times New Roman"/>
          <w:szCs w:val="28"/>
          <w:lang w:eastAsia="ru-RU"/>
        </w:rPr>
        <w:t>Так,</w:t>
      </w:r>
      <w:r w:rsidRPr="00242020">
        <w:rPr>
          <w:rFonts w:eastAsia="Times New Roman" w:cs="Times New Roman"/>
          <w:lang w:eastAsia="uk-UA"/>
        </w:rPr>
        <w:t xml:space="preserve"> </w:t>
      </w:r>
      <w:r w:rsidRPr="00242020">
        <w:rPr>
          <w:rFonts w:eastAsia="Times New Roman" w:cs="Times New Roman"/>
          <w:szCs w:val="28"/>
          <w:lang w:eastAsia="ru-RU"/>
        </w:rPr>
        <w:t>н</w:t>
      </w:r>
      <w:r w:rsidRPr="00242020">
        <w:rPr>
          <w:rFonts w:eastAsia="Times New Roman" w:cs="Times New Roman"/>
          <w:lang w:eastAsia="uk-UA"/>
        </w:rPr>
        <w:t>аказом Фонду від 07 листопада 2016 року № 2011 затверджено план приватизації єдиного майнового комплексу Костянтинівського державного хімічного заводу.</w:t>
      </w:r>
    </w:p>
    <w:p w:rsidR="002769BF" w:rsidRPr="00242020" w:rsidRDefault="002769BF" w:rsidP="00102753">
      <w:pPr>
        <w:widowControl/>
        <w:jc w:val="both"/>
        <w:rPr>
          <w:rFonts w:eastAsia="Times New Roman" w:cs="Times New Roman"/>
          <w:lang w:eastAsia="uk-UA"/>
        </w:rPr>
      </w:pPr>
      <w:r w:rsidRPr="00242020">
        <w:rPr>
          <w:rFonts w:eastAsia="Times New Roman" w:cs="Times New Roman"/>
          <w:lang w:eastAsia="uk-UA"/>
        </w:rPr>
        <w:t xml:space="preserve">Розпорядженням Кабінету Міністрів України від 30 листопада 2016 року № 911-р затверджено план приватизації єдиного майнового комплексу державного підприємства «Криворізька </w:t>
      </w:r>
      <w:r w:rsidRPr="00242020">
        <w:rPr>
          <w:rFonts w:eastAsia="Times New Roman" w:cs="Times New Roman"/>
          <w:szCs w:val="28"/>
          <w:lang w:eastAsia="ru-RU"/>
        </w:rPr>
        <w:t>ТЕЦ</w:t>
      </w:r>
      <w:r w:rsidRPr="00242020">
        <w:rPr>
          <w:rFonts w:eastAsia="Times New Roman" w:cs="Times New Roman"/>
          <w:lang w:eastAsia="uk-UA"/>
        </w:rPr>
        <w:t xml:space="preserve">». Наказом Фонду від 12 грудня 2016 року № 2226 прийнято рішення про припинення державного підприємства «Криворізька </w:t>
      </w:r>
      <w:r w:rsidRPr="00242020">
        <w:rPr>
          <w:rFonts w:eastAsia="Times New Roman" w:cs="Times New Roman"/>
          <w:szCs w:val="28"/>
          <w:lang w:eastAsia="ru-RU"/>
        </w:rPr>
        <w:t>ТЕЦ</w:t>
      </w:r>
      <w:r w:rsidRPr="00242020">
        <w:rPr>
          <w:rFonts w:eastAsia="Times New Roman" w:cs="Times New Roman"/>
          <w:lang w:eastAsia="uk-UA"/>
        </w:rPr>
        <w:t>», наказом від 12 грудня 2016 року № 2230 – про його перетворення в публічне акціонерне товариство.</w:t>
      </w:r>
    </w:p>
    <w:p w:rsidR="002769BF" w:rsidRPr="00242020" w:rsidRDefault="002769BF" w:rsidP="00102753">
      <w:pPr>
        <w:jc w:val="both"/>
        <w:rPr>
          <w:rFonts w:eastAsia="Times New Roman" w:cs="Times New Roman"/>
          <w:lang w:eastAsia="uk-UA"/>
        </w:rPr>
      </w:pPr>
      <w:r w:rsidRPr="00242020">
        <w:rPr>
          <w:rFonts w:eastAsia="Times New Roman" w:cs="Times New Roman"/>
          <w:lang w:eastAsia="uk-UA"/>
        </w:rPr>
        <w:lastRenderedPageBreak/>
        <w:t>Розроблений Фондом та поданий на розгляд до Кабінету Міністрів України проект розпорядження Уряду «Про затвердження плану приватизації єдиного майнового комплексу державного підприємства «</w:t>
      </w:r>
      <w:proofErr w:type="spellStart"/>
      <w:r w:rsidRPr="00242020">
        <w:rPr>
          <w:rFonts w:eastAsia="Times New Roman" w:cs="Times New Roman"/>
          <w:lang w:eastAsia="uk-UA"/>
        </w:rPr>
        <w:t>Сєвєродонецька</w:t>
      </w:r>
      <w:proofErr w:type="spellEnd"/>
      <w:r w:rsidRPr="00242020">
        <w:rPr>
          <w:rFonts w:eastAsia="Times New Roman" w:cs="Times New Roman"/>
          <w:lang w:eastAsia="uk-UA"/>
        </w:rPr>
        <w:t xml:space="preserve"> </w:t>
      </w:r>
      <w:r w:rsidRPr="00242020">
        <w:rPr>
          <w:rFonts w:eastAsia="Times New Roman" w:cs="Times New Roman"/>
          <w:szCs w:val="28"/>
          <w:lang w:eastAsia="ru-RU"/>
        </w:rPr>
        <w:t>ТЕЦ</w:t>
      </w:r>
      <w:r w:rsidRPr="00242020">
        <w:rPr>
          <w:rFonts w:eastAsia="Times New Roman" w:cs="Times New Roman"/>
          <w:lang w:eastAsia="uk-UA"/>
        </w:rPr>
        <w:t xml:space="preserve">» </w:t>
      </w:r>
      <w:r w:rsidRPr="00242020">
        <w:rPr>
          <w:rFonts w:eastAsia="Times New Roman" w:cs="Times New Roman"/>
          <w:szCs w:val="28"/>
          <w:lang w:eastAsia="ru-RU"/>
        </w:rPr>
        <w:t>було схвалено відповідним Урядовим комітетом, але повернуто для додаткового узгодження</w:t>
      </w:r>
      <w:r w:rsidRPr="00242020">
        <w:rPr>
          <w:rFonts w:eastAsia="Times New Roman" w:cs="Times New Roman"/>
          <w:lang w:eastAsia="uk-UA"/>
        </w:rPr>
        <w:t xml:space="preserve">. </w:t>
      </w:r>
    </w:p>
    <w:p w:rsidR="002769BF" w:rsidRPr="00242020" w:rsidRDefault="002769BF" w:rsidP="00102753">
      <w:pPr>
        <w:jc w:val="both"/>
        <w:rPr>
          <w:rFonts w:eastAsia="Times New Roman" w:cs="Times New Roman"/>
          <w:lang w:eastAsia="uk-UA"/>
        </w:rPr>
      </w:pPr>
      <w:r w:rsidRPr="00242020">
        <w:rPr>
          <w:rFonts w:eastAsia="Times New Roman" w:cs="Times New Roman"/>
          <w:lang w:eastAsia="uk-UA"/>
        </w:rPr>
        <w:t>Наказом Фонду від 29 серпня 2016 року № 1614 затверджено план приватизації єдиного майнового комплексу державного підприємства «</w:t>
      </w:r>
      <w:proofErr w:type="spellStart"/>
      <w:r w:rsidRPr="00242020">
        <w:rPr>
          <w:rFonts w:eastAsia="Times New Roman" w:cs="Times New Roman"/>
          <w:lang w:eastAsia="uk-UA"/>
        </w:rPr>
        <w:t>Київпассервіс</w:t>
      </w:r>
      <w:proofErr w:type="spellEnd"/>
      <w:r w:rsidRPr="00242020">
        <w:rPr>
          <w:rFonts w:eastAsia="Times New Roman" w:cs="Times New Roman"/>
          <w:lang w:eastAsia="uk-UA"/>
        </w:rPr>
        <w:t>», наказом від 08 вересня 2016 року № 1677 прийнято рішення про його перетворення в публічне акціонерне товариство, наказом від 30 вересня 2016 року № 1819 – про припинення державного підприємства «</w:t>
      </w:r>
      <w:proofErr w:type="spellStart"/>
      <w:r w:rsidRPr="00242020">
        <w:rPr>
          <w:rFonts w:eastAsia="Times New Roman" w:cs="Times New Roman"/>
          <w:lang w:eastAsia="uk-UA"/>
        </w:rPr>
        <w:t>Київпассервіс</w:t>
      </w:r>
      <w:proofErr w:type="spellEnd"/>
      <w:r w:rsidRPr="00242020">
        <w:rPr>
          <w:rFonts w:eastAsia="Times New Roman" w:cs="Times New Roman"/>
          <w:lang w:eastAsia="uk-UA"/>
        </w:rPr>
        <w:t>».</w:t>
      </w:r>
    </w:p>
    <w:p w:rsidR="002769BF" w:rsidRPr="00242020" w:rsidRDefault="002769BF" w:rsidP="00102753">
      <w:pPr>
        <w:widowControl/>
        <w:jc w:val="both"/>
        <w:rPr>
          <w:rFonts w:eastAsia="Times-Roman" w:cs="Times New Roman"/>
          <w:szCs w:val="28"/>
          <w:lang w:eastAsia="ru-RU"/>
        </w:rPr>
      </w:pPr>
      <w:r w:rsidRPr="00242020">
        <w:rPr>
          <w:rFonts w:eastAsia="Times New Roman" w:cs="Times New Roman"/>
          <w:lang w:eastAsia="uk-UA"/>
        </w:rPr>
        <w:t>Н</w:t>
      </w:r>
      <w:r w:rsidRPr="00242020">
        <w:rPr>
          <w:rFonts w:eastAsia="Times-Roman" w:cs="Times New Roman"/>
          <w:szCs w:val="28"/>
          <w:lang w:eastAsia="ru-RU"/>
        </w:rPr>
        <w:t>аказом Фонду від 15 серпня 2016 року № 1568 прийнято рішення про приватизацію державного підприємства «</w:t>
      </w:r>
      <w:proofErr w:type="spellStart"/>
      <w:r w:rsidRPr="00242020">
        <w:rPr>
          <w:rFonts w:eastAsia="Times-Roman" w:cs="Times New Roman"/>
          <w:szCs w:val="28"/>
          <w:lang w:eastAsia="ru-RU"/>
        </w:rPr>
        <w:t>Укрекоресурси</w:t>
      </w:r>
      <w:proofErr w:type="spellEnd"/>
      <w:r w:rsidRPr="00242020">
        <w:rPr>
          <w:rFonts w:eastAsia="Times-Roman" w:cs="Times New Roman"/>
          <w:szCs w:val="28"/>
          <w:lang w:eastAsia="ru-RU"/>
        </w:rPr>
        <w:t>», наказом від</w:t>
      </w:r>
      <w:r w:rsidRPr="00242020">
        <w:rPr>
          <w:rFonts w:eastAsia="Times-Roman" w:cs="Times New Roman"/>
          <w:szCs w:val="28"/>
          <w:lang w:eastAsia="ru-RU"/>
        </w:rPr>
        <w:br/>
        <w:t>12 вересня 2016 року № 1697 затверджено склад комісії з приватизації підприємства. Функції з управління майном підприємства Кабінетом Міністрів України Фонду не передано.</w:t>
      </w:r>
    </w:p>
    <w:p w:rsidR="002769BF" w:rsidRPr="00242020" w:rsidRDefault="002769BF" w:rsidP="00102753">
      <w:pPr>
        <w:widowControl/>
        <w:jc w:val="both"/>
        <w:rPr>
          <w:rFonts w:eastAsia="Times-Roman" w:cs="Times New Roman"/>
          <w:szCs w:val="28"/>
          <w:lang w:eastAsia="ru-RU"/>
        </w:rPr>
      </w:pPr>
      <w:r w:rsidRPr="00242020">
        <w:rPr>
          <w:rFonts w:eastAsia="Times-Roman" w:cs="Times New Roman"/>
          <w:szCs w:val="28"/>
          <w:lang w:eastAsia="ru-RU"/>
        </w:rPr>
        <w:t>Також на підставі отриманих заяв на приватизацію прийнято рішення про приватизацію державної судноплавної компанії «Чорноморське морське пароплавство» (наказ Фонду від 20 грудня 2016 року № 2236) та державного підприємства водних шляхів «</w:t>
      </w:r>
      <w:proofErr w:type="spellStart"/>
      <w:r w:rsidRPr="00242020">
        <w:rPr>
          <w:rFonts w:eastAsia="Times-Roman" w:cs="Times New Roman"/>
          <w:szCs w:val="28"/>
          <w:lang w:eastAsia="ru-RU"/>
        </w:rPr>
        <w:t>Устьдунайводшлях</w:t>
      </w:r>
      <w:proofErr w:type="spellEnd"/>
      <w:r w:rsidRPr="00242020">
        <w:rPr>
          <w:rFonts w:eastAsia="Times-Roman" w:cs="Times New Roman"/>
          <w:szCs w:val="28"/>
          <w:lang w:eastAsia="ru-RU"/>
        </w:rPr>
        <w:t>»</w:t>
      </w:r>
      <w:r w:rsidRPr="00242020">
        <w:rPr>
          <w:rFonts w:eastAsia="Times New Roman" w:cs="Times New Roman"/>
          <w:sz w:val="24"/>
          <w:szCs w:val="24"/>
          <w:lang w:eastAsia="ru-RU"/>
        </w:rPr>
        <w:t xml:space="preserve"> </w:t>
      </w:r>
      <w:r w:rsidRPr="00242020">
        <w:rPr>
          <w:rFonts w:eastAsia="Times-Roman" w:cs="Times New Roman"/>
          <w:szCs w:val="28"/>
          <w:lang w:eastAsia="ru-RU"/>
        </w:rPr>
        <w:t>(наказ Фонду від 20 грудня 2016 року № 2267).</w:t>
      </w:r>
    </w:p>
    <w:p w:rsidR="002769BF" w:rsidRPr="00242020" w:rsidRDefault="002769BF" w:rsidP="00102753">
      <w:pPr>
        <w:jc w:val="both"/>
        <w:rPr>
          <w:rFonts w:eastAsia="Times-Roman" w:cs="Times New Roman"/>
          <w:szCs w:val="28"/>
          <w:lang w:eastAsia="ru-RU"/>
        </w:rPr>
      </w:pPr>
      <w:r w:rsidRPr="00242020">
        <w:rPr>
          <w:rFonts w:eastAsia="Times-Roman" w:cs="Times New Roman"/>
          <w:szCs w:val="28"/>
          <w:lang w:eastAsia="ru-RU"/>
        </w:rPr>
        <w:t>За поданням Фонду Кабінетом Міністрів України видано розпорядження від 22 липня 2016 року № 503-р щодо прийняття рішення про приватизацію відокремленого підрозділу «Шахта «</w:t>
      </w:r>
      <w:proofErr w:type="spellStart"/>
      <w:r w:rsidRPr="00242020">
        <w:rPr>
          <w:rFonts w:eastAsia="Times-Roman" w:cs="Times New Roman"/>
          <w:szCs w:val="28"/>
          <w:lang w:eastAsia="ru-RU"/>
        </w:rPr>
        <w:t>Бужанська</w:t>
      </w:r>
      <w:proofErr w:type="spellEnd"/>
      <w:r w:rsidRPr="00242020">
        <w:rPr>
          <w:rFonts w:eastAsia="Times-Roman" w:cs="Times New Roman"/>
          <w:szCs w:val="28"/>
          <w:lang w:eastAsia="ru-RU"/>
        </w:rPr>
        <w:t>» державного підприємства «</w:t>
      </w:r>
      <w:proofErr w:type="spellStart"/>
      <w:r w:rsidRPr="00242020">
        <w:rPr>
          <w:rFonts w:eastAsia="Times-Roman" w:cs="Times New Roman"/>
          <w:szCs w:val="28"/>
          <w:lang w:eastAsia="ru-RU"/>
        </w:rPr>
        <w:t>Волиньвугілля</w:t>
      </w:r>
      <w:proofErr w:type="spellEnd"/>
      <w:r w:rsidRPr="00242020">
        <w:rPr>
          <w:rFonts w:eastAsia="Times-Roman" w:cs="Times New Roman"/>
          <w:szCs w:val="28"/>
          <w:lang w:eastAsia="ru-RU"/>
        </w:rPr>
        <w:t>».</w:t>
      </w:r>
    </w:p>
    <w:p w:rsidR="002769BF" w:rsidRPr="00242020" w:rsidRDefault="002769BF" w:rsidP="00102753">
      <w:pPr>
        <w:jc w:val="both"/>
        <w:rPr>
          <w:rFonts w:eastAsia="Times-Roman" w:cs="Times New Roman"/>
          <w:szCs w:val="28"/>
          <w:lang w:eastAsia="ru-RU"/>
        </w:rPr>
      </w:pPr>
      <w:r w:rsidRPr="00242020">
        <w:rPr>
          <w:rFonts w:eastAsia="Times-Roman" w:cs="Times New Roman"/>
          <w:szCs w:val="28"/>
          <w:lang w:eastAsia="ru-RU"/>
        </w:rPr>
        <w:t xml:space="preserve">Протягом року Фондом </w:t>
      </w:r>
      <w:r w:rsidRPr="00242020">
        <w:rPr>
          <w:rFonts w:eastAsia="Times New Roman" w:cs="Times New Roman"/>
          <w:szCs w:val="28"/>
          <w:lang w:eastAsia="ru-RU"/>
        </w:rPr>
        <w:t xml:space="preserve">забезпечено затвердження планів </w:t>
      </w:r>
      <w:r w:rsidRPr="00242020">
        <w:rPr>
          <w:rFonts w:eastAsia="Times-Roman" w:cs="Times New Roman"/>
          <w:szCs w:val="28"/>
          <w:lang w:eastAsia="ru-RU"/>
        </w:rPr>
        <w:t xml:space="preserve">приватизації 5 державних підприємств групи В (у тому числі 2 підприємств агропромислового комплексу), </w:t>
      </w:r>
      <w:r w:rsidRPr="00242020">
        <w:rPr>
          <w:rFonts w:eastAsia="Times New Roman" w:cs="Times New Roman"/>
          <w:szCs w:val="28"/>
          <w:lang w:eastAsia="ru-RU"/>
        </w:rPr>
        <w:t>один з яких затверджено рішенням Уряду</w:t>
      </w:r>
      <w:r w:rsidRPr="00242020">
        <w:rPr>
          <w:rFonts w:eastAsia="Times-Roman" w:cs="Times New Roman"/>
          <w:szCs w:val="28"/>
          <w:lang w:eastAsia="ru-RU"/>
        </w:rPr>
        <w:t>.</w:t>
      </w:r>
    </w:p>
    <w:p w:rsidR="002769BF" w:rsidRPr="00242020" w:rsidRDefault="002769BF" w:rsidP="00102753">
      <w:pPr>
        <w:widowControl/>
        <w:jc w:val="both"/>
        <w:rPr>
          <w:rFonts w:eastAsia="Times New Roman" w:cs="Times New Roman"/>
          <w:szCs w:val="28"/>
          <w:lang w:eastAsia="ru-RU"/>
        </w:rPr>
      </w:pPr>
      <w:r w:rsidRPr="00242020">
        <w:rPr>
          <w:rFonts w:eastAsia="Times New Roman" w:cs="Times New Roman"/>
          <w:szCs w:val="28"/>
          <w:lang w:eastAsia="ru-RU"/>
        </w:rPr>
        <w:t>Крім цього, Фондом розроблено та погоджено із заінтересованими органами проект рішення Уряду «Про прийняття рішення про приватизацію державного підприємства «Електронмаш» (об’єкт групи Г).</w:t>
      </w:r>
    </w:p>
    <w:p w:rsidR="002769BF" w:rsidRPr="00242020" w:rsidRDefault="002769BF" w:rsidP="00102753">
      <w:pPr>
        <w:jc w:val="both"/>
        <w:rPr>
          <w:rFonts w:eastAsia="Times-Roman" w:cs="Times New Roman"/>
          <w:szCs w:val="28"/>
          <w:lang w:eastAsia="ru-RU"/>
        </w:rPr>
      </w:pPr>
      <w:r w:rsidRPr="00242020">
        <w:rPr>
          <w:rFonts w:eastAsia="Times-Roman" w:cs="Times New Roman"/>
          <w:szCs w:val="28"/>
          <w:lang w:eastAsia="ru-RU"/>
        </w:rPr>
        <w:t xml:space="preserve">З метою забезпечення реалізації постанови Кабінету Міністрів України від 12 травня 2015 року № 271 в частині реформування підприємств агропромислового комплексу, які належать до сфери управління </w:t>
      </w:r>
      <w:proofErr w:type="spellStart"/>
      <w:r w:rsidRPr="00242020">
        <w:rPr>
          <w:rFonts w:eastAsia="Times-Roman" w:cs="Times New Roman"/>
          <w:szCs w:val="28"/>
          <w:lang w:eastAsia="ru-RU"/>
        </w:rPr>
        <w:t>Мінагрополітики</w:t>
      </w:r>
      <w:proofErr w:type="spellEnd"/>
      <w:r w:rsidRPr="00242020">
        <w:rPr>
          <w:rFonts w:eastAsia="Times-Roman" w:cs="Times New Roman"/>
          <w:szCs w:val="28"/>
          <w:lang w:eastAsia="ru-RU"/>
        </w:rPr>
        <w:t>:</w:t>
      </w:r>
    </w:p>
    <w:p w:rsidR="002769BF" w:rsidRPr="00242020" w:rsidRDefault="002769BF" w:rsidP="00102753">
      <w:pPr>
        <w:widowControl/>
        <w:numPr>
          <w:ilvl w:val="0"/>
          <w:numId w:val="1"/>
        </w:numPr>
        <w:tabs>
          <w:tab w:val="clear" w:pos="1084"/>
          <w:tab w:val="left" w:pos="1080"/>
        </w:tabs>
        <w:ind w:left="0" w:firstLine="709"/>
        <w:jc w:val="both"/>
        <w:rPr>
          <w:rFonts w:eastAsia="Times New Roman" w:cs="Times New Roman"/>
          <w:bCs/>
          <w:szCs w:val="28"/>
          <w:lang w:eastAsia="ru-RU"/>
        </w:rPr>
      </w:pPr>
      <w:r w:rsidRPr="00242020">
        <w:rPr>
          <w:rFonts w:eastAsia="Times-Roman" w:cs="Times New Roman"/>
          <w:szCs w:val="28"/>
          <w:lang w:eastAsia="ru-RU"/>
        </w:rPr>
        <w:t xml:space="preserve">щодо 12 об’єктів у зв’язку з прийняттям рішення про приватизацію передано функції з управління майном від </w:t>
      </w:r>
      <w:proofErr w:type="spellStart"/>
      <w:r w:rsidRPr="00242020">
        <w:rPr>
          <w:rFonts w:eastAsia="Times-Roman" w:cs="Times New Roman"/>
          <w:szCs w:val="28"/>
          <w:lang w:eastAsia="ru-RU"/>
        </w:rPr>
        <w:t>Мінагрополітики</w:t>
      </w:r>
      <w:proofErr w:type="spellEnd"/>
      <w:r w:rsidRPr="00242020">
        <w:rPr>
          <w:rFonts w:eastAsia="Times-Roman" w:cs="Times New Roman"/>
          <w:szCs w:val="28"/>
          <w:lang w:eastAsia="ru-RU"/>
        </w:rPr>
        <w:t xml:space="preserve"> до державних органів приватизації, з яких у 2016 році лише 1 об’єкт;</w:t>
      </w:r>
    </w:p>
    <w:p w:rsidR="002769BF" w:rsidRPr="00242020" w:rsidRDefault="002769BF" w:rsidP="00102753">
      <w:pPr>
        <w:widowControl/>
        <w:numPr>
          <w:ilvl w:val="0"/>
          <w:numId w:val="1"/>
        </w:numPr>
        <w:tabs>
          <w:tab w:val="clear" w:pos="1084"/>
          <w:tab w:val="left" w:pos="1080"/>
        </w:tabs>
        <w:ind w:left="0" w:firstLine="709"/>
        <w:jc w:val="both"/>
        <w:rPr>
          <w:rFonts w:eastAsia="Times New Roman" w:cs="Times New Roman"/>
          <w:bCs/>
          <w:szCs w:val="28"/>
          <w:lang w:eastAsia="ru-RU"/>
        </w:rPr>
      </w:pPr>
      <w:r w:rsidRPr="00242020">
        <w:rPr>
          <w:rFonts w:eastAsia="Times New Roman" w:cs="Times New Roman"/>
          <w:bCs/>
          <w:szCs w:val="28"/>
          <w:lang w:eastAsia="ru-RU"/>
        </w:rPr>
        <w:t>2 об’єкти приватизовано</w:t>
      </w:r>
      <w:r w:rsidRPr="00242020">
        <w:rPr>
          <w:rFonts w:eastAsia="Times-Roman" w:cs="Times New Roman"/>
          <w:szCs w:val="28"/>
          <w:lang w:eastAsia="ru-RU"/>
        </w:rPr>
        <w:t>.</w:t>
      </w:r>
      <w:r w:rsidRPr="00242020">
        <w:rPr>
          <w:rFonts w:eastAsia="Times New Roman" w:cs="Times New Roman"/>
          <w:bCs/>
          <w:szCs w:val="28"/>
          <w:lang w:eastAsia="ru-RU"/>
        </w:rPr>
        <w:t xml:space="preserve"> </w:t>
      </w:r>
    </w:p>
    <w:p w:rsidR="002769BF" w:rsidRPr="00242020" w:rsidRDefault="002769BF" w:rsidP="00102753">
      <w:pPr>
        <w:jc w:val="both"/>
        <w:rPr>
          <w:rFonts w:eastAsia="Times-Roman" w:cs="Times New Roman"/>
          <w:strike/>
          <w:szCs w:val="28"/>
          <w:lang w:eastAsia="ru-RU"/>
        </w:rPr>
      </w:pPr>
      <w:r w:rsidRPr="00242020">
        <w:rPr>
          <w:rFonts w:eastAsia="Times-Roman" w:cs="Times New Roman"/>
          <w:szCs w:val="28"/>
          <w:lang w:eastAsia="ru-RU"/>
        </w:rPr>
        <w:t>Щодо решти об’єктів агропромислового комплексу протягом року проводилася послідовна робота, спрямована на забезпечення їх підготовки до приватизації.</w:t>
      </w:r>
    </w:p>
    <w:p w:rsidR="002769BF" w:rsidRPr="00242020" w:rsidRDefault="002769BF" w:rsidP="00102753">
      <w:pPr>
        <w:shd w:val="clear" w:color="auto" w:fill="FFFFFF"/>
        <w:jc w:val="both"/>
        <w:rPr>
          <w:rFonts w:eastAsia="Times-Roman" w:cs="Times New Roman"/>
          <w:szCs w:val="28"/>
          <w:lang w:eastAsia="ru-RU"/>
        </w:rPr>
      </w:pPr>
      <w:r w:rsidRPr="00242020">
        <w:rPr>
          <w:rFonts w:eastAsia="Times-Roman" w:cs="Times New Roman"/>
          <w:szCs w:val="28"/>
          <w:lang w:eastAsia="ru-RU"/>
        </w:rPr>
        <w:t>Станом на 31.12.2016 в управлінні апарату Фонду перебувають 3 об’єкти агропромислового комплексу: державне підприємство «Україна», державне підприємство «Тепличний комбінат» та «</w:t>
      </w:r>
      <w:proofErr w:type="spellStart"/>
      <w:r w:rsidRPr="00242020">
        <w:rPr>
          <w:rFonts w:eastAsia="Times-Roman" w:cs="Times New Roman"/>
          <w:szCs w:val="28"/>
          <w:lang w:eastAsia="ru-RU"/>
        </w:rPr>
        <w:t>Лиманське</w:t>
      </w:r>
      <w:proofErr w:type="spellEnd"/>
      <w:r w:rsidRPr="00242020">
        <w:rPr>
          <w:rFonts w:eastAsia="Times-Roman" w:cs="Times New Roman"/>
          <w:szCs w:val="28"/>
          <w:lang w:eastAsia="ru-RU"/>
        </w:rPr>
        <w:t xml:space="preserve"> державне виробниче </w:t>
      </w:r>
      <w:r w:rsidRPr="00242020">
        <w:rPr>
          <w:rFonts w:eastAsia="Times-Roman" w:cs="Times New Roman"/>
          <w:szCs w:val="28"/>
          <w:lang w:eastAsia="ru-RU"/>
        </w:rPr>
        <w:lastRenderedPageBreak/>
        <w:t>сільськогосподарсько-рибоводне підприємство».</w:t>
      </w:r>
    </w:p>
    <w:p w:rsidR="002769BF" w:rsidRPr="00242020" w:rsidRDefault="002769BF" w:rsidP="00102753">
      <w:pPr>
        <w:shd w:val="clear" w:color="auto" w:fill="FFFFFF"/>
        <w:jc w:val="both"/>
        <w:rPr>
          <w:rFonts w:eastAsia="Times New Roman" w:cs="Times New Roman"/>
          <w:color w:val="000000"/>
          <w:szCs w:val="28"/>
          <w:lang w:eastAsia="ru-RU"/>
        </w:rPr>
      </w:pPr>
      <w:r w:rsidRPr="00242020">
        <w:rPr>
          <w:rFonts w:eastAsia="Times New Roman" w:cs="Times New Roman"/>
          <w:color w:val="000000"/>
          <w:szCs w:val="28"/>
          <w:lang w:eastAsia="ru-RU"/>
        </w:rPr>
        <w:t xml:space="preserve">Так, наказом Фонду від 27 вересня 2016 року № 1788 затверджено план приватизації єдиного майнового комплексу державного підприємства «Україна», наказом від 29 грудня 2016 року № 2341 – план приватизації </w:t>
      </w:r>
      <w:r w:rsidRPr="00242020">
        <w:rPr>
          <w:rFonts w:eastAsia="Times-Roman" w:cs="Times New Roman"/>
          <w:szCs w:val="28"/>
          <w:lang w:eastAsia="ru-RU"/>
        </w:rPr>
        <w:t>державного підприємства</w:t>
      </w:r>
      <w:r w:rsidRPr="00242020">
        <w:rPr>
          <w:rFonts w:eastAsia="Times New Roman" w:cs="Times New Roman"/>
          <w:color w:val="000000"/>
          <w:szCs w:val="28"/>
          <w:lang w:eastAsia="ru-RU"/>
        </w:rPr>
        <w:t xml:space="preserve"> «Тепличний комбінат».</w:t>
      </w:r>
    </w:p>
    <w:p w:rsidR="002769BF" w:rsidRPr="00242020" w:rsidRDefault="002769BF" w:rsidP="00102753">
      <w:pPr>
        <w:widowControl/>
        <w:jc w:val="both"/>
        <w:rPr>
          <w:rFonts w:eastAsia="Times New Roman" w:cs="Times New Roman"/>
          <w:bCs/>
          <w:iCs/>
          <w:szCs w:val="28"/>
          <w:lang w:eastAsia="ru-RU"/>
        </w:rPr>
      </w:pPr>
      <w:r w:rsidRPr="00242020">
        <w:rPr>
          <w:rFonts w:eastAsia="Times-Roman" w:cs="Times New Roman"/>
          <w:szCs w:val="28"/>
          <w:lang w:eastAsia="ru-RU"/>
        </w:rPr>
        <w:t xml:space="preserve">Розроблений Фондом </w:t>
      </w:r>
      <w:r w:rsidRPr="00242020">
        <w:rPr>
          <w:rFonts w:eastAsia="Times New Roman" w:cs="Times New Roman"/>
          <w:lang w:eastAsia="uk-UA"/>
        </w:rPr>
        <w:t xml:space="preserve">та поданий на розгляд Кабінету Міністрів України </w:t>
      </w:r>
      <w:r w:rsidRPr="00242020">
        <w:rPr>
          <w:rFonts w:eastAsia="Times-Roman" w:cs="Times New Roman"/>
          <w:szCs w:val="28"/>
          <w:lang w:eastAsia="ru-RU"/>
        </w:rPr>
        <w:t xml:space="preserve">проект постанови Уряду «Про приватизацію майна державного підприємства «Володимирське» та </w:t>
      </w:r>
      <w:proofErr w:type="spellStart"/>
      <w:r w:rsidRPr="00242020">
        <w:rPr>
          <w:rFonts w:eastAsia="Times-Roman" w:cs="Times New Roman"/>
          <w:szCs w:val="28"/>
          <w:lang w:eastAsia="ru-RU"/>
        </w:rPr>
        <w:t>Лиманського</w:t>
      </w:r>
      <w:proofErr w:type="spellEnd"/>
      <w:r w:rsidRPr="00242020">
        <w:rPr>
          <w:rFonts w:eastAsia="Times-Roman" w:cs="Times New Roman"/>
          <w:szCs w:val="28"/>
          <w:lang w:eastAsia="ru-RU"/>
        </w:rPr>
        <w:t xml:space="preserve"> державного виробничого сільськогосподарсько-рибоводного підприємства» було повернено відповідним </w:t>
      </w:r>
      <w:r w:rsidRPr="00242020">
        <w:rPr>
          <w:rFonts w:eastAsia="Times New Roman" w:cs="Times New Roman"/>
          <w:lang w:eastAsia="uk-UA"/>
        </w:rPr>
        <w:t>Урядовим комітетом на доопрацювання.</w:t>
      </w:r>
      <w:r w:rsidRPr="00242020">
        <w:rPr>
          <w:rFonts w:eastAsia="Times New Roman" w:cs="Times New Roman"/>
          <w:strike/>
          <w:color w:val="FF0000"/>
          <w:lang w:eastAsia="uk-UA"/>
        </w:rPr>
        <w:t xml:space="preserve"> </w:t>
      </w:r>
    </w:p>
    <w:p w:rsidR="002769BF" w:rsidRPr="00242020" w:rsidRDefault="002769BF" w:rsidP="00102753">
      <w:pPr>
        <w:shd w:val="clear" w:color="auto" w:fill="FFFFFF"/>
        <w:jc w:val="both"/>
        <w:rPr>
          <w:rFonts w:eastAsia="Times New Roman" w:cs="Times New Roman"/>
          <w:szCs w:val="28"/>
          <w:lang w:eastAsia="ru-RU"/>
        </w:rPr>
      </w:pPr>
      <w:r w:rsidRPr="00242020">
        <w:rPr>
          <w:rFonts w:eastAsia="Times New Roman" w:cs="Times New Roman"/>
          <w:szCs w:val="28"/>
          <w:lang w:eastAsia="ru-RU"/>
        </w:rPr>
        <w:t>Відповідно до статті 25 Закону України «Про особливості приватизації майна в агропромисловому комплексі» приватизація певної групи об’єктів агропромислового комплексу здійснюється на підставі рішення Кабінету Міністрів України.</w:t>
      </w:r>
    </w:p>
    <w:p w:rsidR="002769BF" w:rsidRPr="00242020" w:rsidRDefault="002769BF" w:rsidP="00102753">
      <w:pPr>
        <w:shd w:val="clear" w:color="auto" w:fill="FFFFFF"/>
        <w:jc w:val="both"/>
        <w:rPr>
          <w:rFonts w:eastAsia="Times New Roman" w:cs="Times New Roman"/>
          <w:szCs w:val="28"/>
          <w:lang w:eastAsia="ru-RU"/>
        </w:rPr>
      </w:pPr>
      <w:r w:rsidRPr="00242020">
        <w:rPr>
          <w:rFonts w:eastAsia="Times New Roman" w:cs="Times New Roman"/>
          <w:szCs w:val="28"/>
          <w:lang w:eastAsia="ru-RU"/>
        </w:rPr>
        <w:t xml:space="preserve">Для забезпечення приватизації таких підприємств Фондом розроблено проект розпорядження Кабінету Міністрів України «Деякі питання приватизації об’єктів агропромислового комплексу», яким передбачено прийняття рішення про приватизацію майна 11 державних підприємств агропромислового комплексу шляхом перетворення їх у публічні акціонерні товариства за умови тимчасового залишення у власності держави пакета акцій розміром 75 % + 1 акція для продажу на конкурентних засадах. Проект розпорядження доопрацьовано з урахуванням доручень </w:t>
      </w:r>
      <w:r w:rsidRPr="00242020">
        <w:rPr>
          <w:rFonts w:eastAsia="Times-Roman" w:cs="Times New Roman"/>
          <w:szCs w:val="28"/>
          <w:lang w:eastAsia="ru-RU"/>
        </w:rPr>
        <w:t>Кабінету Міністрів України з метою надання на розгляд Уряду.</w:t>
      </w:r>
    </w:p>
    <w:p w:rsidR="002769BF" w:rsidRPr="00242020" w:rsidRDefault="002769BF" w:rsidP="00102753">
      <w:pPr>
        <w:shd w:val="clear" w:color="auto" w:fill="FFFFFF"/>
        <w:jc w:val="both"/>
        <w:rPr>
          <w:rFonts w:eastAsia="Times-Roman" w:cs="Times New Roman"/>
          <w:szCs w:val="28"/>
          <w:lang w:eastAsia="ru-RU"/>
        </w:rPr>
      </w:pPr>
      <w:r w:rsidRPr="00242020">
        <w:rPr>
          <w:rFonts w:eastAsia="Times-Roman" w:cs="Times New Roman"/>
          <w:szCs w:val="28"/>
          <w:lang w:eastAsia="ru-RU"/>
        </w:rPr>
        <w:t>Крім цього, Фондом підготовлено проект постанови Кабінету Міністрів України «Про прийняття рішення про приватизацію державного підприємства «</w:t>
      </w:r>
      <w:proofErr w:type="spellStart"/>
      <w:r w:rsidRPr="00242020">
        <w:rPr>
          <w:rFonts w:eastAsia="Times-Roman" w:cs="Times New Roman"/>
          <w:szCs w:val="28"/>
          <w:lang w:eastAsia="ru-RU"/>
        </w:rPr>
        <w:t>Новопокровський</w:t>
      </w:r>
      <w:proofErr w:type="spellEnd"/>
      <w:r w:rsidRPr="00242020">
        <w:rPr>
          <w:rFonts w:eastAsia="Times-Roman" w:cs="Times New Roman"/>
          <w:szCs w:val="28"/>
          <w:lang w:eastAsia="ru-RU"/>
        </w:rPr>
        <w:t xml:space="preserve"> комбінат хлібопродуктів», яке включено до переліку об’єктів державної власності, що мають стратегічне значення для економіки і безпеки держави, як підприємство, що забезпечує розміщення і зберігання матеріальних цінностей державного резерву, і тому як об’єкт групи Г також приватизується на підставі рішення Уряду. Зазначений проект рішення Уряду погоджено із заінтересованими органами та підготовлено для внесення на розгляд </w:t>
      </w:r>
      <w:r w:rsidRPr="00242020">
        <w:rPr>
          <w:rFonts w:eastAsia="Times New Roman" w:cs="Times New Roman"/>
          <w:szCs w:val="28"/>
          <w:lang w:eastAsia="ru-RU"/>
        </w:rPr>
        <w:t>Кабінету Міністрів України</w:t>
      </w:r>
      <w:r w:rsidRPr="00242020">
        <w:rPr>
          <w:rFonts w:eastAsia="Times-Roman" w:cs="Times New Roman"/>
          <w:szCs w:val="28"/>
          <w:lang w:eastAsia="ru-RU"/>
        </w:rPr>
        <w:t>.</w:t>
      </w:r>
    </w:p>
    <w:p w:rsidR="002769BF" w:rsidRPr="00242020" w:rsidRDefault="002769BF" w:rsidP="00102753">
      <w:pPr>
        <w:shd w:val="clear" w:color="auto" w:fill="FFFFFF"/>
        <w:jc w:val="both"/>
        <w:rPr>
          <w:rFonts w:eastAsia="Times New Roman" w:cs="Times New Roman"/>
          <w:szCs w:val="28"/>
          <w:lang w:eastAsia="ru-RU"/>
        </w:rPr>
      </w:pPr>
      <w:r w:rsidRPr="00242020">
        <w:rPr>
          <w:rFonts w:eastAsia="Times-Roman" w:cs="Times New Roman"/>
          <w:szCs w:val="28"/>
          <w:lang w:eastAsia="ru-RU"/>
        </w:rPr>
        <w:t xml:space="preserve">Прийняття зазначених рішень Уряду було неодноразово відкладено або знято з розгляду Кабінетом Міністрів України, що зумовлено, </w:t>
      </w:r>
      <w:r w:rsidR="00660C74">
        <w:rPr>
          <w:rFonts w:eastAsia="Times-Roman" w:cs="Times New Roman"/>
          <w:szCs w:val="28"/>
          <w:lang w:eastAsia="ru-RU"/>
        </w:rPr>
        <w:t>у</w:t>
      </w:r>
      <w:r w:rsidRPr="00242020">
        <w:rPr>
          <w:rFonts w:eastAsia="Times-Roman" w:cs="Times New Roman"/>
          <w:szCs w:val="28"/>
          <w:lang w:eastAsia="ru-RU"/>
        </w:rPr>
        <w:t xml:space="preserve"> тому числі, позицією </w:t>
      </w:r>
      <w:r w:rsidRPr="00242020">
        <w:rPr>
          <w:rFonts w:eastAsia="Times New Roman" w:cs="Times New Roman"/>
          <w:szCs w:val="28"/>
          <w:lang w:eastAsia="ru-RU"/>
        </w:rPr>
        <w:t xml:space="preserve">Кабінету Міністрів України щодо необхідності </w:t>
      </w:r>
      <w:r w:rsidRPr="00242020">
        <w:rPr>
          <w:rFonts w:eastAsia="Times-Roman" w:cs="Times New Roman"/>
          <w:szCs w:val="28"/>
          <w:lang w:eastAsia="ru-RU"/>
        </w:rPr>
        <w:t>удосконалення Закону України «Про особливості приватизації майна в агропромисловому комплексі».</w:t>
      </w:r>
    </w:p>
    <w:p w:rsidR="002769BF" w:rsidRPr="00242020" w:rsidRDefault="002769BF" w:rsidP="00102753">
      <w:pPr>
        <w:shd w:val="clear" w:color="auto" w:fill="FFFFFF"/>
        <w:jc w:val="both"/>
        <w:rPr>
          <w:rFonts w:eastAsia="Times New Roman" w:cs="Times New Roman"/>
          <w:szCs w:val="28"/>
          <w:lang w:eastAsia="ru-RU"/>
        </w:rPr>
      </w:pPr>
      <w:r w:rsidRPr="00242020">
        <w:rPr>
          <w:rFonts w:eastAsia="Times-Roman" w:cs="Times New Roman"/>
          <w:szCs w:val="28"/>
          <w:lang w:eastAsia="ru-RU"/>
        </w:rPr>
        <w:t xml:space="preserve">Розроблений </w:t>
      </w:r>
      <w:proofErr w:type="spellStart"/>
      <w:r w:rsidRPr="00242020">
        <w:rPr>
          <w:rFonts w:eastAsia="Times-Roman" w:cs="Times New Roman"/>
          <w:szCs w:val="28"/>
          <w:lang w:eastAsia="ru-RU"/>
        </w:rPr>
        <w:t>Мінекономрозвитку</w:t>
      </w:r>
      <w:proofErr w:type="spellEnd"/>
      <w:r w:rsidRPr="00242020">
        <w:rPr>
          <w:rFonts w:eastAsia="Times-Roman" w:cs="Times New Roman"/>
          <w:szCs w:val="28"/>
          <w:lang w:eastAsia="ru-RU"/>
        </w:rPr>
        <w:t xml:space="preserve"> законопроект «Про внесення змін до деяких законів України (щодо вдосконалення процедури приватизації майна і землі підприємств агропромислового комплексу) був погоджений Фондом із зауваженнями. </w:t>
      </w:r>
    </w:p>
    <w:p w:rsidR="002769BF" w:rsidRPr="00242020" w:rsidRDefault="002769BF" w:rsidP="00102753">
      <w:pPr>
        <w:shd w:val="clear" w:color="auto" w:fill="FFFFFF"/>
        <w:jc w:val="both"/>
        <w:rPr>
          <w:rFonts w:eastAsia="Times New Roman" w:cs="Times New Roman"/>
          <w:color w:val="000000"/>
          <w:sz w:val="10"/>
          <w:szCs w:val="10"/>
          <w:lang w:eastAsia="ru-RU"/>
        </w:rPr>
      </w:pPr>
    </w:p>
    <w:p w:rsidR="002769BF" w:rsidRPr="00242020" w:rsidRDefault="002769BF" w:rsidP="00102753">
      <w:pPr>
        <w:shd w:val="clear" w:color="auto" w:fill="FFFFFF"/>
        <w:jc w:val="both"/>
        <w:rPr>
          <w:rFonts w:eastAsia="Times New Roman" w:cs="Times New Roman"/>
          <w:szCs w:val="28"/>
          <w:lang w:eastAsia="ru-RU"/>
        </w:rPr>
      </w:pPr>
      <w:r w:rsidRPr="00242020">
        <w:rPr>
          <w:rFonts w:eastAsia="Times New Roman" w:cs="Times New Roman"/>
          <w:color w:val="000000"/>
          <w:szCs w:val="28"/>
          <w:lang w:eastAsia="ru-RU"/>
        </w:rPr>
        <w:t>У реєстрі корпоративних прав держави за Фондом не обліковуються пакети акцій АТ, щодо яких прийнято відповідні рішення Уряду про закріплення в державній власності.</w:t>
      </w:r>
    </w:p>
    <w:p w:rsidR="002769BF" w:rsidRPr="00242020" w:rsidRDefault="002769BF" w:rsidP="002769BF">
      <w:pPr>
        <w:ind w:firstLine="0"/>
        <w:rPr>
          <w:rFonts w:eastAsia="Times New Roman" w:cs="Times New Roman"/>
          <w:sz w:val="16"/>
          <w:szCs w:val="16"/>
          <w:highlight w:val="yellow"/>
          <w:lang w:eastAsia="ru-RU"/>
        </w:rPr>
      </w:pPr>
    </w:p>
    <w:p w:rsidR="0088199A" w:rsidRPr="00242020" w:rsidRDefault="0088199A" w:rsidP="0088199A">
      <w:pPr>
        <w:pStyle w:val="2"/>
      </w:pPr>
      <w:r w:rsidRPr="00242020">
        <w:lastRenderedPageBreak/>
        <w:t>2.2. Підсумки приватизації державного майна</w:t>
      </w:r>
    </w:p>
    <w:p w:rsidR="003B1438" w:rsidRPr="00242020" w:rsidRDefault="003B1438" w:rsidP="003B1438">
      <w:pPr>
        <w:jc w:val="both"/>
        <w:rPr>
          <w:sz w:val="12"/>
          <w:szCs w:val="12"/>
          <w:highlight w:val="magenta"/>
        </w:rPr>
      </w:pPr>
    </w:p>
    <w:p w:rsidR="0088199A" w:rsidRPr="00242020" w:rsidRDefault="0088199A" w:rsidP="008C0559">
      <w:pPr>
        <w:pStyle w:val="a9"/>
        <w:ind w:firstLine="0"/>
        <w:rPr>
          <w:sz w:val="28"/>
          <w:szCs w:val="28"/>
        </w:rPr>
      </w:pPr>
      <w:r w:rsidRPr="00242020">
        <w:rPr>
          <w:sz w:val="28"/>
          <w:szCs w:val="28"/>
        </w:rPr>
        <w:t>2.2.1. Організаційне забезпечення виконання завдань з приватизації</w:t>
      </w:r>
      <w:r w:rsidRPr="00242020">
        <w:rPr>
          <w:sz w:val="28"/>
          <w:szCs w:val="28"/>
        </w:rPr>
        <w:br/>
        <w:t>державного майна у звітному періоді</w:t>
      </w:r>
    </w:p>
    <w:p w:rsidR="007F3E31" w:rsidRPr="00242020" w:rsidRDefault="007F3E31" w:rsidP="0088199A">
      <w:pPr>
        <w:jc w:val="both"/>
        <w:rPr>
          <w:sz w:val="12"/>
          <w:szCs w:val="12"/>
          <w:highlight w:val="magenta"/>
        </w:rPr>
      </w:pPr>
    </w:p>
    <w:p w:rsidR="004462BE" w:rsidRPr="00242020" w:rsidRDefault="004462BE" w:rsidP="00102753">
      <w:pPr>
        <w:jc w:val="both"/>
        <w:rPr>
          <w:szCs w:val="28"/>
        </w:rPr>
      </w:pPr>
      <w:r w:rsidRPr="00242020">
        <w:rPr>
          <w:szCs w:val="28"/>
        </w:rPr>
        <w:t xml:space="preserve">З метою забезпечення виконання завдань з надходження коштів від приватизації державного майна до державного бюджету, визначених Законом України «Про Державний бюджет України на 2016 рік», та на виконання постанови Кабінету Міністрів України від 12 травня 2015 року № 271, якою затверджено перелік об’єктів державної власності, що підлягають приватизації у 2016 році, Фондом протягом звітного періоду вживалися відповідні організаційні заходи. </w:t>
      </w:r>
    </w:p>
    <w:p w:rsidR="004462BE" w:rsidRPr="00242020" w:rsidRDefault="004462BE" w:rsidP="00102753">
      <w:pPr>
        <w:jc w:val="both"/>
        <w:rPr>
          <w:szCs w:val="28"/>
        </w:rPr>
      </w:pPr>
      <w:r w:rsidRPr="00242020">
        <w:rPr>
          <w:szCs w:val="28"/>
        </w:rPr>
        <w:t xml:space="preserve">Так, для організації продажу об’єктів Фонд на початку </w:t>
      </w:r>
      <w:r w:rsidRPr="00242020">
        <w:rPr>
          <w:color w:val="000000"/>
          <w:szCs w:val="28"/>
        </w:rPr>
        <w:t xml:space="preserve">2016 року забезпечив </w:t>
      </w:r>
      <w:r w:rsidRPr="00242020">
        <w:rPr>
          <w:szCs w:val="28"/>
        </w:rPr>
        <w:t>підготовку та затвердження відповідними наказами:</w:t>
      </w:r>
    </w:p>
    <w:p w:rsidR="004462BE" w:rsidRPr="00242020" w:rsidRDefault="004462BE" w:rsidP="004462BE">
      <w:pPr>
        <w:numPr>
          <w:ilvl w:val="0"/>
          <w:numId w:val="2"/>
        </w:numPr>
        <w:jc w:val="both"/>
        <w:rPr>
          <w:i/>
          <w:szCs w:val="28"/>
        </w:rPr>
      </w:pPr>
      <w:r w:rsidRPr="00242020">
        <w:rPr>
          <w:i/>
          <w:szCs w:val="28"/>
        </w:rPr>
        <w:t>Переліку</w:t>
      </w:r>
      <w:r w:rsidRPr="00242020">
        <w:rPr>
          <w:i/>
          <w:color w:val="FFFFFF"/>
          <w:szCs w:val="28"/>
        </w:rPr>
        <w:t>_</w:t>
      </w:r>
      <w:r w:rsidRPr="00242020">
        <w:rPr>
          <w:i/>
          <w:szCs w:val="28"/>
        </w:rPr>
        <w:t>об’єктів груп В, Г, які підлягають продажу в 2016 році</w:t>
      </w:r>
      <w:r w:rsidRPr="00242020">
        <w:rPr>
          <w:szCs w:val="28"/>
        </w:rPr>
        <w:t xml:space="preserve"> (наказ Фонду від 30 грудня 2015 року № 2064);</w:t>
      </w:r>
    </w:p>
    <w:p w:rsidR="004462BE" w:rsidRPr="00242020" w:rsidRDefault="004462BE" w:rsidP="004462BE">
      <w:pPr>
        <w:numPr>
          <w:ilvl w:val="0"/>
          <w:numId w:val="2"/>
        </w:numPr>
        <w:jc w:val="both"/>
        <w:rPr>
          <w:i/>
          <w:szCs w:val="28"/>
        </w:rPr>
      </w:pPr>
      <w:r w:rsidRPr="00242020">
        <w:rPr>
          <w:i/>
          <w:color w:val="000000"/>
          <w:szCs w:val="28"/>
        </w:rPr>
        <w:t>П</w:t>
      </w:r>
      <w:r w:rsidRPr="00242020">
        <w:rPr>
          <w:i/>
          <w:szCs w:val="28"/>
        </w:rPr>
        <w:t>лану-графіка виставлення об’єктів груп В, Г на продаж в 2016 році</w:t>
      </w:r>
      <w:r w:rsidRPr="00242020">
        <w:rPr>
          <w:szCs w:val="28"/>
        </w:rPr>
        <w:t xml:space="preserve"> (наказ Фонду від 12 січня 2016 року № 42);</w:t>
      </w:r>
    </w:p>
    <w:p w:rsidR="004462BE" w:rsidRPr="00242020" w:rsidRDefault="004462BE" w:rsidP="004462BE">
      <w:pPr>
        <w:numPr>
          <w:ilvl w:val="0"/>
          <w:numId w:val="2"/>
        </w:numPr>
        <w:jc w:val="both"/>
        <w:rPr>
          <w:i/>
          <w:szCs w:val="28"/>
        </w:rPr>
      </w:pPr>
      <w:r w:rsidRPr="00242020">
        <w:rPr>
          <w:i/>
          <w:szCs w:val="28"/>
        </w:rPr>
        <w:t>Переліку об’єктів груп В, Г, які підлягають підготовці до</w:t>
      </w:r>
      <w:r w:rsidRPr="00242020">
        <w:rPr>
          <w:i/>
          <w:color w:val="FFFFFF"/>
          <w:szCs w:val="28"/>
        </w:rPr>
        <w:t>_</w:t>
      </w:r>
      <w:r w:rsidRPr="00242020">
        <w:rPr>
          <w:i/>
          <w:szCs w:val="28"/>
        </w:rPr>
        <w:t>продажу</w:t>
      </w:r>
      <w:r w:rsidRPr="00242020">
        <w:rPr>
          <w:i/>
          <w:color w:val="FFFFFF"/>
          <w:szCs w:val="28"/>
        </w:rPr>
        <w:t>_</w:t>
      </w:r>
      <w:r w:rsidRPr="00242020">
        <w:rPr>
          <w:i/>
          <w:szCs w:val="28"/>
        </w:rPr>
        <w:t>в</w:t>
      </w:r>
      <w:r w:rsidRPr="00242020">
        <w:rPr>
          <w:i/>
          <w:color w:val="FFFFFF"/>
          <w:szCs w:val="28"/>
        </w:rPr>
        <w:t>_</w:t>
      </w:r>
      <w:r w:rsidRPr="00242020">
        <w:rPr>
          <w:i/>
          <w:szCs w:val="28"/>
        </w:rPr>
        <w:t>2016</w:t>
      </w:r>
      <w:r w:rsidRPr="00242020">
        <w:rPr>
          <w:i/>
          <w:color w:val="FFFFFF"/>
          <w:szCs w:val="28"/>
        </w:rPr>
        <w:t>_</w:t>
      </w:r>
      <w:r w:rsidRPr="00242020">
        <w:rPr>
          <w:i/>
          <w:szCs w:val="28"/>
        </w:rPr>
        <w:t>році</w:t>
      </w:r>
      <w:r w:rsidRPr="00242020">
        <w:rPr>
          <w:szCs w:val="28"/>
        </w:rPr>
        <w:t xml:space="preserve"> (наказ Фонду від 22 січня 2016 року № 106);</w:t>
      </w:r>
    </w:p>
    <w:p w:rsidR="004462BE" w:rsidRPr="00242020" w:rsidRDefault="004462BE" w:rsidP="004462BE">
      <w:pPr>
        <w:numPr>
          <w:ilvl w:val="0"/>
          <w:numId w:val="2"/>
        </w:numPr>
        <w:jc w:val="both"/>
        <w:rPr>
          <w:i/>
          <w:szCs w:val="28"/>
        </w:rPr>
      </w:pPr>
      <w:r w:rsidRPr="00242020">
        <w:rPr>
          <w:i/>
          <w:szCs w:val="28"/>
        </w:rPr>
        <w:t>Плану-графіка очікуваного надходження у 2016 році грошових коштів від продажу об’єктів приватизації державної власності груп А, Д та Ж, у тому числі разом із земельними ділянками, та орієнтовного переліку об’єктів, які пропонуватимуться до продажу у 2016</w:t>
      </w:r>
      <w:r w:rsidRPr="00242020">
        <w:rPr>
          <w:i/>
          <w:color w:val="FFFFFF"/>
          <w:szCs w:val="28"/>
        </w:rPr>
        <w:t>_</w:t>
      </w:r>
      <w:r w:rsidRPr="00242020">
        <w:rPr>
          <w:i/>
          <w:szCs w:val="28"/>
        </w:rPr>
        <w:t>році</w:t>
      </w:r>
      <w:r w:rsidRPr="00242020">
        <w:rPr>
          <w:szCs w:val="28"/>
        </w:rPr>
        <w:t xml:space="preserve"> (наказ Фонду від 22 січня 2016 року № 110);</w:t>
      </w:r>
    </w:p>
    <w:p w:rsidR="004462BE" w:rsidRPr="00242020" w:rsidRDefault="004462BE" w:rsidP="004462BE">
      <w:pPr>
        <w:numPr>
          <w:ilvl w:val="0"/>
          <w:numId w:val="2"/>
        </w:numPr>
        <w:jc w:val="both"/>
        <w:rPr>
          <w:szCs w:val="28"/>
        </w:rPr>
      </w:pPr>
      <w:r w:rsidRPr="00242020">
        <w:rPr>
          <w:i/>
          <w:szCs w:val="28"/>
        </w:rPr>
        <w:t>Помісячних графіків підготовки об’єктів груп В, Г до продажу в 2016 році</w:t>
      </w:r>
      <w:r w:rsidRPr="00242020">
        <w:rPr>
          <w:szCs w:val="28"/>
        </w:rPr>
        <w:t xml:space="preserve"> (наказ Фонду від 15 лютого 2016 року № 299)</w:t>
      </w:r>
      <w:r w:rsidRPr="00242020">
        <w:rPr>
          <w:i/>
          <w:szCs w:val="28"/>
        </w:rPr>
        <w:t>.</w:t>
      </w:r>
    </w:p>
    <w:p w:rsidR="004462BE" w:rsidRPr="00242020" w:rsidRDefault="004462BE" w:rsidP="00102753">
      <w:pPr>
        <w:jc w:val="both"/>
        <w:rPr>
          <w:szCs w:val="28"/>
        </w:rPr>
      </w:pPr>
      <w:r w:rsidRPr="00242020">
        <w:rPr>
          <w:szCs w:val="28"/>
        </w:rPr>
        <w:t xml:space="preserve">У червні 2016 року наказом Фонду № 1150 до переліку об’єктів групи Е, що підлягають приватизації у 2016 році, затверджених наказом Фонду від 15 червня 2015 року № 857, включено пакет акцій 100 % статутного капіталу </w:t>
      </w:r>
      <w:proofErr w:type="spellStart"/>
      <w:r w:rsidRPr="00242020">
        <w:rPr>
          <w:szCs w:val="28"/>
        </w:rPr>
        <w:t>ПрАТ</w:t>
      </w:r>
      <w:proofErr w:type="spellEnd"/>
      <w:r w:rsidRPr="00242020">
        <w:rPr>
          <w:szCs w:val="28"/>
        </w:rPr>
        <w:t xml:space="preserve"> «Президент-Готель».</w:t>
      </w:r>
    </w:p>
    <w:p w:rsidR="004462BE" w:rsidRPr="00242020" w:rsidRDefault="004462BE" w:rsidP="00102753">
      <w:pPr>
        <w:jc w:val="both"/>
        <w:rPr>
          <w:szCs w:val="28"/>
        </w:rPr>
      </w:pPr>
      <w:r w:rsidRPr="00242020">
        <w:rPr>
          <w:szCs w:val="28"/>
        </w:rPr>
        <w:t xml:space="preserve">У зв’язку з прийняттям Кабінетом Міністрів України постанови від </w:t>
      </w:r>
      <w:r w:rsidRPr="00242020">
        <w:rPr>
          <w:szCs w:val="28"/>
        </w:rPr>
        <w:br/>
        <w:t xml:space="preserve">31 серпня 2016 року № 588 «Про внесення змін до постанови Кабінету Міністрів України від 12 травня 2015 року № 271» у вересні – жовтні 2016 року наказами Фонду затверджено оновлені </w:t>
      </w:r>
      <w:r w:rsidRPr="00242020">
        <w:rPr>
          <w:i/>
          <w:szCs w:val="28"/>
        </w:rPr>
        <w:t>Перелік об’єктів груп В, Г, які підлягають продажу в 2016 році</w:t>
      </w:r>
      <w:r w:rsidRPr="00242020">
        <w:rPr>
          <w:szCs w:val="28"/>
        </w:rPr>
        <w:t xml:space="preserve"> (наказ від 23 вересня 2016 року № 1761), </w:t>
      </w:r>
      <w:r w:rsidRPr="00242020">
        <w:rPr>
          <w:i/>
          <w:szCs w:val="28"/>
        </w:rPr>
        <w:t xml:space="preserve">План-графік виставлення об’єктів груп В, Г на продаж в 2016 році </w:t>
      </w:r>
      <w:r w:rsidRPr="00242020">
        <w:rPr>
          <w:szCs w:val="28"/>
        </w:rPr>
        <w:t>(наказ від 23 вересня 2016 року № 1762) та</w:t>
      </w:r>
      <w:r w:rsidRPr="00242020">
        <w:rPr>
          <w:i/>
          <w:szCs w:val="28"/>
        </w:rPr>
        <w:t xml:space="preserve"> </w:t>
      </w:r>
      <w:r w:rsidRPr="00242020">
        <w:rPr>
          <w:rFonts w:eastAsia="Times-Roman"/>
          <w:i/>
          <w:szCs w:val="28"/>
        </w:rPr>
        <w:t xml:space="preserve">Переліки об’єктів груп В, Г, які підлягають підготовці до продажу в 2016 році </w:t>
      </w:r>
      <w:r w:rsidRPr="00242020">
        <w:rPr>
          <w:szCs w:val="28"/>
        </w:rPr>
        <w:t xml:space="preserve">(наказ </w:t>
      </w:r>
      <w:r w:rsidRPr="00242020">
        <w:rPr>
          <w:rFonts w:eastAsia="Times-Roman"/>
          <w:szCs w:val="28"/>
        </w:rPr>
        <w:t>від 05 жовтня 2016 року № 1832 (із змінами</w:t>
      </w:r>
      <w:r w:rsidRPr="00242020">
        <w:rPr>
          <w:szCs w:val="28"/>
        </w:rPr>
        <w:t>), внесено зміни</w:t>
      </w:r>
      <w:r w:rsidRPr="00242020">
        <w:rPr>
          <w:i/>
          <w:szCs w:val="28"/>
        </w:rPr>
        <w:t xml:space="preserve"> </w:t>
      </w:r>
      <w:r w:rsidRPr="00242020">
        <w:rPr>
          <w:szCs w:val="28"/>
        </w:rPr>
        <w:t>до</w:t>
      </w:r>
      <w:r w:rsidRPr="00242020">
        <w:rPr>
          <w:i/>
          <w:szCs w:val="28"/>
        </w:rPr>
        <w:t xml:space="preserve"> Переліку об’єктів групи Е, що підлягають приватизації у 2016 році </w:t>
      </w:r>
      <w:r w:rsidRPr="00242020">
        <w:rPr>
          <w:szCs w:val="28"/>
        </w:rPr>
        <w:t>(наказ від 23 вересня 2016 року № 1763).</w:t>
      </w:r>
    </w:p>
    <w:p w:rsidR="004462BE" w:rsidRPr="00242020" w:rsidRDefault="004462BE" w:rsidP="00102753">
      <w:pPr>
        <w:jc w:val="both"/>
        <w:rPr>
          <w:szCs w:val="28"/>
        </w:rPr>
      </w:pPr>
      <w:r w:rsidRPr="00242020">
        <w:rPr>
          <w:szCs w:val="28"/>
        </w:rPr>
        <w:t>Розпорядженням Кабінету Міністрів України від 10 березня 2016 року № 202-р «Про внесення змін до деяких розпоряджень Кабінету Міністрів України з питань приватизації» затверджено плани розміщення акцій</w:t>
      </w:r>
      <w:r w:rsidRPr="00242020">
        <w:rPr>
          <w:szCs w:val="28"/>
        </w:rPr>
        <w:br/>
        <w:t>ВАТ «</w:t>
      </w:r>
      <w:proofErr w:type="spellStart"/>
      <w:r w:rsidRPr="00242020">
        <w:rPr>
          <w:szCs w:val="28"/>
        </w:rPr>
        <w:t>Запоріжжяобленерго</w:t>
      </w:r>
      <w:proofErr w:type="spellEnd"/>
      <w:r w:rsidRPr="00242020">
        <w:rPr>
          <w:szCs w:val="28"/>
        </w:rPr>
        <w:t xml:space="preserve">», ПАТ «Одеська ТЕЦ», ПАТ «Херсонська ТЕЦ», </w:t>
      </w:r>
      <w:r w:rsidRPr="00242020">
        <w:rPr>
          <w:szCs w:val="28"/>
        </w:rPr>
        <w:lastRenderedPageBreak/>
        <w:t>ПАТ «Одеський припортовий завод», ПАТ «Сумихімпром», які підлягали продажу за конкурсом з відкритістю пропонування ціни за принципом аукціону в термін до 30 листопада 2016 року.</w:t>
      </w:r>
    </w:p>
    <w:p w:rsidR="004462BE" w:rsidRPr="00242020" w:rsidRDefault="004462BE" w:rsidP="00102753">
      <w:pPr>
        <w:jc w:val="both"/>
        <w:rPr>
          <w:szCs w:val="28"/>
        </w:rPr>
      </w:pPr>
      <w:r w:rsidRPr="00242020">
        <w:rPr>
          <w:szCs w:val="28"/>
        </w:rPr>
        <w:t>З метою затвердження переліку об’єктів, державні пакети акцій яких можуть бути запропоновані до продажу на аукціоні без оголошення ціни, а також остаточного продажу державних пакетів акцій АТ, які перебувають в управлінні Фонду, Кабінетом Міністрів України прийнято розпорядження Уряду від 30 березня 2016 року № 250-р.</w:t>
      </w:r>
    </w:p>
    <w:p w:rsidR="004462BE" w:rsidRPr="00242020" w:rsidRDefault="004462BE" w:rsidP="00102753">
      <w:pPr>
        <w:jc w:val="both"/>
        <w:rPr>
          <w:szCs w:val="28"/>
        </w:rPr>
      </w:pPr>
      <w:r w:rsidRPr="00242020">
        <w:rPr>
          <w:szCs w:val="28"/>
        </w:rPr>
        <w:t xml:space="preserve">Розпорядженням Кабінету Міністрів України від 22 липня 2016 року № 505-р «Про внесення змін до розпоряджень Кабінету Міністрів України від 3 квітня 2013 р. № 204 і від 3 вересня 2014 р. № 861» продовжено терміни розміщення 25-відсоткових пакетів акцій низки </w:t>
      </w:r>
      <w:proofErr w:type="spellStart"/>
      <w:r w:rsidRPr="00242020">
        <w:rPr>
          <w:szCs w:val="28"/>
        </w:rPr>
        <w:t>енергокомпаній</w:t>
      </w:r>
      <w:proofErr w:type="spellEnd"/>
      <w:r w:rsidRPr="00242020">
        <w:rPr>
          <w:szCs w:val="28"/>
        </w:rPr>
        <w:t>, які підлягали продажу на фондових біржах, до 30 листопада 2016 року, а також затверджено плани розміщення акцій ПАТ «</w:t>
      </w:r>
      <w:proofErr w:type="spellStart"/>
      <w:r w:rsidRPr="00242020">
        <w:rPr>
          <w:szCs w:val="28"/>
        </w:rPr>
        <w:t>Центренерго</w:t>
      </w:r>
      <w:proofErr w:type="spellEnd"/>
      <w:r w:rsidRPr="00242020">
        <w:rPr>
          <w:szCs w:val="28"/>
        </w:rPr>
        <w:t xml:space="preserve">», ПАТ «Миколаївська ТЕЦ» та </w:t>
      </w:r>
      <w:proofErr w:type="spellStart"/>
      <w:r w:rsidRPr="00242020">
        <w:rPr>
          <w:szCs w:val="28"/>
        </w:rPr>
        <w:t>ПрАТ</w:t>
      </w:r>
      <w:proofErr w:type="spellEnd"/>
      <w:r w:rsidRPr="00242020">
        <w:rPr>
          <w:szCs w:val="28"/>
        </w:rPr>
        <w:t xml:space="preserve"> «Івано-Франківський локомотиворемонтний завод», якими було передбачено продаж державних пакетів акцій за конкурсом з відкритістю пропонування ціни за принципом аукціону в термін до 30 листопада 2016 року.</w:t>
      </w:r>
    </w:p>
    <w:p w:rsidR="004462BE" w:rsidRPr="00242020" w:rsidRDefault="004462BE" w:rsidP="00102753">
      <w:pPr>
        <w:jc w:val="both"/>
        <w:rPr>
          <w:szCs w:val="28"/>
        </w:rPr>
      </w:pPr>
      <w:r w:rsidRPr="00242020">
        <w:rPr>
          <w:szCs w:val="28"/>
        </w:rPr>
        <w:t>Розпорядженням Кабінету Міністрів України від 23 серпня 2016 року № 606-р «Про внесення змін у додатки до розпорядження Кабінету Міністрів України від 03 квітня 2013 року № 204» продовжено терміни розміщення пакетів акцій ВАТ «</w:t>
      </w:r>
      <w:proofErr w:type="spellStart"/>
      <w:r w:rsidRPr="00242020">
        <w:rPr>
          <w:szCs w:val="28"/>
        </w:rPr>
        <w:t>Тернопільобленерго</w:t>
      </w:r>
      <w:proofErr w:type="spellEnd"/>
      <w:r w:rsidRPr="00242020">
        <w:rPr>
          <w:szCs w:val="28"/>
        </w:rPr>
        <w:t xml:space="preserve">», </w:t>
      </w:r>
      <w:proofErr w:type="spellStart"/>
      <w:r w:rsidRPr="00242020">
        <w:rPr>
          <w:szCs w:val="28"/>
        </w:rPr>
        <w:t>АК</w:t>
      </w:r>
      <w:proofErr w:type="spellEnd"/>
      <w:r w:rsidRPr="00242020">
        <w:rPr>
          <w:szCs w:val="28"/>
        </w:rPr>
        <w:t xml:space="preserve"> «Харківобленерго», ПАТ «Хмельницькобленерго», ПАТ «Миколаївобленерго», які підлягали продажу за конкурсом з відкритістю пропонування ціни за принципом аукціону, до 30 листопада 2016 року та пакета акцій ПАТ «</w:t>
      </w:r>
      <w:proofErr w:type="spellStart"/>
      <w:r w:rsidRPr="00242020">
        <w:rPr>
          <w:szCs w:val="28"/>
        </w:rPr>
        <w:t>Черкасиобленерго</w:t>
      </w:r>
      <w:proofErr w:type="spellEnd"/>
      <w:r w:rsidRPr="00242020">
        <w:rPr>
          <w:szCs w:val="28"/>
        </w:rPr>
        <w:t>», який підлягав продажу на фондових біржах, до 30 листопада 2016 року.</w:t>
      </w:r>
    </w:p>
    <w:p w:rsidR="004462BE" w:rsidRPr="00242020" w:rsidRDefault="004462BE" w:rsidP="00102753">
      <w:pPr>
        <w:jc w:val="both"/>
        <w:rPr>
          <w:szCs w:val="28"/>
        </w:rPr>
      </w:pPr>
      <w:r w:rsidRPr="00242020">
        <w:rPr>
          <w:szCs w:val="28"/>
        </w:rPr>
        <w:t xml:space="preserve">Кабінетом Міністрів України прийнято підготовлену Фондом на виконання доручення Прем’єр-міністра України постанову від </w:t>
      </w:r>
      <w:r w:rsidRPr="00242020">
        <w:rPr>
          <w:bCs/>
          <w:color w:val="000000"/>
          <w:szCs w:val="28"/>
        </w:rPr>
        <w:t xml:space="preserve">26 жовтня 2016 року № 743 </w:t>
      </w:r>
      <w:r w:rsidRPr="00242020">
        <w:rPr>
          <w:color w:val="000000"/>
          <w:szCs w:val="28"/>
        </w:rPr>
        <w:t xml:space="preserve">«Про внесення змін у додаток 1 до постанови Кабінету Міністрів України від 12 травня 2015 року № 271», якою </w:t>
      </w:r>
      <w:r w:rsidRPr="00242020">
        <w:rPr>
          <w:szCs w:val="28"/>
        </w:rPr>
        <w:t>виключено з додатка 1 державні підприємства «Навчально-дослідне господарство «</w:t>
      </w:r>
      <w:proofErr w:type="spellStart"/>
      <w:r w:rsidRPr="00242020">
        <w:rPr>
          <w:szCs w:val="28"/>
        </w:rPr>
        <w:t>Докучаївське</w:t>
      </w:r>
      <w:proofErr w:type="spellEnd"/>
      <w:r w:rsidRPr="00242020">
        <w:rPr>
          <w:szCs w:val="28"/>
        </w:rPr>
        <w:t>» Харківського національного аграрного університету імені В. В. Докучаєва» та «</w:t>
      </w:r>
      <w:proofErr w:type="spellStart"/>
      <w:r w:rsidRPr="00242020">
        <w:rPr>
          <w:szCs w:val="28"/>
        </w:rPr>
        <w:t>Скрипаївське</w:t>
      </w:r>
      <w:proofErr w:type="spellEnd"/>
      <w:r w:rsidRPr="00242020">
        <w:rPr>
          <w:szCs w:val="28"/>
        </w:rPr>
        <w:t xml:space="preserve"> навчально-дослідне лісове господарство Харківського національного аграрного університету імені В. В. Докучаєва». </w:t>
      </w:r>
    </w:p>
    <w:p w:rsidR="004462BE" w:rsidRPr="00242020" w:rsidRDefault="004462BE" w:rsidP="00102753">
      <w:pPr>
        <w:jc w:val="both"/>
        <w:rPr>
          <w:szCs w:val="28"/>
        </w:rPr>
      </w:pPr>
      <w:r w:rsidRPr="00242020">
        <w:rPr>
          <w:szCs w:val="28"/>
        </w:rPr>
        <w:t>З метою забезпечення продажу державних пакетів акцій ВАТ «</w:t>
      </w:r>
      <w:proofErr w:type="spellStart"/>
      <w:r w:rsidRPr="00242020">
        <w:rPr>
          <w:szCs w:val="28"/>
        </w:rPr>
        <w:t>Оріана</w:t>
      </w:r>
      <w:proofErr w:type="spellEnd"/>
      <w:r w:rsidRPr="00242020">
        <w:rPr>
          <w:szCs w:val="28"/>
        </w:rPr>
        <w:t>», ПАТ «Запорізький виробничий алюмінієвий комбінат», ПАТ «</w:t>
      </w:r>
      <w:proofErr w:type="spellStart"/>
      <w:r w:rsidRPr="00242020">
        <w:rPr>
          <w:szCs w:val="28"/>
        </w:rPr>
        <w:t>Турбоатом</w:t>
      </w:r>
      <w:proofErr w:type="spellEnd"/>
      <w:r w:rsidRPr="00242020">
        <w:rPr>
          <w:szCs w:val="28"/>
        </w:rPr>
        <w:t>», ПАТ по газопостачанню та газифікації «</w:t>
      </w:r>
      <w:proofErr w:type="spellStart"/>
      <w:r w:rsidRPr="00242020">
        <w:rPr>
          <w:szCs w:val="28"/>
        </w:rPr>
        <w:t>Коростишівгаз</w:t>
      </w:r>
      <w:proofErr w:type="spellEnd"/>
      <w:r w:rsidRPr="00242020">
        <w:rPr>
          <w:szCs w:val="28"/>
        </w:rPr>
        <w:t>», ВАТ «Оснастка», ВАТ «</w:t>
      </w:r>
      <w:proofErr w:type="spellStart"/>
      <w:r w:rsidRPr="00242020">
        <w:rPr>
          <w:szCs w:val="28"/>
        </w:rPr>
        <w:t>Автоливмаш</w:t>
      </w:r>
      <w:proofErr w:type="spellEnd"/>
      <w:r w:rsidRPr="00242020">
        <w:rPr>
          <w:szCs w:val="28"/>
        </w:rPr>
        <w:t>», ПАТ «Львівський завод «Автонавантажувач», ПАТ «</w:t>
      </w:r>
      <w:proofErr w:type="spellStart"/>
      <w:r w:rsidRPr="00242020">
        <w:rPr>
          <w:szCs w:val="28"/>
        </w:rPr>
        <w:t>Кам’янець-Подільськсільмаш</w:t>
      </w:r>
      <w:proofErr w:type="spellEnd"/>
      <w:r w:rsidRPr="00242020">
        <w:rPr>
          <w:szCs w:val="28"/>
        </w:rPr>
        <w:t>», ВАТ «</w:t>
      </w:r>
      <w:proofErr w:type="spellStart"/>
      <w:r w:rsidRPr="00242020">
        <w:rPr>
          <w:szCs w:val="28"/>
        </w:rPr>
        <w:t>Тернопільобленерго</w:t>
      </w:r>
      <w:proofErr w:type="spellEnd"/>
      <w:r w:rsidRPr="00242020">
        <w:rPr>
          <w:szCs w:val="28"/>
        </w:rPr>
        <w:t>», ВАТ «</w:t>
      </w:r>
      <w:proofErr w:type="spellStart"/>
      <w:r w:rsidRPr="00242020">
        <w:rPr>
          <w:szCs w:val="28"/>
        </w:rPr>
        <w:t>Запоріжжяобленерго</w:t>
      </w:r>
      <w:proofErr w:type="spellEnd"/>
      <w:r w:rsidRPr="00242020">
        <w:rPr>
          <w:szCs w:val="28"/>
        </w:rPr>
        <w:t xml:space="preserve">», ПАТ «Хмельницькобленерго», </w:t>
      </w:r>
      <w:proofErr w:type="spellStart"/>
      <w:r w:rsidRPr="00242020">
        <w:rPr>
          <w:szCs w:val="28"/>
        </w:rPr>
        <w:t>АК</w:t>
      </w:r>
      <w:proofErr w:type="spellEnd"/>
      <w:r w:rsidRPr="00242020">
        <w:rPr>
          <w:szCs w:val="28"/>
        </w:rPr>
        <w:t xml:space="preserve"> «Харківобленерго», ПАТ «</w:t>
      </w:r>
      <w:proofErr w:type="spellStart"/>
      <w:r w:rsidRPr="00242020">
        <w:rPr>
          <w:szCs w:val="28"/>
        </w:rPr>
        <w:t>Черкасиобленерго</w:t>
      </w:r>
      <w:proofErr w:type="spellEnd"/>
      <w:r w:rsidRPr="00242020">
        <w:rPr>
          <w:szCs w:val="28"/>
        </w:rPr>
        <w:t>», ПАТ «Миколаївобленерго», ПАТ «</w:t>
      </w:r>
      <w:proofErr w:type="spellStart"/>
      <w:r w:rsidRPr="00242020">
        <w:rPr>
          <w:szCs w:val="28"/>
        </w:rPr>
        <w:t>Донбасенерго</w:t>
      </w:r>
      <w:proofErr w:type="spellEnd"/>
      <w:r w:rsidRPr="00242020">
        <w:rPr>
          <w:szCs w:val="28"/>
        </w:rPr>
        <w:t>», ПАТ «</w:t>
      </w:r>
      <w:proofErr w:type="spellStart"/>
      <w:r w:rsidRPr="00242020">
        <w:rPr>
          <w:szCs w:val="28"/>
        </w:rPr>
        <w:t>ДТЕК</w:t>
      </w:r>
      <w:proofErr w:type="spellEnd"/>
      <w:r w:rsidRPr="00242020">
        <w:rPr>
          <w:szCs w:val="28"/>
        </w:rPr>
        <w:t xml:space="preserve"> Дніпроенерго», ПАТ «</w:t>
      </w:r>
      <w:proofErr w:type="spellStart"/>
      <w:r w:rsidRPr="00242020">
        <w:rPr>
          <w:szCs w:val="28"/>
        </w:rPr>
        <w:t>ДТЕК</w:t>
      </w:r>
      <w:proofErr w:type="spellEnd"/>
      <w:r w:rsidRPr="00242020">
        <w:rPr>
          <w:szCs w:val="28"/>
        </w:rPr>
        <w:t xml:space="preserve"> </w:t>
      </w:r>
      <w:proofErr w:type="spellStart"/>
      <w:r w:rsidRPr="00242020">
        <w:rPr>
          <w:szCs w:val="28"/>
        </w:rPr>
        <w:t>Західенерго</w:t>
      </w:r>
      <w:proofErr w:type="spellEnd"/>
      <w:r w:rsidRPr="00242020">
        <w:rPr>
          <w:szCs w:val="28"/>
        </w:rPr>
        <w:t>», ПАТ «</w:t>
      </w:r>
      <w:proofErr w:type="spellStart"/>
      <w:r w:rsidRPr="00242020">
        <w:rPr>
          <w:szCs w:val="28"/>
        </w:rPr>
        <w:t>ДТЕК</w:t>
      </w:r>
      <w:proofErr w:type="spellEnd"/>
      <w:r w:rsidRPr="00242020">
        <w:rPr>
          <w:szCs w:val="28"/>
        </w:rPr>
        <w:t xml:space="preserve"> </w:t>
      </w:r>
      <w:proofErr w:type="spellStart"/>
      <w:r w:rsidRPr="00242020">
        <w:rPr>
          <w:szCs w:val="28"/>
        </w:rPr>
        <w:t>Дніпрообленерго</w:t>
      </w:r>
      <w:proofErr w:type="spellEnd"/>
      <w:r w:rsidRPr="00242020">
        <w:rPr>
          <w:szCs w:val="28"/>
        </w:rPr>
        <w:t>», ПАТ «</w:t>
      </w:r>
      <w:proofErr w:type="spellStart"/>
      <w:r w:rsidRPr="00242020">
        <w:rPr>
          <w:szCs w:val="28"/>
        </w:rPr>
        <w:t>Київенерго</w:t>
      </w:r>
      <w:proofErr w:type="spellEnd"/>
      <w:r w:rsidRPr="00242020">
        <w:rPr>
          <w:szCs w:val="28"/>
        </w:rPr>
        <w:t>», ПАТ «</w:t>
      </w:r>
      <w:proofErr w:type="spellStart"/>
      <w:r w:rsidRPr="00242020">
        <w:rPr>
          <w:szCs w:val="28"/>
        </w:rPr>
        <w:t>ДТЕК</w:t>
      </w:r>
      <w:proofErr w:type="spellEnd"/>
      <w:r w:rsidRPr="00242020">
        <w:rPr>
          <w:szCs w:val="28"/>
        </w:rPr>
        <w:t xml:space="preserve"> Донецькобленерго», ПАТ «</w:t>
      </w:r>
      <w:proofErr w:type="spellStart"/>
      <w:r w:rsidRPr="00242020">
        <w:rPr>
          <w:szCs w:val="28"/>
        </w:rPr>
        <w:t>Центренерго</w:t>
      </w:r>
      <w:proofErr w:type="spellEnd"/>
      <w:r w:rsidRPr="00242020">
        <w:rPr>
          <w:szCs w:val="28"/>
        </w:rPr>
        <w:t>», ПАТ «Одеська ТЕЦ», ПАТ «Херсонська ТЕЦ», ПАТ «</w:t>
      </w:r>
      <w:proofErr w:type="spellStart"/>
      <w:r w:rsidRPr="00242020">
        <w:rPr>
          <w:szCs w:val="28"/>
        </w:rPr>
        <w:t>Одесаобленерго</w:t>
      </w:r>
      <w:proofErr w:type="spellEnd"/>
      <w:r w:rsidRPr="00242020">
        <w:rPr>
          <w:szCs w:val="28"/>
        </w:rPr>
        <w:t xml:space="preserve">», ПАТ «Миколаївська ТЕЦ», ПАТ «Одеський припортовий завод», ПАТ «Сумихімпром», </w:t>
      </w:r>
      <w:proofErr w:type="spellStart"/>
      <w:r w:rsidRPr="00242020">
        <w:rPr>
          <w:szCs w:val="28"/>
        </w:rPr>
        <w:t>ПрАТ</w:t>
      </w:r>
      <w:proofErr w:type="spellEnd"/>
      <w:r w:rsidRPr="00242020">
        <w:rPr>
          <w:szCs w:val="28"/>
        </w:rPr>
        <w:t xml:space="preserve"> «Івано-Франківський </w:t>
      </w:r>
      <w:r w:rsidRPr="00242020">
        <w:rPr>
          <w:szCs w:val="28"/>
        </w:rPr>
        <w:lastRenderedPageBreak/>
        <w:t>локомотиворемонтний завод» Кабінетом Міністрів України прийнято підготовлене Фондом розпорядження від 28 грудня 2016 року № 1057-р «Про внесення змін до деяких розпоряджень Кабінету Міністрів України з питань приватизації».</w:t>
      </w:r>
    </w:p>
    <w:p w:rsidR="0088199A" w:rsidRPr="00242020" w:rsidRDefault="0088199A" w:rsidP="0088199A">
      <w:pPr>
        <w:jc w:val="center"/>
        <w:rPr>
          <w:b/>
          <w:sz w:val="8"/>
          <w:szCs w:val="8"/>
          <w:highlight w:val="red"/>
        </w:rPr>
      </w:pPr>
    </w:p>
    <w:p w:rsidR="0088199A" w:rsidRPr="00242020" w:rsidRDefault="0088199A" w:rsidP="008C0559">
      <w:pPr>
        <w:pStyle w:val="a9"/>
        <w:ind w:firstLine="0"/>
        <w:rPr>
          <w:sz w:val="28"/>
          <w:szCs w:val="28"/>
        </w:rPr>
      </w:pPr>
      <w:r w:rsidRPr="00242020">
        <w:rPr>
          <w:sz w:val="28"/>
          <w:szCs w:val="28"/>
        </w:rPr>
        <w:t>2.2.2. Приватизація об’єктів груп А, Д, Ж</w:t>
      </w:r>
    </w:p>
    <w:p w:rsidR="004462BE" w:rsidRPr="00242020" w:rsidRDefault="004462BE" w:rsidP="004462BE">
      <w:pPr>
        <w:shd w:val="clear" w:color="auto" w:fill="FFFFFF"/>
        <w:jc w:val="both"/>
        <w:rPr>
          <w:rFonts w:eastAsia="Times New Roman" w:cs="Times New Roman"/>
          <w:szCs w:val="28"/>
          <w:lang w:eastAsia="ru-RU"/>
        </w:rPr>
      </w:pPr>
      <w:r w:rsidRPr="00242020">
        <w:rPr>
          <w:rFonts w:eastAsia="Times New Roman" w:cs="Times New Roman"/>
          <w:szCs w:val="28"/>
          <w:lang w:eastAsia="ru-RU"/>
        </w:rPr>
        <w:t xml:space="preserve">З метою забезпечення у 2016 році процесу приватизації та надходжень до державного бюджету від приватизації об’єктів державної власності груп А, Д та Ж, у тому числі разом із земельними ділянками, наказом Фонду від 22 січня 2016 року № 110 </w:t>
      </w:r>
      <w:r w:rsidRPr="00242020">
        <w:rPr>
          <w:rFonts w:eastAsia="Times New Roman" w:cs="Times New Roman"/>
          <w:i/>
          <w:szCs w:val="28"/>
          <w:lang w:eastAsia="ru-RU"/>
        </w:rPr>
        <w:t>«Про затвердження плану-графіка очікуваного надходження у 2016 році грошових коштів від продажу об’єктів приватизації державної власності груп А, Д та Ж, у тому числі разом із земельними ділянками, та орієнтовного переліку об’єктів, які пропонуватимуться до продажу у 2016</w:t>
      </w:r>
      <w:r w:rsidRPr="00242020">
        <w:rPr>
          <w:rFonts w:eastAsia="Times New Roman" w:cs="Times New Roman"/>
          <w:i/>
          <w:color w:val="FFFFFF"/>
          <w:szCs w:val="28"/>
          <w:lang w:eastAsia="ru-RU"/>
        </w:rPr>
        <w:t>_</w:t>
      </w:r>
      <w:r w:rsidRPr="00242020">
        <w:rPr>
          <w:rFonts w:eastAsia="Times New Roman" w:cs="Times New Roman"/>
          <w:i/>
          <w:szCs w:val="28"/>
          <w:lang w:eastAsia="ru-RU"/>
        </w:rPr>
        <w:t>році»</w:t>
      </w:r>
      <w:r w:rsidRPr="00242020">
        <w:rPr>
          <w:rFonts w:eastAsia="Times New Roman" w:cs="Times New Roman"/>
          <w:szCs w:val="28"/>
          <w:lang w:eastAsia="ru-RU"/>
        </w:rPr>
        <w:t xml:space="preserve"> затверджено завдання щодо надходження коштів у розрізі груп об’єктів та регіонів.</w:t>
      </w:r>
    </w:p>
    <w:p w:rsidR="004462BE" w:rsidRPr="00242020" w:rsidRDefault="004462BE" w:rsidP="004462BE">
      <w:pPr>
        <w:jc w:val="both"/>
        <w:rPr>
          <w:rFonts w:eastAsia="Times New Roman" w:cs="Times New Roman"/>
          <w:szCs w:val="28"/>
          <w:lang w:eastAsia="ru-RU"/>
        </w:rPr>
      </w:pPr>
      <w:r w:rsidRPr="00242020">
        <w:rPr>
          <w:rFonts w:eastAsia="Times New Roman" w:cs="Times New Roman"/>
          <w:szCs w:val="28"/>
          <w:lang w:eastAsia="ru-RU"/>
        </w:rPr>
        <w:t xml:space="preserve">Для забезпечення прозорості приватизації та з метою інформування потенційних покупців орієнтовний перелік об’єктів державної власності груп А, Д та Ж, які були запропоновані до продажу у 2016 році, опубліковано в газеті «Відомості приватизації» від 03.02.2016 № 10 (926). </w:t>
      </w:r>
    </w:p>
    <w:p w:rsidR="004462BE" w:rsidRPr="00242020" w:rsidRDefault="004462BE" w:rsidP="004462BE">
      <w:pPr>
        <w:shd w:val="clear" w:color="auto" w:fill="FFFFFF"/>
        <w:jc w:val="both"/>
        <w:rPr>
          <w:rFonts w:eastAsia="Times New Roman" w:cs="Times New Roman"/>
          <w:color w:val="000000"/>
          <w:szCs w:val="28"/>
          <w:highlight w:val="yellow"/>
          <w:lang w:eastAsia="ru-RU"/>
        </w:rPr>
      </w:pPr>
      <w:r w:rsidRPr="00242020">
        <w:rPr>
          <w:rFonts w:eastAsia="Times New Roman" w:cs="Times New Roman"/>
          <w:color w:val="000000"/>
          <w:szCs w:val="28"/>
          <w:lang w:eastAsia="ru-RU"/>
        </w:rPr>
        <w:t>Зазначеним наказом встановлено завдання з надходження коштів від приватизації об’єктів державної власності груп А, Д та Ж у</w:t>
      </w:r>
      <w:r w:rsidRPr="00242020">
        <w:rPr>
          <w:rFonts w:eastAsia="Times New Roman" w:cs="Times New Roman"/>
          <w:szCs w:val="28"/>
          <w:lang w:eastAsia="ru-RU"/>
        </w:rPr>
        <w:t xml:space="preserve"> 2016 році</w:t>
      </w:r>
      <w:r w:rsidRPr="00242020">
        <w:rPr>
          <w:rFonts w:eastAsia="Times New Roman" w:cs="Times New Roman"/>
          <w:color w:val="000000"/>
          <w:szCs w:val="28"/>
          <w:lang w:eastAsia="ru-RU"/>
        </w:rPr>
        <w:t xml:space="preserve"> у розмірі </w:t>
      </w:r>
      <w:r w:rsidRPr="00242020">
        <w:rPr>
          <w:rFonts w:eastAsia="Times New Roman" w:cs="Times New Roman"/>
          <w:b/>
          <w:color w:val="000000"/>
          <w:szCs w:val="28"/>
          <w:lang w:eastAsia="ru-RU"/>
        </w:rPr>
        <w:t>101,076 </w:t>
      </w:r>
      <w:proofErr w:type="spellStart"/>
      <w:r w:rsidRPr="00242020">
        <w:rPr>
          <w:rFonts w:eastAsia="Times New Roman" w:cs="Times New Roman"/>
          <w:b/>
          <w:color w:val="000000"/>
          <w:szCs w:val="28"/>
          <w:lang w:eastAsia="ru-RU"/>
        </w:rPr>
        <w:t>млн</w:t>
      </w:r>
      <w:proofErr w:type="spellEnd"/>
      <w:r w:rsidRPr="00242020">
        <w:rPr>
          <w:rFonts w:eastAsia="Times New Roman" w:cs="Times New Roman"/>
          <w:b/>
          <w:color w:val="000000"/>
          <w:szCs w:val="28"/>
          <w:lang w:eastAsia="ru-RU"/>
        </w:rPr>
        <w:t xml:space="preserve"> </w:t>
      </w:r>
      <w:proofErr w:type="spellStart"/>
      <w:r w:rsidRPr="00242020">
        <w:rPr>
          <w:rFonts w:eastAsia="Times New Roman" w:cs="Times New Roman"/>
          <w:b/>
          <w:color w:val="000000"/>
          <w:szCs w:val="28"/>
          <w:lang w:eastAsia="ru-RU"/>
        </w:rPr>
        <w:t>грн</w:t>
      </w:r>
      <w:proofErr w:type="spellEnd"/>
      <w:r w:rsidRPr="00242020">
        <w:rPr>
          <w:rFonts w:eastAsia="Times New Roman" w:cs="Times New Roman"/>
          <w:color w:val="000000"/>
          <w:szCs w:val="28"/>
          <w:lang w:eastAsia="ru-RU"/>
        </w:rPr>
        <w:t xml:space="preserve">, у тому числі від продажу земельних ділянок, на яких розташовані об’єкти приватизації, – </w:t>
      </w:r>
      <w:r w:rsidRPr="00242020">
        <w:rPr>
          <w:rFonts w:eastAsia="Times New Roman" w:cs="Times New Roman"/>
          <w:b/>
          <w:color w:val="000000"/>
          <w:szCs w:val="28"/>
          <w:lang w:eastAsia="ru-RU"/>
        </w:rPr>
        <w:t>9,977 </w:t>
      </w:r>
      <w:proofErr w:type="spellStart"/>
      <w:r w:rsidRPr="00242020">
        <w:rPr>
          <w:rFonts w:eastAsia="Times New Roman" w:cs="Times New Roman"/>
          <w:b/>
          <w:color w:val="000000"/>
          <w:szCs w:val="28"/>
          <w:lang w:eastAsia="ru-RU"/>
        </w:rPr>
        <w:t>млн</w:t>
      </w:r>
      <w:proofErr w:type="spellEnd"/>
      <w:r w:rsidRPr="00242020">
        <w:rPr>
          <w:rFonts w:eastAsia="Times New Roman" w:cs="Times New Roman"/>
          <w:b/>
          <w:color w:val="000000"/>
          <w:szCs w:val="28"/>
          <w:lang w:eastAsia="ru-RU"/>
        </w:rPr>
        <w:t xml:space="preserve"> </w:t>
      </w:r>
      <w:proofErr w:type="spellStart"/>
      <w:r w:rsidRPr="00242020">
        <w:rPr>
          <w:rFonts w:eastAsia="Times New Roman" w:cs="Times New Roman"/>
          <w:b/>
          <w:color w:val="000000"/>
          <w:szCs w:val="28"/>
          <w:lang w:eastAsia="ru-RU"/>
        </w:rPr>
        <w:t>грн</w:t>
      </w:r>
      <w:proofErr w:type="spellEnd"/>
      <w:r w:rsidRPr="00242020">
        <w:rPr>
          <w:rFonts w:eastAsia="Times New Roman" w:cs="Times New Roman"/>
          <w:b/>
          <w:color w:val="000000"/>
          <w:szCs w:val="28"/>
          <w:lang w:eastAsia="ru-RU"/>
        </w:rPr>
        <w:t>,</w:t>
      </w:r>
      <w:r w:rsidRPr="00242020">
        <w:rPr>
          <w:rFonts w:eastAsia="Times New Roman" w:cs="Times New Roman"/>
          <w:color w:val="000000"/>
          <w:sz w:val="24"/>
          <w:szCs w:val="28"/>
          <w:lang w:eastAsia="ru-RU"/>
        </w:rPr>
        <w:t xml:space="preserve"> </w:t>
      </w:r>
      <w:r w:rsidRPr="00242020">
        <w:rPr>
          <w:rFonts w:eastAsia="Times New Roman" w:cs="Times New Roman"/>
          <w:color w:val="000000"/>
          <w:szCs w:val="28"/>
          <w:lang w:eastAsia="ru-RU"/>
        </w:rPr>
        <w:t>та</w:t>
      </w:r>
      <w:r w:rsidRPr="00242020">
        <w:rPr>
          <w:rFonts w:eastAsia="Times New Roman" w:cs="Times New Roman"/>
          <w:b/>
          <w:color w:val="000000"/>
          <w:szCs w:val="28"/>
          <w:lang w:eastAsia="ru-RU"/>
        </w:rPr>
        <w:t xml:space="preserve"> </w:t>
      </w:r>
      <w:r w:rsidRPr="00242020">
        <w:rPr>
          <w:rFonts w:eastAsia="Times New Roman" w:cs="Times New Roman"/>
          <w:color w:val="000000"/>
          <w:szCs w:val="28"/>
          <w:lang w:eastAsia="ru-RU"/>
        </w:rPr>
        <w:t xml:space="preserve">визначено </w:t>
      </w:r>
      <w:r w:rsidRPr="00242020">
        <w:rPr>
          <w:rFonts w:eastAsia="Times New Roman" w:cs="Times New Roman"/>
          <w:szCs w:val="28"/>
          <w:lang w:eastAsia="ru-RU"/>
        </w:rPr>
        <w:t>орієнтовний перелік із 360</w:t>
      </w:r>
      <w:r w:rsidRPr="00242020">
        <w:rPr>
          <w:rFonts w:eastAsia="Times New Roman" w:cs="Times New Roman"/>
          <w:b/>
          <w:szCs w:val="28"/>
          <w:lang w:eastAsia="ru-RU"/>
        </w:rPr>
        <w:t xml:space="preserve"> </w:t>
      </w:r>
      <w:r w:rsidRPr="00242020">
        <w:rPr>
          <w:rFonts w:eastAsia="Times New Roman" w:cs="Times New Roman"/>
          <w:szCs w:val="28"/>
          <w:lang w:eastAsia="ru-RU"/>
        </w:rPr>
        <w:t>об’єктів, які пропонуватимуться до продажу в 2016</w:t>
      </w:r>
      <w:r w:rsidRPr="00242020">
        <w:rPr>
          <w:rFonts w:eastAsia="Times New Roman" w:cs="Times New Roman"/>
          <w:color w:val="FFFFFF"/>
          <w:szCs w:val="28"/>
          <w:lang w:eastAsia="ru-RU"/>
        </w:rPr>
        <w:t>_</w:t>
      </w:r>
      <w:r w:rsidRPr="00242020">
        <w:rPr>
          <w:rFonts w:eastAsia="Times New Roman" w:cs="Times New Roman"/>
          <w:szCs w:val="28"/>
          <w:lang w:eastAsia="ru-RU"/>
        </w:rPr>
        <w:t>році, у тому числі 103 об’єкти разом із земельними ділянками</w:t>
      </w:r>
      <w:r w:rsidRPr="00242020">
        <w:rPr>
          <w:rFonts w:eastAsia="Times New Roman" w:cs="Times New Roman"/>
          <w:color w:val="000000"/>
          <w:szCs w:val="28"/>
          <w:lang w:eastAsia="ru-RU"/>
        </w:rPr>
        <w:t>.</w:t>
      </w:r>
      <w:r w:rsidRPr="00242020">
        <w:rPr>
          <w:rFonts w:eastAsia="Times New Roman" w:cs="Times New Roman"/>
          <w:b/>
          <w:color w:val="000000"/>
          <w:szCs w:val="28"/>
          <w:lang w:eastAsia="ru-RU"/>
        </w:rPr>
        <w:t xml:space="preserve"> </w:t>
      </w:r>
    </w:p>
    <w:p w:rsidR="004462BE" w:rsidRPr="00242020" w:rsidRDefault="004462BE" w:rsidP="004462BE">
      <w:pPr>
        <w:tabs>
          <w:tab w:val="left" w:pos="8302"/>
        </w:tabs>
        <w:jc w:val="both"/>
        <w:rPr>
          <w:rFonts w:eastAsia="Times New Roman" w:cs="Times New Roman"/>
          <w:b/>
          <w:szCs w:val="28"/>
          <w:lang w:eastAsia="ru-RU"/>
        </w:rPr>
      </w:pPr>
      <w:r w:rsidRPr="00242020">
        <w:rPr>
          <w:rFonts w:eastAsia="Times New Roman" w:cs="Times New Roman"/>
          <w:szCs w:val="28"/>
          <w:lang w:eastAsia="ru-RU"/>
        </w:rPr>
        <w:t>У розрізі груп завдання з надходження коштів визначено в таких розмірах:</w:t>
      </w:r>
    </w:p>
    <w:p w:rsidR="004462BE" w:rsidRPr="00242020" w:rsidRDefault="004462BE" w:rsidP="004462BE">
      <w:pPr>
        <w:widowControl/>
        <w:numPr>
          <w:ilvl w:val="0"/>
          <w:numId w:val="3"/>
        </w:numPr>
        <w:spacing w:line="226" w:lineRule="auto"/>
        <w:jc w:val="both"/>
        <w:rPr>
          <w:rFonts w:eastAsia="Times New Roman" w:cs="Times New Roman"/>
          <w:szCs w:val="28"/>
          <w:lang w:eastAsia="ru-RU"/>
        </w:rPr>
      </w:pPr>
      <w:r w:rsidRPr="00242020">
        <w:rPr>
          <w:rFonts w:eastAsia="Times New Roman" w:cs="Times New Roman"/>
          <w:szCs w:val="28"/>
          <w:lang w:eastAsia="ru-RU"/>
        </w:rPr>
        <w:t xml:space="preserve">група А – 76,312 </w:t>
      </w:r>
      <w:proofErr w:type="spellStart"/>
      <w:r w:rsidRPr="00242020">
        <w:rPr>
          <w:rFonts w:eastAsia="Times New Roman" w:cs="Times New Roman"/>
          <w:szCs w:val="28"/>
          <w:lang w:eastAsia="ru-RU"/>
        </w:rPr>
        <w:t>млн</w:t>
      </w:r>
      <w:proofErr w:type="spellEnd"/>
      <w:r w:rsidRPr="00242020">
        <w:rPr>
          <w:rFonts w:eastAsia="Times New Roman" w:cs="Times New Roman"/>
          <w:szCs w:val="28"/>
          <w:lang w:eastAsia="ru-RU"/>
        </w:rPr>
        <w:t xml:space="preserve"> </w:t>
      </w:r>
      <w:proofErr w:type="spellStart"/>
      <w:r w:rsidRPr="00242020">
        <w:rPr>
          <w:rFonts w:eastAsia="Times New Roman" w:cs="Times New Roman"/>
          <w:szCs w:val="28"/>
          <w:lang w:eastAsia="ru-RU"/>
        </w:rPr>
        <w:t>грн</w:t>
      </w:r>
      <w:proofErr w:type="spellEnd"/>
      <w:r w:rsidRPr="00242020">
        <w:rPr>
          <w:rFonts w:eastAsia="Times New Roman" w:cs="Times New Roman"/>
          <w:szCs w:val="28"/>
          <w:lang w:eastAsia="ru-RU"/>
        </w:rPr>
        <w:t xml:space="preserve"> (у тому числі 7,721 </w:t>
      </w:r>
      <w:proofErr w:type="spellStart"/>
      <w:r w:rsidRPr="00242020">
        <w:rPr>
          <w:rFonts w:eastAsia="Times New Roman" w:cs="Times New Roman"/>
          <w:szCs w:val="28"/>
          <w:lang w:eastAsia="ru-RU"/>
        </w:rPr>
        <w:t>млн</w:t>
      </w:r>
      <w:proofErr w:type="spellEnd"/>
      <w:r w:rsidRPr="00242020">
        <w:rPr>
          <w:rFonts w:eastAsia="Times New Roman" w:cs="Times New Roman"/>
          <w:szCs w:val="28"/>
          <w:lang w:eastAsia="ru-RU"/>
        </w:rPr>
        <w:t xml:space="preserve"> </w:t>
      </w:r>
      <w:proofErr w:type="spellStart"/>
      <w:r w:rsidRPr="00242020">
        <w:rPr>
          <w:rFonts w:eastAsia="Times New Roman" w:cs="Times New Roman"/>
          <w:szCs w:val="28"/>
          <w:lang w:eastAsia="ru-RU"/>
        </w:rPr>
        <w:t>грн</w:t>
      </w:r>
      <w:proofErr w:type="spellEnd"/>
      <w:r w:rsidRPr="00242020">
        <w:rPr>
          <w:rFonts w:eastAsia="Times New Roman" w:cs="Times New Roman"/>
          <w:szCs w:val="28"/>
          <w:lang w:eastAsia="ru-RU"/>
        </w:rPr>
        <w:t xml:space="preserve"> – від продажу земельних ділянок);</w:t>
      </w:r>
    </w:p>
    <w:p w:rsidR="004462BE" w:rsidRPr="00242020" w:rsidRDefault="004462BE" w:rsidP="004462BE">
      <w:pPr>
        <w:widowControl/>
        <w:numPr>
          <w:ilvl w:val="0"/>
          <w:numId w:val="3"/>
        </w:numPr>
        <w:spacing w:line="226" w:lineRule="auto"/>
        <w:jc w:val="both"/>
        <w:rPr>
          <w:rFonts w:eastAsia="Times New Roman" w:cs="Times New Roman"/>
          <w:szCs w:val="28"/>
          <w:lang w:eastAsia="ru-RU"/>
        </w:rPr>
      </w:pPr>
      <w:r w:rsidRPr="00242020">
        <w:rPr>
          <w:rFonts w:eastAsia="Times New Roman" w:cs="Times New Roman"/>
          <w:szCs w:val="28"/>
          <w:lang w:eastAsia="ru-RU"/>
        </w:rPr>
        <w:t xml:space="preserve">група Д – 13,846 </w:t>
      </w:r>
      <w:proofErr w:type="spellStart"/>
      <w:r w:rsidRPr="00242020">
        <w:rPr>
          <w:rFonts w:eastAsia="Times New Roman" w:cs="Times New Roman"/>
          <w:szCs w:val="28"/>
          <w:lang w:eastAsia="ru-RU"/>
        </w:rPr>
        <w:t>млн</w:t>
      </w:r>
      <w:proofErr w:type="spellEnd"/>
      <w:r w:rsidRPr="00242020">
        <w:rPr>
          <w:rFonts w:eastAsia="Times New Roman" w:cs="Times New Roman"/>
          <w:szCs w:val="28"/>
          <w:lang w:eastAsia="ru-RU"/>
        </w:rPr>
        <w:t xml:space="preserve"> </w:t>
      </w:r>
      <w:proofErr w:type="spellStart"/>
      <w:r w:rsidRPr="00242020">
        <w:rPr>
          <w:rFonts w:eastAsia="Times New Roman" w:cs="Times New Roman"/>
          <w:szCs w:val="28"/>
          <w:lang w:eastAsia="ru-RU"/>
        </w:rPr>
        <w:t>грн</w:t>
      </w:r>
      <w:proofErr w:type="spellEnd"/>
      <w:r w:rsidRPr="00242020">
        <w:rPr>
          <w:rFonts w:eastAsia="Times New Roman" w:cs="Times New Roman"/>
          <w:szCs w:val="28"/>
          <w:lang w:eastAsia="ru-RU"/>
        </w:rPr>
        <w:t xml:space="preserve"> (у тому числі 2,236 </w:t>
      </w:r>
      <w:proofErr w:type="spellStart"/>
      <w:r w:rsidRPr="00242020">
        <w:rPr>
          <w:rFonts w:eastAsia="Times New Roman" w:cs="Times New Roman"/>
          <w:szCs w:val="28"/>
          <w:lang w:eastAsia="ru-RU"/>
        </w:rPr>
        <w:t>млн</w:t>
      </w:r>
      <w:proofErr w:type="spellEnd"/>
      <w:r w:rsidRPr="00242020">
        <w:rPr>
          <w:rFonts w:eastAsia="Times New Roman" w:cs="Times New Roman"/>
          <w:szCs w:val="28"/>
          <w:lang w:eastAsia="ru-RU"/>
        </w:rPr>
        <w:t xml:space="preserve"> </w:t>
      </w:r>
      <w:proofErr w:type="spellStart"/>
      <w:r w:rsidRPr="00242020">
        <w:rPr>
          <w:rFonts w:eastAsia="Times New Roman" w:cs="Times New Roman"/>
          <w:szCs w:val="28"/>
          <w:lang w:eastAsia="ru-RU"/>
        </w:rPr>
        <w:t>грн</w:t>
      </w:r>
      <w:proofErr w:type="spellEnd"/>
      <w:r w:rsidRPr="00242020">
        <w:rPr>
          <w:rFonts w:eastAsia="Times New Roman" w:cs="Times New Roman"/>
          <w:szCs w:val="28"/>
          <w:lang w:eastAsia="ru-RU"/>
        </w:rPr>
        <w:t xml:space="preserve"> – від продажу земельних ділянок);</w:t>
      </w:r>
    </w:p>
    <w:p w:rsidR="004462BE" w:rsidRPr="00242020" w:rsidRDefault="004462BE" w:rsidP="004462BE">
      <w:pPr>
        <w:widowControl/>
        <w:numPr>
          <w:ilvl w:val="0"/>
          <w:numId w:val="3"/>
        </w:numPr>
        <w:spacing w:line="226" w:lineRule="auto"/>
        <w:jc w:val="both"/>
        <w:rPr>
          <w:rFonts w:eastAsia="Times New Roman" w:cs="Times New Roman"/>
          <w:szCs w:val="28"/>
          <w:lang w:eastAsia="ru-RU"/>
        </w:rPr>
      </w:pPr>
      <w:r w:rsidRPr="00242020">
        <w:rPr>
          <w:rFonts w:eastAsia="Times New Roman" w:cs="Times New Roman"/>
          <w:szCs w:val="28"/>
          <w:lang w:eastAsia="ru-RU"/>
        </w:rPr>
        <w:t xml:space="preserve">група Ж – 10,918 </w:t>
      </w:r>
      <w:proofErr w:type="spellStart"/>
      <w:r w:rsidRPr="00242020">
        <w:rPr>
          <w:rFonts w:eastAsia="Times New Roman" w:cs="Times New Roman"/>
          <w:szCs w:val="28"/>
          <w:lang w:eastAsia="ru-RU"/>
        </w:rPr>
        <w:t>млн</w:t>
      </w:r>
      <w:proofErr w:type="spellEnd"/>
      <w:r w:rsidRPr="00242020">
        <w:rPr>
          <w:rFonts w:eastAsia="Times New Roman" w:cs="Times New Roman"/>
          <w:szCs w:val="28"/>
          <w:lang w:eastAsia="ru-RU"/>
        </w:rPr>
        <w:t xml:space="preserve"> </w:t>
      </w:r>
      <w:proofErr w:type="spellStart"/>
      <w:r w:rsidRPr="00242020">
        <w:rPr>
          <w:rFonts w:eastAsia="Times New Roman" w:cs="Times New Roman"/>
          <w:szCs w:val="28"/>
          <w:lang w:eastAsia="ru-RU"/>
        </w:rPr>
        <w:t>грн</w:t>
      </w:r>
      <w:proofErr w:type="spellEnd"/>
      <w:r w:rsidRPr="00242020">
        <w:rPr>
          <w:rFonts w:eastAsia="Times New Roman" w:cs="Times New Roman"/>
          <w:szCs w:val="28"/>
          <w:lang w:eastAsia="ru-RU"/>
        </w:rPr>
        <w:t xml:space="preserve"> (у тому числі 20,00 тис. </w:t>
      </w:r>
      <w:proofErr w:type="spellStart"/>
      <w:r w:rsidRPr="00242020">
        <w:rPr>
          <w:rFonts w:eastAsia="Times New Roman" w:cs="Times New Roman"/>
          <w:szCs w:val="28"/>
          <w:lang w:eastAsia="ru-RU"/>
        </w:rPr>
        <w:t>грн</w:t>
      </w:r>
      <w:proofErr w:type="spellEnd"/>
      <w:r w:rsidRPr="00242020">
        <w:rPr>
          <w:rFonts w:eastAsia="Times New Roman" w:cs="Times New Roman"/>
          <w:szCs w:val="28"/>
          <w:lang w:eastAsia="ru-RU"/>
        </w:rPr>
        <w:t xml:space="preserve"> – від продажу земельних ділянок). </w:t>
      </w:r>
    </w:p>
    <w:p w:rsidR="004462BE" w:rsidRPr="00242020" w:rsidRDefault="004462BE" w:rsidP="004462BE">
      <w:pPr>
        <w:widowControl/>
        <w:jc w:val="both"/>
        <w:rPr>
          <w:rFonts w:eastAsia="Times New Roman" w:cs="Times New Roman"/>
          <w:szCs w:val="28"/>
          <w:lang w:eastAsia="ru-RU"/>
        </w:rPr>
      </w:pPr>
      <w:r w:rsidRPr="00242020">
        <w:rPr>
          <w:rFonts w:eastAsia="Times New Roman" w:cs="Times New Roman"/>
          <w:szCs w:val="28"/>
          <w:lang w:eastAsia="ru-RU"/>
        </w:rPr>
        <w:t xml:space="preserve">Протягом 2016 року приватизовано </w:t>
      </w:r>
      <w:r w:rsidRPr="00242020">
        <w:rPr>
          <w:rFonts w:eastAsia="Times New Roman" w:cs="Times New Roman"/>
          <w:b/>
          <w:szCs w:val="28"/>
          <w:lang w:eastAsia="ru-RU"/>
        </w:rPr>
        <w:t>135</w:t>
      </w:r>
      <w:r w:rsidRPr="00242020">
        <w:rPr>
          <w:rFonts w:eastAsia="Times New Roman" w:cs="Times New Roman"/>
          <w:szCs w:val="28"/>
          <w:lang w:eastAsia="ru-RU"/>
        </w:rPr>
        <w:t xml:space="preserve"> об’єктів державної власності груп А, Д та Ж, у тому числі </w:t>
      </w:r>
      <w:r w:rsidRPr="00242020">
        <w:rPr>
          <w:rFonts w:eastAsia="Times New Roman" w:cs="Times New Roman"/>
          <w:b/>
          <w:szCs w:val="28"/>
          <w:lang w:eastAsia="ru-RU"/>
        </w:rPr>
        <w:t>16</w:t>
      </w:r>
      <w:r w:rsidRPr="00242020">
        <w:rPr>
          <w:rFonts w:eastAsia="Times New Roman" w:cs="Times New Roman"/>
          <w:szCs w:val="28"/>
          <w:lang w:eastAsia="ru-RU"/>
        </w:rPr>
        <w:t xml:space="preserve"> об’єктів разом із земельними ділянками. Продаж об’єктів разом із земельними ділянками у цьому періоді здійснили регіональні відділення Фонду по Вінницькій, Житомирській, Закарпатській, Запорізькій, Львівській, Миколаївській, Рівненській, Тернопільській, Харківській, Черкаській та Чернігівській областях.</w:t>
      </w:r>
    </w:p>
    <w:p w:rsidR="004462BE" w:rsidRPr="00242020" w:rsidRDefault="004462BE" w:rsidP="004462BE">
      <w:pPr>
        <w:tabs>
          <w:tab w:val="left" w:pos="8931"/>
        </w:tabs>
        <w:jc w:val="both"/>
        <w:rPr>
          <w:rFonts w:eastAsia="Times New Roman" w:cs="Times New Roman"/>
          <w:szCs w:val="28"/>
          <w:lang w:eastAsia="ru-RU"/>
        </w:rPr>
      </w:pPr>
      <w:r w:rsidRPr="00242020">
        <w:rPr>
          <w:rFonts w:eastAsia="Times New Roman" w:cs="Times New Roman"/>
          <w:szCs w:val="28"/>
          <w:lang w:eastAsia="ru-RU"/>
        </w:rPr>
        <w:t xml:space="preserve">Надходження коштів від продажу об’єктів груп А, Д та Ж за 2016 рік (сума коштів відповідно до укладених договорів купівлі-продажу) становить </w:t>
      </w:r>
      <w:r w:rsidRPr="00242020">
        <w:rPr>
          <w:rFonts w:eastAsia="Times New Roman" w:cs="Times New Roman"/>
          <w:b/>
          <w:szCs w:val="28"/>
          <w:lang w:eastAsia="ru-RU"/>
        </w:rPr>
        <w:t xml:space="preserve">171,463 </w:t>
      </w:r>
      <w:proofErr w:type="spellStart"/>
      <w:r w:rsidRPr="00242020">
        <w:rPr>
          <w:rFonts w:eastAsia="Times New Roman" w:cs="Times New Roman"/>
          <w:b/>
          <w:szCs w:val="28"/>
          <w:lang w:eastAsia="ru-RU"/>
        </w:rPr>
        <w:t>млн</w:t>
      </w:r>
      <w:proofErr w:type="spellEnd"/>
      <w:r w:rsidRPr="00242020">
        <w:rPr>
          <w:rFonts w:eastAsia="Times New Roman" w:cs="Times New Roman"/>
          <w:b/>
          <w:szCs w:val="28"/>
          <w:lang w:eastAsia="ru-RU"/>
        </w:rPr>
        <w:t xml:space="preserve"> </w:t>
      </w:r>
      <w:proofErr w:type="spellStart"/>
      <w:r w:rsidRPr="00242020">
        <w:rPr>
          <w:rFonts w:eastAsia="Times New Roman" w:cs="Times New Roman"/>
          <w:b/>
          <w:szCs w:val="28"/>
          <w:lang w:eastAsia="ru-RU"/>
        </w:rPr>
        <w:t>грн</w:t>
      </w:r>
      <w:proofErr w:type="spellEnd"/>
      <w:r w:rsidRPr="00242020">
        <w:rPr>
          <w:rFonts w:eastAsia="Times New Roman" w:cs="Times New Roman"/>
          <w:szCs w:val="28"/>
          <w:lang w:eastAsia="ru-RU"/>
        </w:rPr>
        <w:t xml:space="preserve">, у тому числі від продажу земельних ділянок – </w:t>
      </w:r>
      <w:r w:rsidRPr="00242020">
        <w:rPr>
          <w:rFonts w:eastAsia="Times New Roman" w:cs="Times New Roman"/>
          <w:b/>
          <w:szCs w:val="28"/>
          <w:lang w:eastAsia="ru-RU"/>
        </w:rPr>
        <w:t xml:space="preserve">3,549 </w:t>
      </w:r>
      <w:proofErr w:type="spellStart"/>
      <w:r w:rsidRPr="00242020">
        <w:rPr>
          <w:rFonts w:eastAsia="Times New Roman" w:cs="Times New Roman"/>
          <w:b/>
          <w:szCs w:val="28"/>
          <w:lang w:eastAsia="ru-RU"/>
        </w:rPr>
        <w:t>млн</w:t>
      </w:r>
      <w:proofErr w:type="spellEnd"/>
      <w:r w:rsidRPr="00242020">
        <w:rPr>
          <w:rFonts w:eastAsia="Times New Roman" w:cs="Times New Roman"/>
          <w:b/>
          <w:szCs w:val="28"/>
          <w:lang w:eastAsia="ru-RU"/>
        </w:rPr>
        <w:t xml:space="preserve"> </w:t>
      </w:r>
      <w:proofErr w:type="spellStart"/>
      <w:r w:rsidRPr="00242020">
        <w:rPr>
          <w:rFonts w:eastAsia="Times New Roman" w:cs="Times New Roman"/>
          <w:b/>
          <w:szCs w:val="28"/>
          <w:lang w:eastAsia="ru-RU"/>
        </w:rPr>
        <w:t>грн</w:t>
      </w:r>
      <w:proofErr w:type="spellEnd"/>
      <w:r w:rsidRPr="00242020">
        <w:rPr>
          <w:rFonts w:eastAsia="Times New Roman" w:cs="Times New Roman"/>
          <w:b/>
          <w:szCs w:val="28"/>
          <w:lang w:eastAsia="ru-RU"/>
        </w:rPr>
        <w:t>,</w:t>
      </w:r>
      <w:r w:rsidRPr="00242020">
        <w:rPr>
          <w:rFonts w:eastAsia="Times New Roman" w:cs="Times New Roman"/>
          <w:szCs w:val="28"/>
          <w:lang w:eastAsia="ru-RU"/>
        </w:rPr>
        <w:t xml:space="preserve"> або </w:t>
      </w:r>
      <w:r w:rsidRPr="00242020">
        <w:rPr>
          <w:rFonts w:eastAsia="Times New Roman" w:cs="Times New Roman"/>
          <w:b/>
          <w:szCs w:val="28"/>
          <w:lang w:eastAsia="ru-RU"/>
        </w:rPr>
        <w:t>169,64 %</w:t>
      </w:r>
      <w:r w:rsidRPr="00242020">
        <w:rPr>
          <w:rFonts w:eastAsia="Times New Roman" w:cs="Times New Roman"/>
          <w:szCs w:val="28"/>
          <w:lang w:eastAsia="ru-RU"/>
        </w:rPr>
        <w:t xml:space="preserve"> планового завдання з надходження коштів на 2016 рік, встановленого наказом Фонду від 22 січня 2016 року № 110, у тому числі від продажу земельних ділянок – </w:t>
      </w:r>
      <w:r w:rsidRPr="00242020">
        <w:rPr>
          <w:rFonts w:eastAsia="Times New Roman" w:cs="Times New Roman"/>
          <w:b/>
          <w:szCs w:val="28"/>
          <w:lang w:eastAsia="ru-RU"/>
        </w:rPr>
        <w:t>35,57 %</w:t>
      </w:r>
      <w:r w:rsidRPr="00242020">
        <w:rPr>
          <w:rFonts w:eastAsia="Times New Roman" w:cs="Times New Roman"/>
          <w:szCs w:val="28"/>
          <w:lang w:eastAsia="ru-RU"/>
        </w:rPr>
        <w:t>.</w:t>
      </w:r>
    </w:p>
    <w:p w:rsidR="004462BE" w:rsidRPr="00242020" w:rsidRDefault="004462BE" w:rsidP="004462BE">
      <w:pPr>
        <w:jc w:val="both"/>
        <w:rPr>
          <w:rFonts w:eastAsia="Times New Roman" w:cs="Times New Roman"/>
          <w:szCs w:val="28"/>
          <w:highlight w:val="yellow"/>
          <w:lang w:eastAsia="ru-RU"/>
        </w:rPr>
      </w:pPr>
      <w:r w:rsidRPr="00242020">
        <w:rPr>
          <w:rFonts w:eastAsia="Times New Roman" w:cs="Times New Roman"/>
          <w:szCs w:val="28"/>
          <w:lang w:eastAsia="ru-RU"/>
        </w:rPr>
        <w:lastRenderedPageBreak/>
        <w:t>Інформація щодо кількості приватизованих об’єктів груп А, Д та Ж, надходження коштів (відповідно до укладених договорів купівлі-продажу) та стану виконання регіональними відділеннями планових показників з надходження коштів у 2016 році наведена в додатку 10.</w:t>
      </w:r>
    </w:p>
    <w:p w:rsidR="004462BE" w:rsidRPr="00242020" w:rsidRDefault="004462BE" w:rsidP="004462BE">
      <w:pPr>
        <w:widowControl/>
        <w:jc w:val="both"/>
        <w:rPr>
          <w:rFonts w:eastAsia="Times New Roman" w:cs="Arial"/>
          <w:b/>
          <w:bCs/>
          <w:iCs/>
          <w:szCs w:val="28"/>
          <w:lang w:eastAsia="ru-RU"/>
        </w:rPr>
      </w:pPr>
      <w:r w:rsidRPr="00242020">
        <w:rPr>
          <w:rFonts w:eastAsia="Times New Roman" w:cs="Times New Roman"/>
          <w:szCs w:val="28"/>
          <w:lang w:eastAsia="ru-RU"/>
        </w:rPr>
        <w:t xml:space="preserve">Фактичне надходження коштів у 2016 році від продажу об’єктів груп А, Д та Ж становить 168,447 </w:t>
      </w:r>
      <w:proofErr w:type="spellStart"/>
      <w:r w:rsidRPr="00242020">
        <w:rPr>
          <w:rFonts w:eastAsia="Times New Roman" w:cs="Times New Roman"/>
          <w:szCs w:val="28"/>
          <w:lang w:eastAsia="ru-RU"/>
        </w:rPr>
        <w:t>млн</w:t>
      </w:r>
      <w:proofErr w:type="spellEnd"/>
      <w:r w:rsidRPr="00242020">
        <w:rPr>
          <w:rFonts w:eastAsia="Times New Roman" w:cs="Times New Roman"/>
          <w:szCs w:val="28"/>
          <w:lang w:eastAsia="ru-RU"/>
        </w:rPr>
        <w:t xml:space="preserve"> грн. До цієї суми включено надходження обсягом 1,473 </w:t>
      </w:r>
      <w:proofErr w:type="spellStart"/>
      <w:r w:rsidRPr="00242020">
        <w:rPr>
          <w:rFonts w:eastAsia="Times New Roman" w:cs="Times New Roman"/>
          <w:szCs w:val="28"/>
          <w:lang w:eastAsia="ru-RU"/>
        </w:rPr>
        <w:t>млн</w:t>
      </w:r>
      <w:proofErr w:type="spellEnd"/>
      <w:r w:rsidRPr="00242020">
        <w:rPr>
          <w:rFonts w:eastAsia="Times New Roman" w:cs="Times New Roman"/>
          <w:szCs w:val="28"/>
          <w:lang w:eastAsia="ru-RU"/>
        </w:rPr>
        <w:t xml:space="preserve"> </w:t>
      </w:r>
      <w:proofErr w:type="spellStart"/>
      <w:r w:rsidRPr="00242020">
        <w:rPr>
          <w:rFonts w:eastAsia="Times New Roman" w:cs="Times New Roman"/>
          <w:szCs w:val="28"/>
          <w:lang w:eastAsia="ru-RU"/>
        </w:rPr>
        <w:t>грн</w:t>
      </w:r>
      <w:proofErr w:type="spellEnd"/>
      <w:r w:rsidRPr="00242020">
        <w:rPr>
          <w:rFonts w:eastAsia="Times New Roman" w:cs="Times New Roman"/>
          <w:szCs w:val="28"/>
          <w:lang w:eastAsia="ru-RU"/>
        </w:rPr>
        <w:t xml:space="preserve"> від продажу 3 об’єктів груп А та Д, які були приватизовані в 2015 році, кошти за які надійшли у 2016 році, та не включено надходження у сумі 4,488 </w:t>
      </w:r>
      <w:proofErr w:type="spellStart"/>
      <w:r w:rsidRPr="00242020">
        <w:rPr>
          <w:rFonts w:eastAsia="Times New Roman" w:cs="Times New Roman"/>
          <w:szCs w:val="28"/>
          <w:lang w:eastAsia="ru-RU"/>
        </w:rPr>
        <w:t>млн</w:t>
      </w:r>
      <w:proofErr w:type="spellEnd"/>
      <w:r w:rsidRPr="00242020">
        <w:rPr>
          <w:rFonts w:eastAsia="Times New Roman" w:cs="Times New Roman"/>
          <w:szCs w:val="28"/>
          <w:lang w:eastAsia="ru-RU"/>
        </w:rPr>
        <w:t xml:space="preserve"> </w:t>
      </w:r>
      <w:proofErr w:type="spellStart"/>
      <w:r w:rsidRPr="00242020">
        <w:rPr>
          <w:rFonts w:eastAsia="Times New Roman" w:cs="Times New Roman"/>
          <w:szCs w:val="28"/>
          <w:lang w:eastAsia="ru-RU"/>
        </w:rPr>
        <w:t>грн</w:t>
      </w:r>
      <w:proofErr w:type="spellEnd"/>
      <w:r w:rsidRPr="00242020">
        <w:rPr>
          <w:rFonts w:eastAsia="Times New Roman" w:cs="Times New Roman"/>
          <w:szCs w:val="28"/>
          <w:lang w:eastAsia="ru-RU"/>
        </w:rPr>
        <w:t xml:space="preserve"> від продажу 7 об’єктів групи А, які були приватизовані в 2016 році, кошти за які надійдуть у 2017 році.</w:t>
      </w:r>
    </w:p>
    <w:p w:rsidR="004462BE" w:rsidRPr="00242020" w:rsidRDefault="004462BE" w:rsidP="004462BE">
      <w:pPr>
        <w:jc w:val="both"/>
        <w:rPr>
          <w:rFonts w:eastAsia="Times New Roman" w:cs="Times New Roman"/>
          <w:i/>
          <w:szCs w:val="28"/>
          <w:lang w:eastAsia="ru-RU"/>
        </w:rPr>
      </w:pPr>
      <w:r w:rsidRPr="00242020">
        <w:rPr>
          <w:rFonts w:eastAsia="Times New Roman" w:cs="Times New Roman"/>
          <w:i/>
          <w:szCs w:val="28"/>
          <w:lang w:eastAsia="ru-RU"/>
        </w:rPr>
        <w:t xml:space="preserve">За 2015 рік приватизовано </w:t>
      </w:r>
      <w:r w:rsidRPr="00242020">
        <w:rPr>
          <w:rFonts w:eastAsia="Times New Roman" w:cs="Times New Roman"/>
          <w:b/>
          <w:i/>
          <w:szCs w:val="28"/>
          <w:lang w:eastAsia="ru-RU"/>
        </w:rPr>
        <w:t>109</w:t>
      </w:r>
      <w:r w:rsidRPr="00242020">
        <w:rPr>
          <w:rFonts w:eastAsia="Times New Roman" w:cs="Times New Roman"/>
          <w:i/>
          <w:szCs w:val="28"/>
          <w:lang w:eastAsia="ru-RU"/>
        </w:rPr>
        <w:t xml:space="preserve"> об’єктів державної власності груп А, Д та Ж, у тому числі </w:t>
      </w:r>
      <w:r w:rsidRPr="00242020">
        <w:rPr>
          <w:rFonts w:eastAsia="Times New Roman" w:cs="Times New Roman"/>
          <w:b/>
          <w:i/>
          <w:szCs w:val="28"/>
          <w:lang w:eastAsia="ru-RU"/>
        </w:rPr>
        <w:t xml:space="preserve">23 </w:t>
      </w:r>
      <w:r w:rsidRPr="00242020">
        <w:rPr>
          <w:rFonts w:eastAsia="Times New Roman" w:cs="Times New Roman"/>
          <w:i/>
          <w:szCs w:val="28"/>
          <w:lang w:eastAsia="ru-RU"/>
        </w:rPr>
        <w:t>об’єкти разом із земельними ділянками.</w:t>
      </w:r>
    </w:p>
    <w:p w:rsidR="004462BE" w:rsidRPr="00242020" w:rsidRDefault="004462BE" w:rsidP="004462BE">
      <w:pPr>
        <w:jc w:val="both"/>
        <w:rPr>
          <w:rFonts w:eastAsia="Times New Roman" w:cs="Times New Roman"/>
          <w:b/>
          <w:i/>
          <w:szCs w:val="28"/>
          <w:lang w:eastAsia="ru-RU"/>
        </w:rPr>
      </w:pPr>
      <w:r w:rsidRPr="00242020">
        <w:rPr>
          <w:rFonts w:eastAsia="Times New Roman" w:cs="Times New Roman"/>
          <w:i/>
          <w:szCs w:val="28"/>
          <w:lang w:eastAsia="ru-RU"/>
        </w:rPr>
        <w:t xml:space="preserve">Надходження коштів від продажу об’єктів груп А, Д та Ж за 2015 рік становило </w:t>
      </w:r>
      <w:r w:rsidRPr="00242020">
        <w:rPr>
          <w:rFonts w:eastAsia="Times New Roman" w:cs="Times New Roman"/>
          <w:b/>
          <w:i/>
          <w:szCs w:val="28"/>
          <w:lang w:eastAsia="ru-RU"/>
        </w:rPr>
        <w:t xml:space="preserve">45,483 </w:t>
      </w:r>
      <w:proofErr w:type="spellStart"/>
      <w:r w:rsidRPr="00242020">
        <w:rPr>
          <w:rFonts w:eastAsia="Times New Roman" w:cs="Times New Roman"/>
          <w:b/>
          <w:i/>
          <w:szCs w:val="28"/>
          <w:lang w:eastAsia="ru-RU"/>
        </w:rPr>
        <w:t>млн</w:t>
      </w:r>
      <w:proofErr w:type="spellEnd"/>
      <w:r w:rsidRPr="00242020">
        <w:rPr>
          <w:rFonts w:eastAsia="Times New Roman" w:cs="Times New Roman"/>
          <w:b/>
          <w:i/>
          <w:szCs w:val="28"/>
          <w:lang w:eastAsia="ru-RU"/>
        </w:rPr>
        <w:t xml:space="preserve"> </w:t>
      </w:r>
      <w:proofErr w:type="spellStart"/>
      <w:r w:rsidRPr="00242020">
        <w:rPr>
          <w:rFonts w:eastAsia="Times New Roman" w:cs="Times New Roman"/>
          <w:b/>
          <w:i/>
          <w:szCs w:val="28"/>
          <w:lang w:eastAsia="ru-RU"/>
        </w:rPr>
        <w:t>грн</w:t>
      </w:r>
      <w:proofErr w:type="spellEnd"/>
      <w:r w:rsidRPr="00242020">
        <w:rPr>
          <w:rFonts w:eastAsia="Times New Roman" w:cs="Times New Roman"/>
          <w:i/>
          <w:szCs w:val="28"/>
          <w:lang w:eastAsia="ru-RU"/>
        </w:rPr>
        <w:t>, у тому числі від продажу земельних ділянок –</w:t>
      </w:r>
      <w:r w:rsidRPr="00242020">
        <w:rPr>
          <w:rFonts w:eastAsia="Times New Roman" w:cs="Times New Roman"/>
          <w:b/>
          <w:i/>
          <w:szCs w:val="28"/>
          <w:lang w:eastAsia="ru-RU"/>
        </w:rPr>
        <w:t xml:space="preserve"> 5,161 </w:t>
      </w:r>
      <w:proofErr w:type="spellStart"/>
      <w:r w:rsidRPr="00242020">
        <w:rPr>
          <w:rFonts w:eastAsia="Times New Roman" w:cs="Times New Roman"/>
          <w:b/>
          <w:i/>
          <w:szCs w:val="28"/>
          <w:lang w:eastAsia="ru-RU"/>
        </w:rPr>
        <w:t>млн</w:t>
      </w:r>
      <w:proofErr w:type="spellEnd"/>
      <w:r w:rsidRPr="00242020">
        <w:rPr>
          <w:rFonts w:eastAsia="Times New Roman" w:cs="Times New Roman"/>
          <w:b/>
          <w:i/>
          <w:szCs w:val="28"/>
          <w:lang w:eastAsia="ru-RU"/>
        </w:rPr>
        <w:t xml:space="preserve"> грн.</w:t>
      </w:r>
    </w:p>
    <w:p w:rsidR="004462BE" w:rsidRPr="00242020" w:rsidRDefault="004462BE" w:rsidP="004462BE">
      <w:pPr>
        <w:jc w:val="both"/>
        <w:rPr>
          <w:rFonts w:eastAsia="Times New Roman" w:cs="Times New Roman"/>
          <w:szCs w:val="28"/>
          <w:lang w:eastAsia="ru-RU"/>
        </w:rPr>
      </w:pPr>
      <w:r w:rsidRPr="00242020">
        <w:rPr>
          <w:rFonts w:eastAsia="Times New Roman" w:cs="Times New Roman"/>
          <w:szCs w:val="28"/>
          <w:lang w:eastAsia="ru-RU"/>
        </w:rPr>
        <w:t>Для вирішення питання пошуку покупців у процесі приватизації об’єктів державної власності груп А, Д та Ж Фондом вживаються такі заходи:</w:t>
      </w:r>
    </w:p>
    <w:p w:rsidR="004462BE" w:rsidRPr="00242020" w:rsidRDefault="004462BE" w:rsidP="004462BE">
      <w:pPr>
        <w:jc w:val="both"/>
        <w:rPr>
          <w:rFonts w:eastAsia="Times New Roman" w:cs="Times New Roman"/>
          <w:szCs w:val="28"/>
          <w:lang w:eastAsia="ru-RU"/>
        </w:rPr>
      </w:pPr>
      <w:r w:rsidRPr="00242020">
        <w:rPr>
          <w:rFonts w:eastAsia="Times New Roman" w:cs="Times New Roman"/>
          <w:szCs w:val="28"/>
          <w:lang w:eastAsia="ru-RU"/>
        </w:rPr>
        <w:t xml:space="preserve">– постійно оприлюднюються в офіційних друкованих виданнях державних органів приватизації та на офіційному </w:t>
      </w:r>
      <w:proofErr w:type="spellStart"/>
      <w:r w:rsidRPr="00242020">
        <w:rPr>
          <w:rFonts w:eastAsia="Times New Roman" w:cs="Times New Roman"/>
          <w:szCs w:val="28"/>
          <w:lang w:eastAsia="ru-RU"/>
        </w:rPr>
        <w:t>веб-сайті</w:t>
      </w:r>
      <w:proofErr w:type="spellEnd"/>
      <w:r w:rsidRPr="00242020">
        <w:rPr>
          <w:rFonts w:eastAsia="Times New Roman" w:cs="Times New Roman"/>
          <w:szCs w:val="28"/>
          <w:lang w:eastAsia="ru-RU"/>
        </w:rPr>
        <w:t xml:space="preserve"> Фонду накази про включення зазначених об’єктів до переліків об’єктів, що підлягають приватизації, інформаційні повідомлення про оголошення продажу та умови продажу об’єктів;</w:t>
      </w:r>
    </w:p>
    <w:p w:rsidR="004462BE" w:rsidRPr="00242020" w:rsidRDefault="004462BE" w:rsidP="004462BE">
      <w:pPr>
        <w:jc w:val="both"/>
        <w:rPr>
          <w:rFonts w:eastAsia="Times New Roman" w:cs="Times New Roman"/>
          <w:szCs w:val="28"/>
          <w:lang w:eastAsia="ru-RU"/>
        </w:rPr>
      </w:pPr>
      <w:r w:rsidRPr="00242020">
        <w:rPr>
          <w:rFonts w:eastAsia="Times New Roman" w:cs="Times New Roman"/>
          <w:szCs w:val="28"/>
          <w:lang w:eastAsia="ru-RU"/>
        </w:rPr>
        <w:t>– здійснюється співпраця з професійними учасниками ринку нерухомості, інформацію про продаж об’єктів малої приватизації розміщено на сайтах об’єднань та міжнародних мереж ріелторів;</w:t>
      </w:r>
    </w:p>
    <w:p w:rsidR="004462BE" w:rsidRPr="00242020" w:rsidRDefault="004462BE" w:rsidP="004462BE">
      <w:pPr>
        <w:jc w:val="both"/>
        <w:rPr>
          <w:rFonts w:eastAsia="Times New Roman" w:cs="Times New Roman"/>
          <w:szCs w:val="28"/>
          <w:lang w:eastAsia="ru-RU"/>
        </w:rPr>
      </w:pPr>
      <w:r w:rsidRPr="00242020">
        <w:rPr>
          <w:rFonts w:eastAsia="Times New Roman" w:cs="Times New Roman"/>
          <w:szCs w:val="28"/>
          <w:lang w:eastAsia="ru-RU"/>
        </w:rPr>
        <w:t>– застосовуються спрощені способи продажу об’єктів, що не користуються попитом у потенційних покупців, шляхом продажу на аукціонах за методом зниження ціни, а також продаж об’єктів на аукціонах в електронній формі;</w:t>
      </w:r>
    </w:p>
    <w:p w:rsidR="004462BE" w:rsidRPr="00242020" w:rsidRDefault="004462BE" w:rsidP="004462BE">
      <w:pPr>
        <w:jc w:val="both"/>
        <w:rPr>
          <w:rFonts w:eastAsia="Times New Roman" w:cs="Times New Roman"/>
          <w:szCs w:val="28"/>
          <w:lang w:eastAsia="ru-RU"/>
        </w:rPr>
      </w:pPr>
      <w:r w:rsidRPr="00242020">
        <w:rPr>
          <w:rFonts w:eastAsia="Times New Roman" w:cs="Times New Roman"/>
          <w:szCs w:val="28"/>
          <w:lang w:eastAsia="ru-RU"/>
        </w:rPr>
        <w:t>– підписано Меморандум про співпрацю з 16 біржами щодо впровадження продажу об’єктів малої приватизації на аукціонах в електронній формі.</w:t>
      </w:r>
    </w:p>
    <w:p w:rsidR="004462BE" w:rsidRPr="00242020" w:rsidRDefault="004462BE" w:rsidP="004462BE">
      <w:pPr>
        <w:jc w:val="both"/>
        <w:rPr>
          <w:rFonts w:eastAsia="Times New Roman" w:cs="Times New Roman"/>
          <w:szCs w:val="28"/>
          <w:lang w:eastAsia="ru-RU"/>
        </w:rPr>
      </w:pPr>
      <w:r w:rsidRPr="00242020">
        <w:rPr>
          <w:rFonts w:eastAsia="Times New Roman" w:cs="Times New Roman"/>
          <w:szCs w:val="28"/>
          <w:lang w:eastAsia="ru-RU"/>
        </w:rPr>
        <w:t>Основними проблемами, які перешкоджають процесу приватизації об’єктів державної власності груп А, Д, Ж, є:</w:t>
      </w:r>
    </w:p>
    <w:p w:rsidR="004462BE" w:rsidRPr="00242020" w:rsidRDefault="004462BE" w:rsidP="004462BE">
      <w:pPr>
        <w:tabs>
          <w:tab w:val="left" w:pos="720"/>
        </w:tabs>
        <w:jc w:val="both"/>
        <w:rPr>
          <w:rFonts w:eastAsia="Times New Roman" w:cs="Times New Roman"/>
          <w:szCs w:val="28"/>
          <w:lang w:eastAsia="ru-RU"/>
        </w:rPr>
      </w:pPr>
      <w:r w:rsidRPr="00242020">
        <w:rPr>
          <w:rFonts w:eastAsia="Times New Roman" w:cs="Times New Roman"/>
          <w:szCs w:val="28"/>
          <w:lang w:eastAsia="ru-RU"/>
        </w:rPr>
        <w:t>– зменшення попиту на об’єкти нерухомості внаслідок зниження купівельної спроможності покупців;</w:t>
      </w:r>
    </w:p>
    <w:p w:rsidR="004462BE" w:rsidRPr="00242020" w:rsidRDefault="004462BE" w:rsidP="004462BE">
      <w:pPr>
        <w:tabs>
          <w:tab w:val="left" w:pos="720"/>
        </w:tabs>
        <w:jc w:val="both"/>
        <w:rPr>
          <w:rFonts w:eastAsia="Times New Roman" w:cs="Times New Roman"/>
          <w:szCs w:val="28"/>
          <w:lang w:eastAsia="ru-RU"/>
        </w:rPr>
      </w:pPr>
      <w:r w:rsidRPr="00242020">
        <w:rPr>
          <w:rFonts w:eastAsia="Times New Roman" w:cs="Times New Roman"/>
          <w:szCs w:val="28"/>
          <w:lang w:eastAsia="ru-RU"/>
        </w:rPr>
        <w:t>– відсутність заяв на конкурс з відбору виконавців робіт із землеустрою;</w:t>
      </w:r>
    </w:p>
    <w:p w:rsidR="004462BE" w:rsidRPr="00242020" w:rsidRDefault="004462BE" w:rsidP="004462BE">
      <w:pPr>
        <w:tabs>
          <w:tab w:val="left" w:pos="720"/>
        </w:tabs>
        <w:jc w:val="both"/>
        <w:rPr>
          <w:rFonts w:eastAsia="Times New Roman" w:cs="Times New Roman"/>
          <w:szCs w:val="28"/>
          <w:lang w:eastAsia="ru-RU"/>
        </w:rPr>
      </w:pPr>
      <w:r w:rsidRPr="00242020">
        <w:rPr>
          <w:rFonts w:eastAsia="Times New Roman" w:cs="Times New Roman"/>
          <w:szCs w:val="28"/>
          <w:lang w:eastAsia="ru-RU"/>
        </w:rPr>
        <w:t>– відсутність коштів на виготовлення документів на земельні ділянки та відсутність правовстановлюючих документів на об’єкти нерухомості, які відповідно до статті 50 Закону України «Про землеустрій» є складовою проекту землеустрою щодо відведення земельних ділянок;</w:t>
      </w:r>
    </w:p>
    <w:p w:rsidR="004462BE" w:rsidRPr="00242020" w:rsidRDefault="004462BE" w:rsidP="004462BE">
      <w:pPr>
        <w:tabs>
          <w:tab w:val="left" w:pos="720"/>
        </w:tabs>
        <w:jc w:val="both"/>
        <w:rPr>
          <w:rFonts w:eastAsia="Times New Roman" w:cs="Times New Roman"/>
          <w:szCs w:val="28"/>
          <w:lang w:eastAsia="ru-RU"/>
        </w:rPr>
      </w:pPr>
      <w:r w:rsidRPr="00242020">
        <w:rPr>
          <w:rFonts w:eastAsia="Times New Roman" w:cs="Times New Roman"/>
          <w:szCs w:val="28"/>
          <w:lang w:eastAsia="ru-RU"/>
        </w:rPr>
        <w:t>– поширення на об’єкти приватизації дії частини дев’ятої статті 11 Закону України «Про управління об’єктами державної власності», згідно з якою щодо нерухомого майна об’єктів державної власності, що не підлягають приватизації, не можуть вчинятися дії, наслідком яких може бути його відчуження;</w:t>
      </w:r>
    </w:p>
    <w:p w:rsidR="004462BE" w:rsidRPr="00242020" w:rsidRDefault="004462BE" w:rsidP="004462BE">
      <w:pPr>
        <w:tabs>
          <w:tab w:val="left" w:pos="720"/>
        </w:tabs>
        <w:jc w:val="both"/>
        <w:rPr>
          <w:rFonts w:eastAsia="Times New Roman" w:cs="Times New Roman"/>
          <w:szCs w:val="28"/>
          <w:lang w:eastAsia="ru-RU"/>
        </w:rPr>
      </w:pPr>
      <w:r w:rsidRPr="00242020">
        <w:rPr>
          <w:rFonts w:eastAsia="Times New Roman" w:cs="Times New Roman"/>
          <w:szCs w:val="28"/>
          <w:lang w:eastAsia="ru-RU"/>
        </w:rPr>
        <w:lastRenderedPageBreak/>
        <w:t>– надання органами влади пропозицій до переліку об’єктів, що підлягають приватизації, одних і тих самих підприємств. При цьому проблемні питання, які унеможливлювали приватизацію підприємств у минулі роки, органами управління не вирішуються;</w:t>
      </w:r>
    </w:p>
    <w:p w:rsidR="004462BE" w:rsidRPr="00242020" w:rsidRDefault="004462BE" w:rsidP="004462BE">
      <w:pPr>
        <w:tabs>
          <w:tab w:val="left" w:pos="720"/>
        </w:tabs>
        <w:jc w:val="both"/>
        <w:rPr>
          <w:rFonts w:eastAsia="Times New Roman" w:cs="Times New Roman"/>
          <w:szCs w:val="28"/>
          <w:lang w:eastAsia="ru-RU"/>
        </w:rPr>
      </w:pPr>
      <w:r w:rsidRPr="00242020">
        <w:rPr>
          <w:rFonts w:eastAsia="Times New Roman" w:cs="Times New Roman"/>
          <w:szCs w:val="28"/>
          <w:lang w:eastAsia="ru-RU"/>
        </w:rPr>
        <w:t>– пропонування органами управління до приватизації підприємств, які перебувають на межі банкрутства, є збитковими та непривабливими для потенційних покупців. У зв’язку з цим підготовка таких підприємств до продажу потребує значних фінансових витрат, оскільки у них відсутні кошти на виготовлення правовстановлюючих документів, проведення аудиту тощо. Керівництво цих підприємств змушено було відчужувати за погодженням з органом управління найбільш ліквідне майно для забезпечення виплати зарплати працівникам.</w:t>
      </w:r>
    </w:p>
    <w:p w:rsidR="0088199A" w:rsidRPr="00242020" w:rsidRDefault="0088199A" w:rsidP="0088199A">
      <w:pPr>
        <w:jc w:val="center"/>
        <w:rPr>
          <w:b/>
          <w:sz w:val="10"/>
          <w:szCs w:val="10"/>
          <w:highlight w:val="yellow"/>
        </w:rPr>
      </w:pPr>
    </w:p>
    <w:p w:rsidR="0088199A" w:rsidRPr="00242020" w:rsidRDefault="0088199A" w:rsidP="0088199A">
      <w:pPr>
        <w:ind w:firstLine="0"/>
        <w:jc w:val="center"/>
        <w:rPr>
          <w:b/>
          <w:szCs w:val="28"/>
        </w:rPr>
      </w:pPr>
      <w:r w:rsidRPr="00242020">
        <w:rPr>
          <w:b/>
          <w:szCs w:val="28"/>
        </w:rPr>
        <w:t>Приватизація об’єктів групи А</w:t>
      </w:r>
    </w:p>
    <w:p w:rsidR="0088199A" w:rsidRPr="00242020" w:rsidRDefault="0088199A" w:rsidP="0088199A">
      <w:pPr>
        <w:jc w:val="both"/>
        <w:rPr>
          <w:sz w:val="10"/>
          <w:szCs w:val="10"/>
          <w:highlight w:val="yellow"/>
        </w:rPr>
      </w:pPr>
    </w:p>
    <w:p w:rsidR="004462BE" w:rsidRPr="00242020" w:rsidRDefault="004462BE" w:rsidP="004462BE">
      <w:pPr>
        <w:jc w:val="both"/>
        <w:rPr>
          <w:szCs w:val="28"/>
        </w:rPr>
      </w:pPr>
      <w:r w:rsidRPr="00242020">
        <w:rPr>
          <w:szCs w:val="28"/>
        </w:rPr>
        <w:t xml:space="preserve">Протягом 2016 року Фондом приватизовано </w:t>
      </w:r>
      <w:r w:rsidRPr="00242020">
        <w:rPr>
          <w:b/>
          <w:szCs w:val="28"/>
        </w:rPr>
        <w:t>114</w:t>
      </w:r>
      <w:r w:rsidRPr="00242020">
        <w:rPr>
          <w:szCs w:val="28"/>
        </w:rPr>
        <w:t xml:space="preserve"> об’єктів групи А державної форми власності, у тому числі </w:t>
      </w:r>
      <w:r w:rsidRPr="00242020">
        <w:rPr>
          <w:b/>
          <w:szCs w:val="28"/>
        </w:rPr>
        <w:t>8</w:t>
      </w:r>
      <w:r w:rsidRPr="00242020">
        <w:rPr>
          <w:szCs w:val="28"/>
        </w:rPr>
        <w:t xml:space="preserve"> об’єктів разом із земельними ділянками. </w:t>
      </w:r>
    </w:p>
    <w:p w:rsidR="004462BE" w:rsidRPr="00242020" w:rsidRDefault="004462BE" w:rsidP="004462BE">
      <w:pPr>
        <w:jc w:val="both"/>
        <w:rPr>
          <w:spacing w:val="-4"/>
          <w:szCs w:val="28"/>
        </w:rPr>
      </w:pPr>
      <w:r w:rsidRPr="00242020">
        <w:rPr>
          <w:szCs w:val="28"/>
        </w:rPr>
        <w:t xml:space="preserve">Надходження коштів від продажу об’єктів групи А становить </w:t>
      </w:r>
      <w:r w:rsidRPr="00242020">
        <w:rPr>
          <w:b/>
          <w:szCs w:val="28"/>
        </w:rPr>
        <w:t>1</w:t>
      </w:r>
      <w:r w:rsidRPr="00242020">
        <w:rPr>
          <w:b/>
          <w:spacing w:val="-4"/>
          <w:szCs w:val="28"/>
        </w:rPr>
        <w:t>59,682 </w:t>
      </w:r>
      <w:proofErr w:type="spellStart"/>
      <w:r w:rsidRPr="00242020">
        <w:rPr>
          <w:b/>
          <w:spacing w:val="-4"/>
          <w:szCs w:val="28"/>
        </w:rPr>
        <w:t>млн</w:t>
      </w:r>
      <w:proofErr w:type="spellEnd"/>
      <w:r w:rsidRPr="00242020">
        <w:rPr>
          <w:b/>
          <w:spacing w:val="-4"/>
          <w:szCs w:val="28"/>
        </w:rPr>
        <w:t xml:space="preserve"> </w:t>
      </w:r>
      <w:proofErr w:type="spellStart"/>
      <w:r w:rsidRPr="00242020">
        <w:rPr>
          <w:b/>
          <w:spacing w:val="-4"/>
          <w:szCs w:val="28"/>
        </w:rPr>
        <w:t>грн</w:t>
      </w:r>
      <w:proofErr w:type="spellEnd"/>
      <w:r w:rsidRPr="00242020">
        <w:rPr>
          <w:b/>
          <w:spacing w:val="-4"/>
          <w:szCs w:val="28"/>
        </w:rPr>
        <w:t xml:space="preserve"> </w:t>
      </w:r>
      <w:r w:rsidRPr="00242020">
        <w:rPr>
          <w:spacing w:val="-4"/>
          <w:szCs w:val="28"/>
        </w:rPr>
        <w:t xml:space="preserve">(у тому числі від продажу земельних ділянок – </w:t>
      </w:r>
      <w:r w:rsidRPr="00242020">
        <w:rPr>
          <w:b/>
          <w:spacing w:val="-4"/>
          <w:szCs w:val="28"/>
        </w:rPr>
        <w:t xml:space="preserve">1,396 </w:t>
      </w:r>
      <w:proofErr w:type="spellStart"/>
      <w:r w:rsidRPr="00242020">
        <w:rPr>
          <w:b/>
          <w:spacing w:val="-4"/>
          <w:szCs w:val="28"/>
        </w:rPr>
        <w:t>млн</w:t>
      </w:r>
      <w:proofErr w:type="spellEnd"/>
      <w:r w:rsidRPr="00242020">
        <w:rPr>
          <w:b/>
          <w:spacing w:val="-4"/>
          <w:szCs w:val="28"/>
        </w:rPr>
        <w:t xml:space="preserve"> </w:t>
      </w:r>
      <w:proofErr w:type="spellStart"/>
      <w:r w:rsidRPr="00242020">
        <w:rPr>
          <w:b/>
          <w:spacing w:val="-4"/>
          <w:szCs w:val="28"/>
        </w:rPr>
        <w:t>грн</w:t>
      </w:r>
      <w:proofErr w:type="spellEnd"/>
      <w:r w:rsidRPr="00242020">
        <w:rPr>
          <w:spacing w:val="-4"/>
          <w:szCs w:val="28"/>
        </w:rPr>
        <w:t>).</w:t>
      </w:r>
    </w:p>
    <w:p w:rsidR="004462BE" w:rsidRPr="00242020" w:rsidRDefault="004462BE" w:rsidP="004462BE">
      <w:pPr>
        <w:jc w:val="both"/>
        <w:rPr>
          <w:szCs w:val="28"/>
        </w:rPr>
      </w:pPr>
      <w:r w:rsidRPr="00242020">
        <w:rPr>
          <w:i/>
          <w:szCs w:val="28"/>
        </w:rPr>
        <w:t xml:space="preserve">За 2015 рік приватизовано </w:t>
      </w:r>
      <w:r w:rsidRPr="00242020">
        <w:rPr>
          <w:b/>
          <w:i/>
          <w:szCs w:val="28"/>
        </w:rPr>
        <w:t>82</w:t>
      </w:r>
      <w:r w:rsidRPr="00242020">
        <w:rPr>
          <w:i/>
          <w:szCs w:val="28"/>
        </w:rPr>
        <w:t xml:space="preserve"> об’єкти групи А державної форми власності, у тому числі</w:t>
      </w:r>
      <w:r w:rsidRPr="00242020">
        <w:rPr>
          <w:b/>
          <w:i/>
          <w:szCs w:val="28"/>
        </w:rPr>
        <w:t xml:space="preserve"> 11 </w:t>
      </w:r>
      <w:r w:rsidRPr="00242020">
        <w:rPr>
          <w:i/>
          <w:szCs w:val="28"/>
        </w:rPr>
        <w:t xml:space="preserve">об’єктів разом із земельними ділянками. Надходження коштів від продажу об’єктів групи А державної форми власності становило </w:t>
      </w:r>
      <w:r w:rsidRPr="00242020">
        <w:rPr>
          <w:b/>
          <w:i/>
          <w:szCs w:val="28"/>
        </w:rPr>
        <w:t xml:space="preserve">34,170 </w:t>
      </w:r>
      <w:proofErr w:type="spellStart"/>
      <w:r w:rsidRPr="00242020">
        <w:rPr>
          <w:b/>
          <w:i/>
          <w:szCs w:val="28"/>
        </w:rPr>
        <w:t>млн</w:t>
      </w:r>
      <w:proofErr w:type="spellEnd"/>
      <w:r w:rsidRPr="00242020">
        <w:rPr>
          <w:b/>
          <w:i/>
          <w:szCs w:val="28"/>
        </w:rPr>
        <w:t xml:space="preserve"> </w:t>
      </w:r>
      <w:proofErr w:type="spellStart"/>
      <w:r w:rsidRPr="00242020">
        <w:rPr>
          <w:b/>
          <w:i/>
          <w:szCs w:val="28"/>
        </w:rPr>
        <w:t>грн</w:t>
      </w:r>
      <w:proofErr w:type="spellEnd"/>
      <w:r w:rsidRPr="00242020">
        <w:rPr>
          <w:i/>
          <w:szCs w:val="28"/>
        </w:rPr>
        <w:t xml:space="preserve"> (у тому числі від продажу земельних ділянок – </w:t>
      </w:r>
      <w:r w:rsidRPr="00242020">
        <w:rPr>
          <w:b/>
          <w:i/>
          <w:szCs w:val="28"/>
        </w:rPr>
        <w:t xml:space="preserve">3,286 </w:t>
      </w:r>
      <w:proofErr w:type="spellStart"/>
      <w:r w:rsidRPr="00242020">
        <w:rPr>
          <w:b/>
          <w:i/>
          <w:szCs w:val="28"/>
        </w:rPr>
        <w:t>млн</w:t>
      </w:r>
      <w:proofErr w:type="spellEnd"/>
      <w:r w:rsidRPr="00242020">
        <w:rPr>
          <w:b/>
          <w:i/>
          <w:szCs w:val="28"/>
        </w:rPr>
        <w:t xml:space="preserve"> </w:t>
      </w:r>
      <w:proofErr w:type="spellStart"/>
      <w:r w:rsidRPr="00242020">
        <w:rPr>
          <w:b/>
          <w:i/>
          <w:szCs w:val="28"/>
        </w:rPr>
        <w:t>грн</w:t>
      </w:r>
      <w:proofErr w:type="spellEnd"/>
      <w:r w:rsidRPr="00242020">
        <w:rPr>
          <w:i/>
          <w:szCs w:val="28"/>
        </w:rPr>
        <w:t xml:space="preserve">). </w:t>
      </w:r>
    </w:p>
    <w:p w:rsidR="0088199A" w:rsidRPr="00242020" w:rsidRDefault="0088199A" w:rsidP="0088199A">
      <w:pPr>
        <w:ind w:firstLine="900"/>
        <w:jc w:val="both"/>
        <w:rPr>
          <w:sz w:val="10"/>
          <w:szCs w:val="10"/>
          <w:highlight w:val="yellow"/>
        </w:rPr>
      </w:pPr>
    </w:p>
    <w:p w:rsidR="0088199A" w:rsidRPr="00242020" w:rsidRDefault="0088199A" w:rsidP="0088199A">
      <w:pPr>
        <w:ind w:firstLine="0"/>
        <w:jc w:val="center"/>
        <w:rPr>
          <w:b/>
          <w:szCs w:val="28"/>
        </w:rPr>
      </w:pPr>
      <w:r w:rsidRPr="00242020">
        <w:rPr>
          <w:b/>
          <w:szCs w:val="28"/>
        </w:rPr>
        <w:t>Приватизація об’єктів групи Д</w:t>
      </w:r>
    </w:p>
    <w:p w:rsidR="0088199A" w:rsidRPr="00242020" w:rsidRDefault="0088199A" w:rsidP="0088199A">
      <w:pPr>
        <w:jc w:val="both"/>
        <w:rPr>
          <w:sz w:val="10"/>
          <w:szCs w:val="10"/>
          <w:highlight w:val="yellow"/>
        </w:rPr>
      </w:pPr>
    </w:p>
    <w:p w:rsidR="004462BE" w:rsidRPr="00242020" w:rsidRDefault="004462BE" w:rsidP="004462BE">
      <w:pPr>
        <w:jc w:val="both"/>
        <w:rPr>
          <w:szCs w:val="28"/>
        </w:rPr>
      </w:pPr>
      <w:r w:rsidRPr="00242020">
        <w:rPr>
          <w:szCs w:val="28"/>
        </w:rPr>
        <w:t xml:space="preserve">Протягом 2016 року Фондом приватизовано </w:t>
      </w:r>
      <w:r w:rsidRPr="00242020">
        <w:rPr>
          <w:b/>
          <w:szCs w:val="28"/>
        </w:rPr>
        <w:t>18</w:t>
      </w:r>
      <w:r w:rsidRPr="00242020">
        <w:rPr>
          <w:szCs w:val="28"/>
        </w:rPr>
        <w:t xml:space="preserve"> об’єктів групи Д державної форми власності, у тому числі </w:t>
      </w:r>
      <w:r w:rsidRPr="00242020">
        <w:rPr>
          <w:b/>
          <w:szCs w:val="28"/>
        </w:rPr>
        <w:t>8</w:t>
      </w:r>
      <w:r w:rsidRPr="00242020">
        <w:rPr>
          <w:szCs w:val="28"/>
        </w:rPr>
        <w:t xml:space="preserve"> об’єктів разом із земельними ділянками. </w:t>
      </w:r>
    </w:p>
    <w:p w:rsidR="004462BE" w:rsidRPr="00242020" w:rsidRDefault="004462BE" w:rsidP="004462BE">
      <w:pPr>
        <w:jc w:val="both"/>
        <w:rPr>
          <w:spacing w:val="-4"/>
          <w:szCs w:val="28"/>
        </w:rPr>
      </w:pPr>
      <w:r w:rsidRPr="00242020">
        <w:rPr>
          <w:szCs w:val="28"/>
        </w:rPr>
        <w:t xml:space="preserve">Надходження коштів від продажу об’єктів групи Д становить </w:t>
      </w:r>
      <w:r w:rsidRPr="00242020">
        <w:rPr>
          <w:b/>
          <w:szCs w:val="28"/>
        </w:rPr>
        <w:br/>
        <w:t>10</w:t>
      </w:r>
      <w:r w:rsidRPr="00242020">
        <w:rPr>
          <w:b/>
          <w:spacing w:val="-4"/>
          <w:szCs w:val="28"/>
        </w:rPr>
        <w:t xml:space="preserve">,943 </w:t>
      </w:r>
      <w:proofErr w:type="spellStart"/>
      <w:r w:rsidRPr="00242020">
        <w:rPr>
          <w:b/>
          <w:spacing w:val="-4"/>
          <w:szCs w:val="28"/>
        </w:rPr>
        <w:t>млн</w:t>
      </w:r>
      <w:proofErr w:type="spellEnd"/>
      <w:r w:rsidRPr="00242020">
        <w:rPr>
          <w:b/>
          <w:spacing w:val="-4"/>
          <w:szCs w:val="28"/>
        </w:rPr>
        <w:t xml:space="preserve"> </w:t>
      </w:r>
      <w:proofErr w:type="spellStart"/>
      <w:r w:rsidRPr="00242020">
        <w:rPr>
          <w:b/>
          <w:spacing w:val="-4"/>
          <w:szCs w:val="28"/>
        </w:rPr>
        <w:t>грн</w:t>
      </w:r>
      <w:proofErr w:type="spellEnd"/>
      <w:r w:rsidRPr="00242020">
        <w:rPr>
          <w:spacing w:val="-4"/>
          <w:szCs w:val="28"/>
        </w:rPr>
        <w:t xml:space="preserve"> (у тому числі від продажу земельних ділянок – </w:t>
      </w:r>
      <w:r w:rsidRPr="00242020">
        <w:rPr>
          <w:b/>
          <w:spacing w:val="-4"/>
          <w:szCs w:val="28"/>
        </w:rPr>
        <w:t xml:space="preserve">2,152 </w:t>
      </w:r>
      <w:proofErr w:type="spellStart"/>
      <w:r w:rsidRPr="00242020">
        <w:rPr>
          <w:b/>
          <w:spacing w:val="-4"/>
          <w:szCs w:val="28"/>
        </w:rPr>
        <w:t>млн</w:t>
      </w:r>
      <w:proofErr w:type="spellEnd"/>
      <w:r w:rsidRPr="00242020">
        <w:rPr>
          <w:b/>
          <w:spacing w:val="-4"/>
          <w:szCs w:val="28"/>
        </w:rPr>
        <w:t xml:space="preserve"> </w:t>
      </w:r>
      <w:proofErr w:type="spellStart"/>
      <w:r w:rsidRPr="00242020">
        <w:rPr>
          <w:b/>
          <w:spacing w:val="-4"/>
          <w:szCs w:val="28"/>
        </w:rPr>
        <w:t>грн</w:t>
      </w:r>
      <w:proofErr w:type="spellEnd"/>
      <w:r w:rsidRPr="00242020">
        <w:rPr>
          <w:spacing w:val="-4"/>
          <w:szCs w:val="28"/>
        </w:rPr>
        <w:t>).</w:t>
      </w:r>
    </w:p>
    <w:p w:rsidR="004462BE" w:rsidRPr="00242020" w:rsidRDefault="004462BE" w:rsidP="004462BE">
      <w:pPr>
        <w:jc w:val="both"/>
        <w:rPr>
          <w:szCs w:val="28"/>
        </w:rPr>
      </w:pPr>
      <w:r w:rsidRPr="00242020">
        <w:rPr>
          <w:i/>
          <w:szCs w:val="28"/>
        </w:rPr>
        <w:t xml:space="preserve">За 2015 рік приватизовано </w:t>
      </w:r>
      <w:r w:rsidRPr="00242020">
        <w:rPr>
          <w:b/>
          <w:i/>
          <w:szCs w:val="28"/>
        </w:rPr>
        <w:t>18</w:t>
      </w:r>
      <w:r w:rsidRPr="00242020">
        <w:rPr>
          <w:i/>
          <w:szCs w:val="28"/>
        </w:rPr>
        <w:t xml:space="preserve"> об’єктів групи Д державної форми власності, у тому числі </w:t>
      </w:r>
      <w:r w:rsidRPr="00242020">
        <w:rPr>
          <w:b/>
          <w:i/>
          <w:szCs w:val="28"/>
        </w:rPr>
        <w:t>10</w:t>
      </w:r>
      <w:r w:rsidRPr="00242020">
        <w:rPr>
          <w:i/>
          <w:szCs w:val="28"/>
        </w:rPr>
        <w:t xml:space="preserve"> об’єктів разом із земельними ділянками. Надходження коштів від продажу об’єктів групи Д державної форми власності становило </w:t>
      </w:r>
      <w:r w:rsidRPr="00242020">
        <w:rPr>
          <w:b/>
          <w:i/>
          <w:szCs w:val="28"/>
        </w:rPr>
        <w:t xml:space="preserve">7,678 </w:t>
      </w:r>
      <w:proofErr w:type="spellStart"/>
      <w:r w:rsidRPr="00242020">
        <w:rPr>
          <w:b/>
          <w:i/>
          <w:szCs w:val="28"/>
        </w:rPr>
        <w:t>млн</w:t>
      </w:r>
      <w:proofErr w:type="spellEnd"/>
      <w:r w:rsidRPr="00242020">
        <w:rPr>
          <w:b/>
          <w:i/>
          <w:szCs w:val="28"/>
        </w:rPr>
        <w:t xml:space="preserve"> </w:t>
      </w:r>
      <w:proofErr w:type="spellStart"/>
      <w:r w:rsidRPr="00242020">
        <w:rPr>
          <w:b/>
          <w:i/>
          <w:szCs w:val="28"/>
        </w:rPr>
        <w:t>грн</w:t>
      </w:r>
      <w:proofErr w:type="spellEnd"/>
      <w:r w:rsidRPr="00242020">
        <w:rPr>
          <w:i/>
          <w:szCs w:val="28"/>
        </w:rPr>
        <w:t xml:space="preserve"> (у тому числі від продажу земельних ділянок – </w:t>
      </w:r>
      <w:r w:rsidRPr="00242020">
        <w:rPr>
          <w:b/>
          <w:i/>
          <w:szCs w:val="28"/>
        </w:rPr>
        <w:t xml:space="preserve">1,834 </w:t>
      </w:r>
      <w:proofErr w:type="spellStart"/>
      <w:r w:rsidRPr="00242020">
        <w:rPr>
          <w:b/>
          <w:i/>
          <w:szCs w:val="28"/>
        </w:rPr>
        <w:t>млн</w:t>
      </w:r>
      <w:proofErr w:type="spellEnd"/>
      <w:r w:rsidRPr="00242020">
        <w:rPr>
          <w:b/>
          <w:i/>
          <w:szCs w:val="28"/>
        </w:rPr>
        <w:t xml:space="preserve"> </w:t>
      </w:r>
      <w:proofErr w:type="spellStart"/>
      <w:r w:rsidRPr="00242020">
        <w:rPr>
          <w:b/>
          <w:i/>
          <w:szCs w:val="28"/>
        </w:rPr>
        <w:t>грн</w:t>
      </w:r>
      <w:proofErr w:type="spellEnd"/>
      <w:r w:rsidRPr="00242020">
        <w:rPr>
          <w:i/>
          <w:szCs w:val="28"/>
        </w:rPr>
        <w:t>).</w:t>
      </w:r>
    </w:p>
    <w:p w:rsidR="0088199A" w:rsidRPr="00242020" w:rsidRDefault="0088199A" w:rsidP="0088199A">
      <w:pPr>
        <w:ind w:firstLine="900"/>
        <w:jc w:val="both"/>
        <w:rPr>
          <w:sz w:val="10"/>
          <w:szCs w:val="10"/>
          <w:highlight w:val="yellow"/>
        </w:rPr>
      </w:pPr>
    </w:p>
    <w:p w:rsidR="0088199A" w:rsidRPr="00242020" w:rsidRDefault="0088199A" w:rsidP="0088199A">
      <w:pPr>
        <w:ind w:firstLine="0"/>
        <w:jc w:val="center"/>
        <w:rPr>
          <w:b/>
          <w:szCs w:val="28"/>
        </w:rPr>
      </w:pPr>
      <w:r w:rsidRPr="00242020">
        <w:rPr>
          <w:b/>
          <w:szCs w:val="28"/>
        </w:rPr>
        <w:t>Приватизація об’єктів групи Ж</w:t>
      </w:r>
    </w:p>
    <w:p w:rsidR="0088199A" w:rsidRPr="00242020" w:rsidRDefault="0088199A" w:rsidP="0088199A">
      <w:pPr>
        <w:ind w:firstLine="900"/>
        <w:jc w:val="both"/>
        <w:rPr>
          <w:sz w:val="10"/>
          <w:szCs w:val="10"/>
        </w:rPr>
      </w:pPr>
    </w:p>
    <w:p w:rsidR="004462BE" w:rsidRPr="00242020" w:rsidRDefault="004462BE" w:rsidP="004462BE">
      <w:pPr>
        <w:jc w:val="both"/>
        <w:rPr>
          <w:szCs w:val="28"/>
        </w:rPr>
      </w:pPr>
      <w:r w:rsidRPr="00242020">
        <w:rPr>
          <w:szCs w:val="28"/>
        </w:rPr>
        <w:t xml:space="preserve">Протягом 2016 року Фондом приватизовано </w:t>
      </w:r>
      <w:r w:rsidRPr="00242020">
        <w:rPr>
          <w:b/>
          <w:szCs w:val="28"/>
        </w:rPr>
        <w:t xml:space="preserve">3 </w:t>
      </w:r>
      <w:r w:rsidRPr="00242020">
        <w:rPr>
          <w:szCs w:val="28"/>
        </w:rPr>
        <w:t xml:space="preserve">об’єкти групи Ж державної форми власності.  </w:t>
      </w:r>
    </w:p>
    <w:p w:rsidR="004462BE" w:rsidRPr="00242020" w:rsidRDefault="004462BE" w:rsidP="004462BE">
      <w:pPr>
        <w:jc w:val="both"/>
        <w:rPr>
          <w:szCs w:val="28"/>
        </w:rPr>
      </w:pPr>
      <w:r w:rsidRPr="00242020">
        <w:rPr>
          <w:szCs w:val="28"/>
        </w:rPr>
        <w:t xml:space="preserve">Надходження коштів від продажу об’єктів групи Ж становить </w:t>
      </w:r>
      <w:r w:rsidRPr="00242020">
        <w:rPr>
          <w:szCs w:val="28"/>
        </w:rPr>
        <w:br/>
      </w:r>
      <w:r w:rsidRPr="00242020">
        <w:rPr>
          <w:b/>
          <w:szCs w:val="28"/>
        </w:rPr>
        <w:t>837,88 тис. грн.</w:t>
      </w:r>
    </w:p>
    <w:p w:rsidR="004462BE" w:rsidRPr="00242020" w:rsidRDefault="004462BE" w:rsidP="004462BE">
      <w:pPr>
        <w:jc w:val="both"/>
        <w:rPr>
          <w:i/>
          <w:szCs w:val="28"/>
        </w:rPr>
      </w:pPr>
      <w:r w:rsidRPr="00242020">
        <w:rPr>
          <w:i/>
          <w:szCs w:val="28"/>
        </w:rPr>
        <w:t xml:space="preserve">За 2015 рік приватизовано </w:t>
      </w:r>
      <w:r w:rsidRPr="00242020">
        <w:rPr>
          <w:b/>
          <w:i/>
          <w:szCs w:val="28"/>
        </w:rPr>
        <w:t xml:space="preserve">9 </w:t>
      </w:r>
      <w:r w:rsidRPr="00242020">
        <w:rPr>
          <w:i/>
          <w:szCs w:val="28"/>
        </w:rPr>
        <w:t xml:space="preserve">об’єктів групи Ж державної форми власності, у тому числі </w:t>
      </w:r>
      <w:r w:rsidRPr="00242020">
        <w:rPr>
          <w:b/>
          <w:i/>
          <w:szCs w:val="28"/>
        </w:rPr>
        <w:t>2</w:t>
      </w:r>
      <w:r w:rsidRPr="00242020">
        <w:rPr>
          <w:i/>
          <w:szCs w:val="28"/>
        </w:rPr>
        <w:t xml:space="preserve"> об’єкти разом із земельною ділянкою. Надходження коштів від продажу об’єктів групи Ж становило </w:t>
      </w:r>
      <w:r w:rsidRPr="00242020">
        <w:rPr>
          <w:b/>
          <w:i/>
          <w:szCs w:val="28"/>
        </w:rPr>
        <w:t xml:space="preserve">3,635 </w:t>
      </w:r>
      <w:proofErr w:type="spellStart"/>
      <w:r w:rsidRPr="00242020">
        <w:rPr>
          <w:b/>
          <w:i/>
          <w:szCs w:val="28"/>
        </w:rPr>
        <w:t>млн</w:t>
      </w:r>
      <w:proofErr w:type="spellEnd"/>
      <w:r w:rsidRPr="00242020">
        <w:rPr>
          <w:b/>
          <w:i/>
          <w:szCs w:val="28"/>
        </w:rPr>
        <w:t xml:space="preserve"> </w:t>
      </w:r>
      <w:proofErr w:type="spellStart"/>
      <w:r w:rsidRPr="00242020">
        <w:rPr>
          <w:b/>
          <w:i/>
          <w:szCs w:val="28"/>
        </w:rPr>
        <w:t>грн</w:t>
      </w:r>
      <w:proofErr w:type="spellEnd"/>
      <w:r w:rsidRPr="00242020">
        <w:rPr>
          <w:i/>
          <w:szCs w:val="28"/>
        </w:rPr>
        <w:t xml:space="preserve"> (у тому числі від продажу земельної ділянки – </w:t>
      </w:r>
      <w:r w:rsidRPr="00242020">
        <w:rPr>
          <w:b/>
          <w:i/>
          <w:szCs w:val="28"/>
        </w:rPr>
        <w:t xml:space="preserve">40,59 тис. </w:t>
      </w:r>
      <w:proofErr w:type="spellStart"/>
      <w:r w:rsidRPr="00242020">
        <w:rPr>
          <w:b/>
          <w:i/>
          <w:szCs w:val="28"/>
        </w:rPr>
        <w:t>грн</w:t>
      </w:r>
      <w:proofErr w:type="spellEnd"/>
      <w:r w:rsidRPr="00242020">
        <w:rPr>
          <w:i/>
          <w:szCs w:val="28"/>
        </w:rPr>
        <w:t>).</w:t>
      </w:r>
    </w:p>
    <w:p w:rsidR="0088199A" w:rsidRPr="00242020" w:rsidRDefault="0088199A" w:rsidP="008C0559">
      <w:pPr>
        <w:pStyle w:val="a9"/>
        <w:ind w:firstLine="0"/>
        <w:rPr>
          <w:sz w:val="28"/>
          <w:szCs w:val="28"/>
        </w:rPr>
      </w:pPr>
      <w:r w:rsidRPr="00242020">
        <w:rPr>
          <w:sz w:val="28"/>
          <w:szCs w:val="28"/>
        </w:rPr>
        <w:lastRenderedPageBreak/>
        <w:t>2.2.3. Приватизація об’єктів групи Е</w:t>
      </w:r>
    </w:p>
    <w:p w:rsidR="003B1438" w:rsidRPr="00242020" w:rsidRDefault="003B1438" w:rsidP="004462BE">
      <w:pPr>
        <w:tabs>
          <w:tab w:val="left" w:pos="5656"/>
        </w:tabs>
        <w:jc w:val="both"/>
        <w:rPr>
          <w:bCs/>
          <w:iCs/>
          <w:sz w:val="12"/>
          <w:szCs w:val="12"/>
        </w:rPr>
      </w:pPr>
    </w:p>
    <w:p w:rsidR="004462BE" w:rsidRPr="00242020" w:rsidRDefault="004462BE" w:rsidP="004462BE">
      <w:pPr>
        <w:tabs>
          <w:tab w:val="left" w:pos="5656"/>
        </w:tabs>
        <w:jc w:val="both"/>
        <w:rPr>
          <w:bCs/>
          <w:iCs/>
          <w:szCs w:val="28"/>
        </w:rPr>
      </w:pPr>
      <w:r w:rsidRPr="00242020">
        <w:rPr>
          <w:bCs/>
          <w:iCs/>
          <w:szCs w:val="28"/>
        </w:rPr>
        <w:t>З метою виконання завдань з надходження коштів від приватизації державного майна групи Е до державного бюджету наказом Фонду від</w:t>
      </w:r>
      <w:r w:rsidRPr="00242020">
        <w:rPr>
          <w:bCs/>
          <w:iCs/>
          <w:szCs w:val="28"/>
        </w:rPr>
        <w:br/>
        <w:t>15 червня 2015 року № 857 (із змінами) затверджено перелік об</w:t>
      </w:r>
      <w:r w:rsidRPr="00242020">
        <w:rPr>
          <w:bCs/>
          <w:szCs w:val="28"/>
        </w:rPr>
        <w:t>’</w:t>
      </w:r>
      <w:r w:rsidRPr="00242020">
        <w:rPr>
          <w:bCs/>
          <w:iCs/>
          <w:szCs w:val="28"/>
        </w:rPr>
        <w:t>єктів групи Е, що підлягають приватизації у 2016 році</w:t>
      </w:r>
      <w:r w:rsidRPr="00242020">
        <w:rPr>
          <w:bCs/>
          <w:szCs w:val="28"/>
        </w:rPr>
        <w:t>.</w:t>
      </w:r>
      <w:r w:rsidRPr="00242020">
        <w:rPr>
          <w:bCs/>
          <w:iCs/>
          <w:szCs w:val="28"/>
        </w:rPr>
        <w:t xml:space="preserve"> </w:t>
      </w:r>
    </w:p>
    <w:p w:rsidR="004462BE" w:rsidRPr="00242020" w:rsidRDefault="004462BE" w:rsidP="004462BE">
      <w:pPr>
        <w:jc w:val="both"/>
        <w:rPr>
          <w:szCs w:val="28"/>
        </w:rPr>
      </w:pPr>
      <w:r w:rsidRPr="00242020">
        <w:rPr>
          <w:szCs w:val="28"/>
        </w:rPr>
        <w:t xml:space="preserve">Протягом 2016 року Фондом здійснювалися заходи з підготовки до приватизації та продажу об’єктів групи Е. </w:t>
      </w:r>
    </w:p>
    <w:p w:rsidR="004462BE" w:rsidRPr="008315B5" w:rsidRDefault="004462BE" w:rsidP="004462BE">
      <w:pPr>
        <w:tabs>
          <w:tab w:val="left" w:pos="5656"/>
        </w:tabs>
        <w:jc w:val="both"/>
        <w:rPr>
          <w:spacing w:val="-4"/>
          <w:szCs w:val="28"/>
        </w:rPr>
      </w:pPr>
      <w:r w:rsidRPr="008315B5">
        <w:rPr>
          <w:spacing w:val="-4"/>
          <w:szCs w:val="28"/>
        </w:rPr>
        <w:t xml:space="preserve">З метою забезпечення продажу пакетів акцій (частки), що належить Фонду у статутних капіталах господарських товариств, прийнято рішення про приватизацію державних пакетів акцій (часток) </w:t>
      </w:r>
      <w:r w:rsidR="00BE601D" w:rsidRPr="008315B5">
        <w:rPr>
          <w:b/>
          <w:spacing w:val="-4"/>
          <w:szCs w:val="28"/>
        </w:rPr>
        <w:t>6</w:t>
      </w:r>
      <w:r w:rsidRPr="008315B5">
        <w:rPr>
          <w:spacing w:val="-4"/>
          <w:szCs w:val="28"/>
        </w:rPr>
        <w:t xml:space="preserve"> господарських товариств, а саме: </w:t>
      </w:r>
    </w:p>
    <w:p w:rsidR="004462BE" w:rsidRPr="008315B5" w:rsidRDefault="004462BE" w:rsidP="004462BE">
      <w:pPr>
        <w:jc w:val="both"/>
        <w:rPr>
          <w:szCs w:val="28"/>
        </w:rPr>
      </w:pPr>
      <w:r w:rsidRPr="008315B5">
        <w:rPr>
          <w:szCs w:val="28"/>
        </w:rPr>
        <w:t>1. ЗАТ «Міжнародна космічна компанія «</w:t>
      </w:r>
      <w:proofErr w:type="spellStart"/>
      <w:r w:rsidRPr="008315B5">
        <w:rPr>
          <w:szCs w:val="28"/>
        </w:rPr>
        <w:t>Космотрас</w:t>
      </w:r>
      <w:proofErr w:type="spellEnd"/>
      <w:r w:rsidRPr="008315B5">
        <w:rPr>
          <w:szCs w:val="28"/>
        </w:rPr>
        <w:t>».</w:t>
      </w:r>
    </w:p>
    <w:p w:rsidR="004462BE" w:rsidRPr="008315B5" w:rsidRDefault="004462BE" w:rsidP="004462BE">
      <w:pPr>
        <w:jc w:val="both"/>
        <w:rPr>
          <w:szCs w:val="28"/>
        </w:rPr>
      </w:pPr>
      <w:r w:rsidRPr="008315B5">
        <w:rPr>
          <w:szCs w:val="28"/>
        </w:rPr>
        <w:t xml:space="preserve">2. </w:t>
      </w:r>
      <w:proofErr w:type="spellStart"/>
      <w:r w:rsidRPr="008315B5">
        <w:rPr>
          <w:szCs w:val="28"/>
        </w:rPr>
        <w:t>ПрАТ</w:t>
      </w:r>
      <w:proofErr w:type="spellEnd"/>
      <w:r w:rsidRPr="008315B5">
        <w:rPr>
          <w:szCs w:val="28"/>
        </w:rPr>
        <w:t xml:space="preserve"> «Спільне українсько-казахстансько-російське підприємство з виробництва ядерного палива».</w:t>
      </w:r>
    </w:p>
    <w:p w:rsidR="004462BE" w:rsidRPr="008315B5" w:rsidRDefault="004462BE" w:rsidP="004462BE">
      <w:pPr>
        <w:jc w:val="both"/>
        <w:rPr>
          <w:szCs w:val="28"/>
        </w:rPr>
      </w:pPr>
      <w:r w:rsidRPr="008315B5">
        <w:rPr>
          <w:szCs w:val="28"/>
        </w:rPr>
        <w:t>3. ТОВ «Світ ласощів».</w:t>
      </w:r>
    </w:p>
    <w:p w:rsidR="00BE601D" w:rsidRPr="008315B5" w:rsidRDefault="00BE601D" w:rsidP="00BE601D">
      <w:pPr>
        <w:tabs>
          <w:tab w:val="left" w:pos="5656"/>
        </w:tabs>
        <w:jc w:val="both"/>
        <w:rPr>
          <w:sz w:val="26"/>
          <w:szCs w:val="26"/>
        </w:rPr>
      </w:pPr>
      <w:r w:rsidRPr="008315B5">
        <w:rPr>
          <w:sz w:val="26"/>
          <w:szCs w:val="26"/>
        </w:rPr>
        <w:t xml:space="preserve">4. </w:t>
      </w:r>
      <w:proofErr w:type="spellStart"/>
      <w:r w:rsidRPr="008315B5">
        <w:rPr>
          <w:sz w:val="26"/>
          <w:szCs w:val="26"/>
        </w:rPr>
        <w:t>ПрАТ</w:t>
      </w:r>
      <w:proofErr w:type="spellEnd"/>
      <w:r w:rsidRPr="008315B5">
        <w:rPr>
          <w:sz w:val="26"/>
          <w:szCs w:val="26"/>
        </w:rPr>
        <w:t xml:space="preserve"> «Президент-Готель».</w:t>
      </w:r>
    </w:p>
    <w:p w:rsidR="00BE601D" w:rsidRPr="008315B5" w:rsidRDefault="00BE601D" w:rsidP="00BE601D">
      <w:pPr>
        <w:jc w:val="both"/>
        <w:rPr>
          <w:sz w:val="26"/>
          <w:szCs w:val="26"/>
        </w:rPr>
      </w:pPr>
      <w:r w:rsidRPr="008315B5">
        <w:rPr>
          <w:sz w:val="26"/>
          <w:szCs w:val="26"/>
        </w:rPr>
        <w:t xml:space="preserve">5. </w:t>
      </w:r>
      <w:proofErr w:type="spellStart"/>
      <w:r w:rsidRPr="008315B5">
        <w:rPr>
          <w:sz w:val="26"/>
          <w:szCs w:val="26"/>
        </w:rPr>
        <w:t>ПрАТ</w:t>
      </w:r>
      <w:proofErr w:type="spellEnd"/>
      <w:r w:rsidRPr="008315B5">
        <w:rPr>
          <w:sz w:val="26"/>
          <w:szCs w:val="26"/>
        </w:rPr>
        <w:t xml:space="preserve"> «</w:t>
      </w:r>
      <w:proofErr w:type="spellStart"/>
      <w:r w:rsidRPr="008315B5">
        <w:rPr>
          <w:sz w:val="26"/>
          <w:szCs w:val="26"/>
        </w:rPr>
        <w:t>АТОМПРОФОЗДОРОВНИЦЯ</w:t>
      </w:r>
      <w:proofErr w:type="spellEnd"/>
      <w:r w:rsidRPr="008315B5">
        <w:rPr>
          <w:sz w:val="26"/>
          <w:szCs w:val="26"/>
        </w:rPr>
        <w:t>».</w:t>
      </w:r>
    </w:p>
    <w:p w:rsidR="00BE601D" w:rsidRPr="008315B5" w:rsidRDefault="00BE601D" w:rsidP="00BE601D">
      <w:pPr>
        <w:jc w:val="both"/>
        <w:rPr>
          <w:szCs w:val="28"/>
        </w:rPr>
      </w:pPr>
      <w:r w:rsidRPr="008315B5">
        <w:rPr>
          <w:sz w:val="26"/>
          <w:szCs w:val="26"/>
        </w:rPr>
        <w:t>6. ТОВ «Учбово-атестаційний Центр по неруйнівному контролю».</w:t>
      </w:r>
    </w:p>
    <w:p w:rsidR="004462BE" w:rsidRPr="008315B5" w:rsidRDefault="004462BE" w:rsidP="004462BE">
      <w:pPr>
        <w:tabs>
          <w:tab w:val="left" w:pos="5656"/>
        </w:tabs>
        <w:jc w:val="both"/>
        <w:rPr>
          <w:spacing w:val="-4"/>
          <w:szCs w:val="28"/>
        </w:rPr>
      </w:pPr>
      <w:r w:rsidRPr="008315B5">
        <w:rPr>
          <w:spacing w:val="-4"/>
          <w:szCs w:val="28"/>
        </w:rPr>
        <w:t xml:space="preserve">Для реалізації акціонерами переважного права викупу надіслано повідомлення щодо продажу державних пакетів акцій (часток) </w:t>
      </w:r>
      <w:r w:rsidRPr="008315B5">
        <w:rPr>
          <w:b/>
          <w:spacing w:val="-4"/>
          <w:szCs w:val="28"/>
        </w:rPr>
        <w:t xml:space="preserve">5 </w:t>
      </w:r>
      <w:r w:rsidRPr="008315B5">
        <w:rPr>
          <w:spacing w:val="-4"/>
          <w:szCs w:val="28"/>
        </w:rPr>
        <w:t>товариств, а саме:</w:t>
      </w:r>
    </w:p>
    <w:p w:rsidR="004462BE" w:rsidRPr="008315B5" w:rsidRDefault="004462BE" w:rsidP="004462BE">
      <w:pPr>
        <w:jc w:val="both"/>
        <w:rPr>
          <w:szCs w:val="28"/>
        </w:rPr>
      </w:pPr>
      <w:r w:rsidRPr="008315B5">
        <w:rPr>
          <w:szCs w:val="28"/>
        </w:rPr>
        <w:t xml:space="preserve">1. </w:t>
      </w:r>
      <w:proofErr w:type="spellStart"/>
      <w:r w:rsidRPr="008315B5">
        <w:rPr>
          <w:szCs w:val="28"/>
        </w:rPr>
        <w:t>ПрАТ</w:t>
      </w:r>
      <w:proofErr w:type="spellEnd"/>
      <w:r w:rsidRPr="008315B5">
        <w:rPr>
          <w:szCs w:val="28"/>
        </w:rPr>
        <w:t xml:space="preserve"> «</w:t>
      </w:r>
      <w:proofErr w:type="spellStart"/>
      <w:r w:rsidRPr="008315B5">
        <w:rPr>
          <w:szCs w:val="28"/>
        </w:rPr>
        <w:t>Тюмень-Медико-Сміла</w:t>
      </w:r>
      <w:proofErr w:type="spellEnd"/>
      <w:r w:rsidRPr="008315B5">
        <w:rPr>
          <w:szCs w:val="28"/>
        </w:rPr>
        <w:t>» (38,02 %).</w:t>
      </w:r>
    </w:p>
    <w:p w:rsidR="004462BE" w:rsidRPr="008315B5" w:rsidRDefault="004462BE" w:rsidP="004462BE">
      <w:pPr>
        <w:jc w:val="both"/>
        <w:rPr>
          <w:szCs w:val="28"/>
        </w:rPr>
      </w:pPr>
      <w:r w:rsidRPr="008315B5">
        <w:rPr>
          <w:szCs w:val="28"/>
        </w:rPr>
        <w:t xml:space="preserve">2. </w:t>
      </w:r>
      <w:proofErr w:type="spellStart"/>
      <w:r w:rsidRPr="008315B5">
        <w:rPr>
          <w:szCs w:val="28"/>
        </w:rPr>
        <w:t>ПрАТ</w:t>
      </w:r>
      <w:proofErr w:type="spellEnd"/>
      <w:r w:rsidRPr="008315B5">
        <w:rPr>
          <w:szCs w:val="28"/>
        </w:rPr>
        <w:t xml:space="preserve"> «М’ясо-молочний комплекс «Сіверський» (25 %).</w:t>
      </w:r>
    </w:p>
    <w:p w:rsidR="004462BE" w:rsidRPr="008315B5" w:rsidRDefault="004462BE" w:rsidP="004462BE">
      <w:pPr>
        <w:jc w:val="both"/>
        <w:rPr>
          <w:szCs w:val="28"/>
        </w:rPr>
      </w:pPr>
      <w:r w:rsidRPr="008315B5">
        <w:rPr>
          <w:szCs w:val="28"/>
        </w:rPr>
        <w:t xml:space="preserve">3. </w:t>
      </w:r>
      <w:proofErr w:type="spellStart"/>
      <w:r w:rsidRPr="008315B5">
        <w:rPr>
          <w:szCs w:val="28"/>
        </w:rPr>
        <w:t>ПрАТ</w:t>
      </w:r>
      <w:proofErr w:type="spellEnd"/>
      <w:r w:rsidRPr="008315B5">
        <w:rPr>
          <w:szCs w:val="28"/>
        </w:rPr>
        <w:t xml:space="preserve"> «</w:t>
      </w:r>
      <w:proofErr w:type="spellStart"/>
      <w:r w:rsidRPr="008315B5">
        <w:rPr>
          <w:szCs w:val="28"/>
        </w:rPr>
        <w:t>Іста-Центр</w:t>
      </w:r>
      <w:proofErr w:type="spellEnd"/>
      <w:r w:rsidRPr="008315B5">
        <w:rPr>
          <w:szCs w:val="28"/>
        </w:rPr>
        <w:t>» (21,55 %).</w:t>
      </w:r>
    </w:p>
    <w:p w:rsidR="004462BE" w:rsidRPr="008315B5" w:rsidRDefault="004462BE" w:rsidP="004462BE">
      <w:pPr>
        <w:jc w:val="both"/>
        <w:rPr>
          <w:szCs w:val="28"/>
        </w:rPr>
      </w:pPr>
      <w:r w:rsidRPr="008315B5">
        <w:rPr>
          <w:szCs w:val="28"/>
        </w:rPr>
        <w:t>4. ТОВ «</w:t>
      </w:r>
      <w:proofErr w:type="spellStart"/>
      <w:r w:rsidRPr="008315B5">
        <w:rPr>
          <w:szCs w:val="28"/>
        </w:rPr>
        <w:t>Керамнадра</w:t>
      </w:r>
      <w:proofErr w:type="spellEnd"/>
      <w:r w:rsidRPr="008315B5">
        <w:rPr>
          <w:szCs w:val="28"/>
        </w:rPr>
        <w:t>» (51,00 %).</w:t>
      </w:r>
    </w:p>
    <w:p w:rsidR="004462BE" w:rsidRPr="008315B5" w:rsidRDefault="004462BE" w:rsidP="004462BE">
      <w:pPr>
        <w:jc w:val="both"/>
        <w:rPr>
          <w:szCs w:val="28"/>
        </w:rPr>
      </w:pPr>
      <w:r w:rsidRPr="008315B5">
        <w:rPr>
          <w:szCs w:val="28"/>
        </w:rPr>
        <w:t xml:space="preserve">5. </w:t>
      </w:r>
      <w:proofErr w:type="spellStart"/>
      <w:r w:rsidRPr="008315B5">
        <w:rPr>
          <w:szCs w:val="28"/>
        </w:rPr>
        <w:t>ПрАТ</w:t>
      </w:r>
      <w:proofErr w:type="spellEnd"/>
      <w:r w:rsidRPr="008315B5">
        <w:rPr>
          <w:szCs w:val="28"/>
        </w:rPr>
        <w:t xml:space="preserve"> «М-Сервіс» (20,391 %).</w:t>
      </w:r>
    </w:p>
    <w:p w:rsidR="004462BE" w:rsidRPr="008315B5" w:rsidRDefault="004462BE" w:rsidP="004462BE">
      <w:pPr>
        <w:jc w:val="both"/>
        <w:rPr>
          <w:szCs w:val="28"/>
        </w:rPr>
      </w:pPr>
      <w:r w:rsidRPr="008315B5">
        <w:rPr>
          <w:szCs w:val="28"/>
        </w:rPr>
        <w:t xml:space="preserve">У зв’язку із закінченням передбаченого законодавством та/або уставними документами строку реалізації цього права та відсутністю пропозицій від акціонерів Фондом відповідно до встановлених законодавством процедур </w:t>
      </w:r>
      <w:r w:rsidR="00BE601D" w:rsidRPr="008315B5">
        <w:rPr>
          <w:szCs w:val="28"/>
        </w:rPr>
        <w:t>вжито</w:t>
      </w:r>
      <w:r w:rsidRPr="008315B5">
        <w:rPr>
          <w:szCs w:val="28"/>
        </w:rPr>
        <w:t xml:space="preserve"> заходи з організації продажу державних пакетів акцій (часток)</w:t>
      </w:r>
      <w:r w:rsidRPr="008315B5">
        <w:rPr>
          <w:szCs w:val="28"/>
        </w:rPr>
        <w:br/>
      </w:r>
      <w:r w:rsidR="00BE601D" w:rsidRPr="008315B5">
        <w:rPr>
          <w:b/>
          <w:szCs w:val="28"/>
        </w:rPr>
        <w:t>6</w:t>
      </w:r>
      <w:r w:rsidRPr="008315B5">
        <w:rPr>
          <w:szCs w:val="28"/>
        </w:rPr>
        <w:t xml:space="preserve"> товариств (</w:t>
      </w:r>
      <w:proofErr w:type="spellStart"/>
      <w:r w:rsidRPr="008315B5">
        <w:rPr>
          <w:szCs w:val="28"/>
        </w:rPr>
        <w:t>ПрАТ</w:t>
      </w:r>
      <w:proofErr w:type="spellEnd"/>
      <w:r w:rsidRPr="008315B5">
        <w:rPr>
          <w:szCs w:val="28"/>
        </w:rPr>
        <w:t xml:space="preserve"> «</w:t>
      </w:r>
      <w:proofErr w:type="spellStart"/>
      <w:r w:rsidRPr="008315B5">
        <w:rPr>
          <w:szCs w:val="28"/>
        </w:rPr>
        <w:t>Тюмень-Медико-Сміла</w:t>
      </w:r>
      <w:proofErr w:type="spellEnd"/>
      <w:r w:rsidRPr="008315B5">
        <w:rPr>
          <w:szCs w:val="28"/>
        </w:rPr>
        <w:t xml:space="preserve">», </w:t>
      </w:r>
      <w:proofErr w:type="spellStart"/>
      <w:r w:rsidRPr="008315B5">
        <w:rPr>
          <w:szCs w:val="28"/>
        </w:rPr>
        <w:t>ПрАТ</w:t>
      </w:r>
      <w:proofErr w:type="spellEnd"/>
      <w:r w:rsidRPr="008315B5">
        <w:rPr>
          <w:szCs w:val="28"/>
        </w:rPr>
        <w:t xml:space="preserve"> «М’ясо-молочний комплекс «Сіверський», </w:t>
      </w:r>
      <w:proofErr w:type="spellStart"/>
      <w:r w:rsidRPr="008315B5">
        <w:rPr>
          <w:szCs w:val="28"/>
        </w:rPr>
        <w:t>ПрАТ</w:t>
      </w:r>
      <w:proofErr w:type="spellEnd"/>
      <w:r w:rsidRPr="008315B5">
        <w:rPr>
          <w:szCs w:val="28"/>
        </w:rPr>
        <w:t xml:space="preserve"> «</w:t>
      </w:r>
      <w:proofErr w:type="spellStart"/>
      <w:r w:rsidRPr="008315B5">
        <w:rPr>
          <w:szCs w:val="28"/>
        </w:rPr>
        <w:t>Іста-Центр</w:t>
      </w:r>
      <w:proofErr w:type="spellEnd"/>
      <w:r w:rsidRPr="008315B5">
        <w:rPr>
          <w:szCs w:val="28"/>
        </w:rPr>
        <w:t>», ТОВ «</w:t>
      </w:r>
      <w:proofErr w:type="spellStart"/>
      <w:r w:rsidRPr="008315B5">
        <w:rPr>
          <w:szCs w:val="28"/>
        </w:rPr>
        <w:t>Керамнадра</w:t>
      </w:r>
      <w:proofErr w:type="spellEnd"/>
      <w:r w:rsidRPr="008315B5">
        <w:rPr>
          <w:szCs w:val="28"/>
        </w:rPr>
        <w:t>»</w:t>
      </w:r>
      <w:r w:rsidR="00BE601D" w:rsidRPr="008315B5">
        <w:rPr>
          <w:szCs w:val="28"/>
        </w:rPr>
        <w:t xml:space="preserve">, </w:t>
      </w:r>
      <w:r w:rsidR="00BE601D" w:rsidRPr="00E92552">
        <w:rPr>
          <w:szCs w:val="28"/>
        </w:rPr>
        <w:t>ТОВ «Оздоровчий комплекс – «Пролісок», українсько-швейцарського підприємства у формі ТОВ «ТЕМА»</w:t>
      </w:r>
      <w:r w:rsidRPr="008315B5">
        <w:rPr>
          <w:szCs w:val="28"/>
        </w:rPr>
        <w:t>).</w:t>
      </w:r>
    </w:p>
    <w:p w:rsidR="004462BE" w:rsidRPr="00242020" w:rsidRDefault="004462BE" w:rsidP="004462BE">
      <w:pPr>
        <w:jc w:val="both"/>
        <w:rPr>
          <w:bCs/>
          <w:szCs w:val="28"/>
        </w:rPr>
      </w:pPr>
      <w:r w:rsidRPr="008315B5">
        <w:rPr>
          <w:szCs w:val="28"/>
        </w:rPr>
        <w:t xml:space="preserve">Фондом у 2016 році проведено продаж пакетів акцій </w:t>
      </w:r>
      <w:r w:rsidRPr="008315B5">
        <w:rPr>
          <w:b/>
          <w:szCs w:val="28"/>
        </w:rPr>
        <w:t>4</w:t>
      </w:r>
      <w:r w:rsidRPr="008315B5">
        <w:rPr>
          <w:szCs w:val="28"/>
        </w:rPr>
        <w:t xml:space="preserve"> об’єктів групи Е </w:t>
      </w:r>
      <w:r w:rsidR="00BE601D" w:rsidRPr="008315B5">
        <w:rPr>
          <w:sz w:val="26"/>
          <w:szCs w:val="26"/>
        </w:rPr>
        <w:t>державних пакетів акцій (часток)</w:t>
      </w:r>
      <w:r w:rsidR="00BE601D" w:rsidRPr="008315B5">
        <w:rPr>
          <w:bCs/>
          <w:szCs w:val="28"/>
        </w:rPr>
        <w:t xml:space="preserve"> </w:t>
      </w:r>
      <w:r w:rsidRPr="008315B5">
        <w:rPr>
          <w:bCs/>
          <w:szCs w:val="28"/>
        </w:rPr>
        <w:t>(</w:t>
      </w:r>
      <w:proofErr w:type="spellStart"/>
      <w:r w:rsidRPr="008315B5">
        <w:rPr>
          <w:bCs/>
          <w:szCs w:val="28"/>
        </w:rPr>
        <w:t>ПрАТ</w:t>
      </w:r>
      <w:proofErr w:type="spellEnd"/>
      <w:r w:rsidRPr="008315B5">
        <w:rPr>
          <w:bCs/>
          <w:szCs w:val="28"/>
        </w:rPr>
        <w:t xml:space="preserve"> «Авіакомпанія «Горлиця»</w:t>
      </w:r>
      <w:r w:rsidRPr="008315B5">
        <w:rPr>
          <w:szCs w:val="28"/>
        </w:rPr>
        <w:t xml:space="preserve">, </w:t>
      </w:r>
      <w:r w:rsidR="00BE601D" w:rsidRPr="008315B5">
        <w:rPr>
          <w:bCs/>
          <w:szCs w:val="28"/>
        </w:rPr>
        <w:t>ПАТ</w:t>
      </w:r>
      <w:r w:rsidR="00BE601D">
        <w:rPr>
          <w:bCs/>
          <w:szCs w:val="28"/>
        </w:rPr>
        <w:t xml:space="preserve"> </w:t>
      </w:r>
      <w:r w:rsidRPr="00242020">
        <w:rPr>
          <w:bCs/>
          <w:szCs w:val="28"/>
        </w:rPr>
        <w:t>«Український банк реконструкції та розвитку»</w:t>
      </w:r>
      <w:r w:rsidRPr="00242020">
        <w:rPr>
          <w:bCs/>
          <w:vertAlign w:val="superscript"/>
        </w:rPr>
        <w:footnoteReference w:id="2"/>
      </w:r>
      <w:r w:rsidRPr="00242020">
        <w:rPr>
          <w:szCs w:val="28"/>
        </w:rPr>
        <w:t xml:space="preserve">, </w:t>
      </w:r>
      <w:r w:rsidRPr="00242020">
        <w:rPr>
          <w:bCs/>
          <w:szCs w:val="28"/>
        </w:rPr>
        <w:t>ТОВ «</w:t>
      </w:r>
      <w:proofErr w:type="spellStart"/>
      <w:r w:rsidRPr="00242020">
        <w:rPr>
          <w:bCs/>
          <w:szCs w:val="28"/>
        </w:rPr>
        <w:t>Будильський</w:t>
      </w:r>
      <w:proofErr w:type="spellEnd"/>
      <w:r w:rsidRPr="00242020">
        <w:rPr>
          <w:bCs/>
          <w:szCs w:val="28"/>
        </w:rPr>
        <w:t xml:space="preserve"> експериментальний завод»</w:t>
      </w:r>
      <w:r w:rsidR="00BE601D">
        <w:rPr>
          <w:bCs/>
          <w:szCs w:val="28"/>
        </w:rPr>
        <w:t xml:space="preserve"> (</w:t>
      </w:r>
      <w:proofErr w:type="spellStart"/>
      <w:r w:rsidR="00BE601D">
        <w:rPr>
          <w:bCs/>
          <w:szCs w:val="28"/>
        </w:rPr>
        <w:t>РВ</w:t>
      </w:r>
      <w:proofErr w:type="spellEnd"/>
      <w:r w:rsidR="00BE601D">
        <w:rPr>
          <w:bCs/>
          <w:szCs w:val="28"/>
        </w:rPr>
        <w:t xml:space="preserve"> по Сумській області)</w:t>
      </w:r>
      <w:r w:rsidRPr="00242020">
        <w:rPr>
          <w:bCs/>
          <w:szCs w:val="28"/>
        </w:rPr>
        <w:t>, спільне підприємство по агропромисловому будівництву «</w:t>
      </w:r>
      <w:proofErr w:type="spellStart"/>
      <w:r w:rsidRPr="00242020">
        <w:rPr>
          <w:bCs/>
          <w:szCs w:val="28"/>
        </w:rPr>
        <w:t>Ратнеагробуд</w:t>
      </w:r>
      <w:proofErr w:type="spellEnd"/>
      <w:r w:rsidRPr="00242020">
        <w:rPr>
          <w:bCs/>
          <w:szCs w:val="28"/>
        </w:rPr>
        <w:t>»</w:t>
      </w:r>
      <w:r w:rsidR="00BE601D">
        <w:rPr>
          <w:bCs/>
          <w:szCs w:val="28"/>
        </w:rPr>
        <w:t xml:space="preserve"> (</w:t>
      </w:r>
      <w:proofErr w:type="spellStart"/>
      <w:r w:rsidR="00BE601D">
        <w:rPr>
          <w:bCs/>
          <w:szCs w:val="28"/>
        </w:rPr>
        <w:t>РВ</w:t>
      </w:r>
      <w:proofErr w:type="spellEnd"/>
      <w:r w:rsidR="00BE601D">
        <w:rPr>
          <w:bCs/>
          <w:szCs w:val="28"/>
        </w:rPr>
        <w:t xml:space="preserve"> по Волинській області)</w:t>
      </w:r>
      <w:r w:rsidRPr="00242020">
        <w:rPr>
          <w:bCs/>
          <w:szCs w:val="28"/>
        </w:rPr>
        <w:t>)</w:t>
      </w:r>
      <w:r w:rsidRPr="00242020">
        <w:rPr>
          <w:szCs w:val="28"/>
        </w:rPr>
        <w:t xml:space="preserve"> загальною вартістю </w:t>
      </w:r>
      <w:r w:rsidRPr="00242020">
        <w:rPr>
          <w:b/>
          <w:szCs w:val="28"/>
        </w:rPr>
        <w:t xml:space="preserve">91,560 </w:t>
      </w:r>
      <w:proofErr w:type="spellStart"/>
      <w:r w:rsidRPr="00242020">
        <w:rPr>
          <w:b/>
          <w:szCs w:val="28"/>
        </w:rPr>
        <w:t>млн</w:t>
      </w:r>
      <w:proofErr w:type="spellEnd"/>
      <w:r w:rsidRPr="00242020">
        <w:rPr>
          <w:b/>
          <w:szCs w:val="28"/>
        </w:rPr>
        <w:t xml:space="preserve"> грн</w:t>
      </w:r>
      <w:r w:rsidRPr="00242020">
        <w:rPr>
          <w:bCs/>
          <w:szCs w:val="28"/>
        </w:rPr>
        <w:t xml:space="preserve">. </w:t>
      </w:r>
    </w:p>
    <w:p w:rsidR="004462BE" w:rsidRPr="00242020" w:rsidRDefault="004462BE" w:rsidP="004462BE">
      <w:pPr>
        <w:jc w:val="both"/>
        <w:rPr>
          <w:szCs w:val="28"/>
        </w:rPr>
      </w:pPr>
      <w:r w:rsidRPr="00242020">
        <w:rPr>
          <w:szCs w:val="28"/>
        </w:rPr>
        <w:t xml:space="preserve">Протягом звітного періоду </w:t>
      </w:r>
      <w:r w:rsidRPr="00242020">
        <w:rPr>
          <w:bCs/>
          <w:szCs w:val="28"/>
        </w:rPr>
        <w:t xml:space="preserve">укладено </w:t>
      </w:r>
      <w:r w:rsidRPr="00242020">
        <w:rPr>
          <w:b/>
          <w:bCs/>
          <w:szCs w:val="28"/>
        </w:rPr>
        <w:t xml:space="preserve">3 </w:t>
      </w:r>
      <w:r w:rsidRPr="00242020">
        <w:rPr>
          <w:szCs w:val="28"/>
        </w:rPr>
        <w:t xml:space="preserve">договори купівлі-продажу об’єктів групи Е, від продажу яких до державного бюджету надійшло </w:t>
      </w:r>
      <w:r w:rsidRPr="00242020">
        <w:rPr>
          <w:b/>
          <w:szCs w:val="28"/>
        </w:rPr>
        <w:t xml:space="preserve">8,733 </w:t>
      </w:r>
      <w:proofErr w:type="spellStart"/>
      <w:r w:rsidRPr="00242020">
        <w:rPr>
          <w:b/>
          <w:szCs w:val="28"/>
        </w:rPr>
        <w:t>млн</w:t>
      </w:r>
      <w:proofErr w:type="spellEnd"/>
      <w:r w:rsidRPr="00242020">
        <w:rPr>
          <w:b/>
          <w:szCs w:val="28"/>
        </w:rPr>
        <w:t xml:space="preserve"> грн</w:t>
      </w:r>
      <w:r w:rsidRPr="00242020">
        <w:rPr>
          <w:rStyle w:val="FontStyle15"/>
          <w:b/>
          <w:szCs w:val="28"/>
          <w:lang w:eastAsia="uk-UA"/>
        </w:rPr>
        <w:t>.</w:t>
      </w:r>
    </w:p>
    <w:p w:rsidR="004462BE" w:rsidRPr="008315B5" w:rsidRDefault="004462BE" w:rsidP="004462BE">
      <w:pPr>
        <w:jc w:val="both"/>
        <w:rPr>
          <w:i/>
          <w:spacing w:val="-6"/>
          <w:szCs w:val="28"/>
        </w:rPr>
      </w:pPr>
      <w:r w:rsidRPr="008315B5">
        <w:rPr>
          <w:i/>
          <w:spacing w:val="-6"/>
          <w:szCs w:val="28"/>
        </w:rPr>
        <w:t xml:space="preserve">За 2015 рік Фондом укладено </w:t>
      </w:r>
      <w:r w:rsidRPr="008315B5">
        <w:rPr>
          <w:b/>
          <w:i/>
          <w:spacing w:val="-6"/>
          <w:szCs w:val="28"/>
        </w:rPr>
        <w:t>2</w:t>
      </w:r>
      <w:r w:rsidRPr="008315B5">
        <w:rPr>
          <w:i/>
          <w:spacing w:val="-6"/>
          <w:szCs w:val="28"/>
        </w:rPr>
        <w:t xml:space="preserve"> договори купівлі-продажу об’єктів групи Е. Надходження коштів від продажу об’єктів становило </w:t>
      </w:r>
      <w:r w:rsidRPr="008315B5">
        <w:rPr>
          <w:b/>
          <w:i/>
          <w:spacing w:val="-6"/>
          <w:szCs w:val="28"/>
        </w:rPr>
        <w:t>132,776 тис. грн</w:t>
      </w:r>
      <w:r w:rsidRPr="008315B5">
        <w:rPr>
          <w:rStyle w:val="FontStyle15"/>
          <w:b/>
          <w:i/>
          <w:spacing w:val="-6"/>
          <w:szCs w:val="28"/>
          <w:lang w:eastAsia="uk-UA"/>
        </w:rPr>
        <w:t>.</w:t>
      </w:r>
      <w:r w:rsidRPr="008315B5">
        <w:rPr>
          <w:i/>
          <w:spacing w:val="-6"/>
          <w:szCs w:val="28"/>
        </w:rPr>
        <w:t xml:space="preserve"> </w:t>
      </w:r>
    </w:p>
    <w:p w:rsidR="0088199A" w:rsidRPr="00242020" w:rsidRDefault="0088199A" w:rsidP="0088199A">
      <w:pPr>
        <w:pStyle w:val="2"/>
        <w:rPr>
          <w:szCs w:val="28"/>
        </w:rPr>
      </w:pPr>
      <w:r w:rsidRPr="00242020">
        <w:lastRenderedPageBreak/>
        <w:t>2.2.4. Продаж пакетів акцій об’єктів груп В, Г на пільгових умовах, аукціонах, у т.ч. на фондових біржах, за конкурсами з відкритістю пропонування ціни за принципом аукціону</w:t>
      </w:r>
    </w:p>
    <w:p w:rsidR="003B1438" w:rsidRPr="00242020" w:rsidRDefault="003B1438" w:rsidP="003B1438">
      <w:pPr>
        <w:jc w:val="both"/>
        <w:rPr>
          <w:sz w:val="12"/>
          <w:szCs w:val="12"/>
        </w:rPr>
      </w:pPr>
    </w:p>
    <w:p w:rsidR="004462BE" w:rsidRPr="00242020" w:rsidRDefault="004462BE" w:rsidP="003B1438">
      <w:pPr>
        <w:tabs>
          <w:tab w:val="left" w:pos="720"/>
        </w:tabs>
        <w:jc w:val="both"/>
        <w:rPr>
          <w:rFonts w:eastAsia="Times New Roman" w:cs="Times New Roman"/>
          <w:bCs/>
          <w:szCs w:val="28"/>
          <w:lang w:eastAsia="ru-RU"/>
        </w:rPr>
      </w:pPr>
      <w:r w:rsidRPr="00242020">
        <w:rPr>
          <w:rFonts w:eastAsia="Times New Roman" w:cs="Times New Roman"/>
          <w:bCs/>
          <w:szCs w:val="28"/>
          <w:lang w:eastAsia="ru-RU"/>
        </w:rPr>
        <w:t xml:space="preserve">З метою реалізації планів розміщення акцій ПАТ «Миколаївська ТЕЦ» (об’єкт групи В) та </w:t>
      </w:r>
      <w:proofErr w:type="spellStart"/>
      <w:r w:rsidRPr="00242020">
        <w:rPr>
          <w:rFonts w:eastAsia="Times New Roman" w:cs="Times New Roman"/>
          <w:bCs/>
          <w:szCs w:val="28"/>
          <w:lang w:eastAsia="ru-RU"/>
        </w:rPr>
        <w:t>ПрАТ</w:t>
      </w:r>
      <w:proofErr w:type="spellEnd"/>
      <w:r w:rsidRPr="00242020">
        <w:rPr>
          <w:rFonts w:eastAsia="Times New Roman" w:cs="Times New Roman"/>
          <w:bCs/>
          <w:szCs w:val="28"/>
          <w:lang w:eastAsia="ru-RU"/>
        </w:rPr>
        <w:t xml:space="preserve"> «Івано-Франківський локомотиворемонтний завод» (об’єкт групи Г), затверджених розпорядженням Кабінету Міністрів України від 17 червня 2015 року № 626-р «Деякі питання приватизації об’єктів державної власності», </w:t>
      </w:r>
      <w:r w:rsidRPr="00242020">
        <w:rPr>
          <w:rFonts w:eastAsia="Times New Roman" w:cs="Times New Roman"/>
          <w:b/>
          <w:bCs/>
          <w:szCs w:val="28"/>
          <w:lang w:eastAsia="ru-RU"/>
        </w:rPr>
        <w:t>пільговий продаж акцій</w:t>
      </w:r>
      <w:r w:rsidRPr="00242020">
        <w:rPr>
          <w:rFonts w:eastAsia="Times New Roman" w:cs="Times New Roman"/>
          <w:bCs/>
          <w:szCs w:val="28"/>
          <w:lang w:eastAsia="ru-RU"/>
        </w:rPr>
        <w:t xml:space="preserve"> цих товариств затверджено наказами Фонду від 19 листопада 2015 року № 1742 та від 30 грудня 2015 року № 2037 відповідно. </w:t>
      </w:r>
    </w:p>
    <w:p w:rsidR="004462BE" w:rsidRPr="00242020" w:rsidRDefault="004462BE" w:rsidP="003B1438">
      <w:pPr>
        <w:jc w:val="both"/>
        <w:rPr>
          <w:rFonts w:eastAsia="Times New Roman" w:cs="Times New Roman"/>
          <w:szCs w:val="28"/>
          <w:lang w:eastAsia="ru-RU"/>
        </w:rPr>
      </w:pPr>
      <w:r w:rsidRPr="00242020">
        <w:rPr>
          <w:rFonts w:eastAsia="Times New Roman" w:cs="Times New Roman"/>
          <w:szCs w:val="28"/>
          <w:lang w:eastAsia="ru-RU"/>
        </w:rPr>
        <w:t xml:space="preserve">Наказом Фонду від 11 квітня 2016 року № 713 завершено пільговий продаж акцій ПАТ «Миколаївська ТЕЦ», наказом Фонду від 11 травня 2016 року № 962 – </w:t>
      </w:r>
      <w:proofErr w:type="spellStart"/>
      <w:r w:rsidRPr="00242020">
        <w:rPr>
          <w:rFonts w:eastAsia="Times New Roman" w:cs="Times New Roman"/>
          <w:szCs w:val="28"/>
          <w:lang w:eastAsia="ru-RU"/>
        </w:rPr>
        <w:t>ПрАТ</w:t>
      </w:r>
      <w:proofErr w:type="spellEnd"/>
      <w:r w:rsidRPr="00242020">
        <w:rPr>
          <w:rFonts w:eastAsia="Times New Roman" w:cs="Times New Roman"/>
          <w:szCs w:val="28"/>
          <w:lang w:eastAsia="ru-RU"/>
        </w:rPr>
        <w:t xml:space="preserve"> «</w:t>
      </w:r>
      <w:r w:rsidRPr="00242020">
        <w:rPr>
          <w:rFonts w:eastAsia="Times New Roman" w:cs="Times New Roman"/>
          <w:bCs/>
          <w:szCs w:val="28"/>
          <w:lang w:eastAsia="ru-RU"/>
        </w:rPr>
        <w:t>Івано-Франківський локомотиворемонтний завод</w:t>
      </w:r>
      <w:r w:rsidRPr="00242020">
        <w:rPr>
          <w:rFonts w:eastAsia="Times New Roman" w:cs="Times New Roman"/>
          <w:szCs w:val="28"/>
          <w:lang w:eastAsia="ru-RU"/>
        </w:rPr>
        <w:t>».</w:t>
      </w:r>
    </w:p>
    <w:p w:rsidR="004462BE" w:rsidRPr="00242020" w:rsidRDefault="004462BE" w:rsidP="003B1438">
      <w:pPr>
        <w:jc w:val="both"/>
        <w:rPr>
          <w:rFonts w:eastAsia="Times New Roman" w:cs="Times New Roman"/>
          <w:szCs w:val="28"/>
          <w:lang w:eastAsia="ru-RU"/>
        </w:rPr>
      </w:pPr>
      <w:r w:rsidRPr="00242020">
        <w:rPr>
          <w:rFonts w:eastAsia="Times New Roman" w:cs="Times New Roman"/>
          <w:szCs w:val="28"/>
          <w:lang w:eastAsia="ru-RU"/>
        </w:rPr>
        <w:t xml:space="preserve">Протягом 2016 року Фонд здійснював у процесі приватизації продаж пакетів акцій через </w:t>
      </w:r>
      <w:r w:rsidRPr="00242020">
        <w:rPr>
          <w:rFonts w:eastAsia="Times New Roman" w:cs="Times New Roman"/>
          <w:b/>
          <w:szCs w:val="28"/>
          <w:lang w:eastAsia="ru-RU"/>
        </w:rPr>
        <w:t>фондові біржі</w:t>
      </w:r>
      <w:r w:rsidRPr="00242020">
        <w:rPr>
          <w:rFonts w:eastAsia="Times New Roman" w:cs="Times New Roman"/>
          <w:szCs w:val="28"/>
          <w:lang w:eastAsia="ru-RU"/>
        </w:rPr>
        <w:t>. З метою залучення широкого кола покупців на засадах прозорості та відкритості Фондом укладено договори про спільну діяльність з 8 фондовими біржами.</w:t>
      </w:r>
    </w:p>
    <w:p w:rsidR="004462BE" w:rsidRPr="00242020" w:rsidRDefault="004462BE" w:rsidP="003B1438">
      <w:pPr>
        <w:jc w:val="both"/>
        <w:rPr>
          <w:rFonts w:eastAsia="Times New Roman" w:cs="Times New Roman"/>
          <w:szCs w:val="28"/>
          <w:lang w:eastAsia="ru-RU"/>
        </w:rPr>
      </w:pPr>
      <w:r w:rsidRPr="00242020">
        <w:rPr>
          <w:rFonts w:eastAsia="Times New Roman" w:cs="Times New Roman"/>
          <w:szCs w:val="28"/>
          <w:lang w:eastAsia="ru-RU"/>
        </w:rPr>
        <w:t xml:space="preserve">Протягом звітного періоду на фондових біржах було заплановано та проведено 187 торговельних сесій. </w:t>
      </w:r>
    </w:p>
    <w:p w:rsidR="004462BE" w:rsidRPr="00242020" w:rsidRDefault="004462BE" w:rsidP="003B1438">
      <w:pPr>
        <w:jc w:val="both"/>
        <w:rPr>
          <w:rFonts w:eastAsia="Times New Roman" w:cs="Times New Roman"/>
          <w:szCs w:val="28"/>
          <w:lang w:eastAsia="ru-RU"/>
        </w:rPr>
      </w:pPr>
      <w:r w:rsidRPr="00242020">
        <w:rPr>
          <w:rFonts w:eastAsia="Times New Roman" w:cs="Times New Roman"/>
          <w:szCs w:val="28"/>
          <w:lang w:eastAsia="ru-RU"/>
        </w:rPr>
        <w:t>На торгах через фондові біржі запропоновано до продажу 75 пакетів акцій 40 АТ, що належать державі, загальною номінальною вартістю 492,955 </w:t>
      </w:r>
      <w:proofErr w:type="spellStart"/>
      <w:r w:rsidRPr="00242020">
        <w:rPr>
          <w:rFonts w:eastAsia="Times New Roman" w:cs="Times New Roman"/>
          <w:szCs w:val="28"/>
          <w:lang w:eastAsia="ru-RU"/>
        </w:rPr>
        <w:t>млн</w:t>
      </w:r>
      <w:proofErr w:type="spellEnd"/>
      <w:r w:rsidRPr="00242020">
        <w:rPr>
          <w:rFonts w:eastAsia="Times New Roman" w:cs="Times New Roman"/>
          <w:szCs w:val="28"/>
          <w:lang w:eastAsia="ru-RU"/>
        </w:rPr>
        <w:t xml:space="preserve"> грн.</w:t>
      </w:r>
    </w:p>
    <w:p w:rsidR="004462BE" w:rsidRPr="00242020" w:rsidRDefault="004462BE" w:rsidP="003B1438">
      <w:pPr>
        <w:shd w:val="clear" w:color="auto" w:fill="FFFFFF"/>
        <w:jc w:val="both"/>
        <w:rPr>
          <w:rFonts w:eastAsia="Times New Roman" w:cs="Times New Roman"/>
          <w:szCs w:val="28"/>
          <w:lang w:eastAsia="ru-RU"/>
        </w:rPr>
      </w:pPr>
      <w:r w:rsidRPr="00242020">
        <w:rPr>
          <w:rFonts w:eastAsia="Times New Roman" w:cs="Times New Roman"/>
          <w:szCs w:val="28"/>
          <w:lang w:eastAsia="ru-RU"/>
        </w:rPr>
        <w:t xml:space="preserve">За підсумками торгів на фондових біржах </w:t>
      </w:r>
      <w:r w:rsidRPr="00242020">
        <w:rPr>
          <w:rFonts w:eastAsia="Times New Roman" w:cs="Times New Roman"/>
          <w:b/>
          <w:szCs w:val="28"/>
          <w:lang w:eastAsia="ru-RU"/>
        </w:rPr>
        <w:t>продано 12 пакетів акцій</w:t>
      </w:r>
      <w:r w:rsidRPr="00242020">
        <w:rPr>
          <w:rFonts w:eastAsia="Times New Roman" w:cs="Times New Roman"/>
          <w:szCs w:val="28"/>
          <w:lang w:eastAsia="ru-RU"/>
        </w:rPr>
        <w:t xml:space="preserve"> підприємств, які належать до групи В, загальною вартістю за укладеними контрактами </w:t>
      </w:r>
      <w:r w:rsidRPr="00242020">
        <w:rPr>
          <w:rFonts w:eastAsia="Times New Roman" w:cs="Times New Roman"/>
          <w:b/>
          <w:szCs w:val="28"/>
          <w:lang w:eastAsia="ru-RU"/>
        </w:rPr>
        <w:t xml:space="preserve">9,174 </w:t>
      </w:r>
      <w:proofErr w:type="spellStart"/>
      <w:r w:rsidRPr="00242020">
        <w:rPr>
          <w:rFonts w:eastAsia="Times New Roman" w:cs="Times New Roman"/>
          <w:b/>
          <w:szCs w:val="28"/>
          <w:lang w:eastAsia="ru-RU"/>
        </w:rPr>
        <w:t>млн</w:t>
      </w:r>
      <w:proofErr w:type="spellEnd"/>
      <w:r w:rsidRPr="00242020">
        <w:rPr>
          <w:rFonts w:eastAsia="Times New Roman" w:cs="Times New Roman"/>
          <w:b/>
          <w:szCs w:val="28"/>
          <w:lang w:eastAsia="ru-RU"/>
        </w:rPr>
        <w:t xml:space="preserve"> </w:t>
      </w:r>
      <w:proofErr w:type="spellStart"/>
      <w:r w:rsidRPr="00242020">
        <w:rPr>
          <w:rFonts w:eastAsia="Times New Roman" w:cs="Times New Roman"/>
          <w:b/>
          <w:szCs w:val="28"/>
          <w:lang w:eastAsia="ru-RU"/>
        </w:rPr>
        <w:t>грн</w:t>
      </w:r>
      <w:proofErr w:type="spellEnd"/>
      <w:r w:rsidRPr="00242020">
        <w:rPr>
          <w:rFonts w:eastAsia="Times New Roman" w:cs="Times New Roman"/>
          <w:szCs w:val="28"/>
          <w:lang w:eastAsia="ru-RU"/>
        </w:rPr>
        <w:t>, а саме: ПАТ «Чернігівський завод радіоприладів», ПАТ «</w:t>
      </w:r>
      <w:proofErr w:type="spellStart"/>
      <w:r w:rsidRPr="00242020">
        <w:rPr>
          <w:rFonts w:eastAsia="Times New Roman" w:cs="Times New Roman"/>
          <w:szCs w:val="28"/>
          <w:lang w:eastAsia="ru-RU"/>
        </w:rPr>
        <w:t>Білики</w:t>
      </w:r>
      <w:proofErr w:type="spellEnd"/>
      <w:r w:rsidRPr="00242020">
        <w:rPr>
          <w:rFonts w:eastAsia="Times New Roman" w:cs="Times New Roman"/>
          <w:szCs w:val="28"/>
          <w:lang w:eastAsia="ru-RU"/>
        </w:rPr>
        <w:t xml:space="preserve">», ПАТ «Чорноморський суднобудівний завод», </w:t>
      </w:r>
      <w:r w:rsidR="003B1438" w:rsidRPr="00242020">
        <w:rPr>
          <w:rFonts w:eastAsia="Times New Roman" w:cs="Times New Roman"/>
          <w:szCs w:val="28"/>
          <w:lang w:eastAsia="ru-RU"/>
        </w:rPr>
        <w:br/>
      </w:r>
      <w:r w:rsidRPr="00242020">
        <w:rPr>
          <w:rFonts w:eastAsia="Times New Roman" w:cs="Times New Roman"/>
          <w:szCs w:val="28"/>
          <w:lang w:eastAsia="ru-RU"/>
        </w:rPr>
        <w:t>ПАТ «</w:t>
      </w:r>
      <w:proofErr w:type="spellStart"/>
      <w:r w:rsidRPr="00242020">
        <w:rPr>
          <w:rFonts w:eastAsia="Times New Roman" w:cs="Times New Roman"/>
          <w:szCs w:val="28"/>
          <w:lang w:eastAsia="ru-RU"/>
        </w:rPr>
        <w:t>Деражнянське</w:t>
      </w:r>
      <w:proofErr w:type="spellEnd"/>
      <w:r w:rsidRPr="00242020">
        <w:rPr>
          <w:rFonts w:eastAsia="Times New Roman" w:cs="Times New Roman"/>
          <w:szCs w:val="28"/>
          <w:lang w:eastAsia="ru-RU"/>
        </w:rPr>
        <w:t xml:space="preserve"> підприємство по племінній справі в тваринництві», </w:t>
      </w:r>
      <w:r w:rsidR="003B1438" w:rsidRPr="00242020">
        <w:rPr>
          <w:rFonts w:eastAsia="Times New Roman" w:cs="Times New Roman"/>
          <w:szCs w:val="28"/>
          <w:lang w:eastAsia="ru-RU"/>
        </w:rPr>
        <w:br/>
      </w:r>
      <w:r w:rsidRPr="00242020">
        <w:rPr>
          <w:rFonts w:eastAsia="Times New Roman" w:cs="Times New Roman"/>
          <w:szCs w:val="28"/>
          <w:lang w:eastAsia="ru-RU"/>
        </w:rPr>
        <w:t>ПАТ «</w:t>
      </w:r>
      <w:proofErr w:type="spellStart"/>
      <w:r w:rsidRPr="00242020">
        <w:rPr>
          <w:rFonts w:eastAsia="Times New Roman" w:cs="Times New Roman"/>
          <w:szCs w:val="28"/>
          <w:lang w:eastAsia="ru-RU"/>
        </w:rPr>
        <w:t>Гідросила</w:t>
      </w:r>
      <w:proofErr w:type="spellEnd"/>
      <w:r w:rsidRPr="00242020">
        <w:rPr>
          <w:rFonts w:eastAsia="Times New Roman" w:cs="Times New Roman"/>
          <w:szCs w:val="28"/>
          <w:lang w:eastAsia="ru-RU"/>
        </w:rPr>
        <w:t xml:space="preserve"> </w:t>
      </w:r>
      <w:proofErr w:type="spellStart"/>
      <w:r w:rsidRPr="00242020">
        <w:rPr>
          <w:rFonts w:eastAsia="Times New Roman" w:cs="Times New Roman"/>
          <w:szCs w:val="28"/>
          <w:lang w:eastAsia="ru-RU"/>
        </w:rPr>
        <w:t>МЗТГ</w:t>
      </w:r>
      <w:proofErr w:type="spellEnd"/>
      <w:r w:rsidRPr="00242020">
        <w:rPr>
          <w:rFonts w:eastAsia="Times New Roman" w:cs="Times New Roman"/>
          <w:szCs w:val="28"/>
          <w:lang w:eastAsia="ru-RU"/>
        </w:rPr>
        <w:t xml:space="preserve">», ПАТ «Запорізьке </w:t>
      </w:r>
      <w:proofErr w:type="spellStart"/>
      <w:r w:rsidRPr="00242020">
        <w:rPr>
          <w:rFonts w:eastAsia="Times New Roman" w:cs="Times New Roman"/>
          <w:szCs w:val="28"/>
          <w:lang w:eastAsia="ru-RU"/>
        </w:rPr>
        <w:t>облплемпідприємство</w:t>
      </w:r>
      <w:proofErr w:type="spellEnd"/>
      <w:r w:rsidRPr="00242020">
        <w:rPr>
          <w:rFonts w:eastAsia="Times New Roman" w:cs="Times New Roman"/>
          <w:szCs w:val="28"/>
          <w:lang w:eastAsia="ru-RU"/>
        </w:rPr>
        <w:t xml:space="preserve">», ПАТ «Завод «Прилив», </w:t>
      </w:r>
      <w:proofErr w:type="spellStart"/>
      <w:r w:rsidRPr="00242020">
        <w:rPr>
          <w:rFonts w:eastAsia="Times New Roman" w:cs="Times New Roman"/>
          <w:szCs w:val="28"/>
          <w:lang w:eastAsia="ru-RU"/>
        </w:rPr>
        <w:t>ПрАТ</w:t>
      </w:r>
      <w:proofErr w:type="spellEnd"/>
      <w:r w:rsidRPr="00242020">
        <w:rPr>
          <w:rFonts w:eastAsia="Times New Roman" w:cs="Times New Roman"/>
          <w:szCs w:val="28"/>
          <w:lang w:eastAsia="ru-RU"/>
        </w:rPr>
        <w:t xml:space="preserve"> «</w:t>
      </w:r>
      <w:proofErr w:type="spellStart"/>
      <w:r w:rsidRPr="00242020">
        <w:rPr>
          <w:rFonts w:eastAsia="Times New Roman" w:cs="Times New Roman"/>
          <w:szCs w:val="28"/>
          <w:lang w:eastAsia="ru-RU"/>
        </w:rPr>
        <w:t>Яготинський</w:t>
      </w:r>
      <w:proofErr w:type="spellEnd"/>
      <w:r w:rsidRPr="00242020">
        <w:rPr>
          <w:rFonts w:eastAsia="Times New Roman" w:cs="Times New Roman"/>
          <w:szCs w:val="28"/>
          <w:lang w:eastAsia="ru-RU"/>
        </w:rPr>
        <w:t xml:space="preserve"> рибгосп», ПАТ «Авіаційне підприємство спеціального призначення «Меридіан», ПАТ «Луганське регіональне управління автобусних станцій», ПАТ «</w:t>
      </w:r>
      <w:proofErr w:type="spellStart"/>
      <w:r w:rsidRPr="00242020">
        <w:rPr>
          <w:rFonts w:eastAsia="Times New Roman" w:cs="Times New Roman"/>
          <w:szCs w:val="28"/>
          <w:lang w:eastAsia="ru-RU"/>
        </w:rPr>
        <w:t>Славутський</w:t>
      </w:r>
      <w:proofErr w:type="spellEnd"/>
      <w:r w:rsidRPr="00242020">
        <w:rPr>
          <w:rFonts w:eastAsia="Times New Roman" w:cs="Times New Roman"/>
          <w:szCs w:val="28"/>
          <w:lang w:eastAsia="ru-RU"/>
        </w:rPr>
        <w:t xml:space="preserve"> завод залізобетонних виробів», ПАТ «</w:t>
      </w:r>
      <w:proofErr w:type="spellStart"/>
      <w:r w:rsidRPr="00242020">
        <w:rPr>
          <w:rFonts w:eastAsia="Times New Roman" w:cs="Times New Roman"/>
          <w:szCs w:val="28"/>
          <w:lang w:eastAsia="ru-RU"/>
        </w:rPr>
        <w:t>Племзавод</w:t>
      </w:r>
      <w:proofErr w:type="spellEnd"/>
      <w:r w:rsidRPr="00242020">
        <w:rPr>
          <w:rFonts w:eastAsia="Times New Roman" w:cs="Times New Roman"/>
          <w:szCs w:val="28"/>
          <w:lang w:eastAsia="ru-RU"/>
        </w:rPr>
        <w:t xml:space="preserve"> «</w:t>
      </w:r>
      <w:proofErr w:type="spellStart"/>
      <w:r w:rsidRPr="00242020">
        <w:rPr>
          <w:rFonts w:eastAsia="Times New Roman" w:cs="Times New Roman"/>
          <w:szCs w:val="28"/>
          <w:lang w:eastAsia="ru-RU"/>
        </w:rPr>
        <w:t>Яненківський</w:t>
      </w:r>
      <w:proofErr w:type="spellEnd"/>
      <w:r w:rsidRPr="00242020">
        <w:rPr>
          <w:rFonts w:eastAsia="Times New Roman" w:cs="Times New Roman"/>
          <w:szCs w:val="28"/>
          <w:lang w:eastAsia="ru-RU"/>
        </w:rPr>
        <w:t>».</w:t>
      </w:r>
    </w:p>
    <w:p w:rsidR="004462BE" w:rsidRPr="00242020" w:rsidRDefault="004462BE" w:rsidP="003B1438">
      <w:pPr>
        <w:jc w:val="both"/>
        <w:rPr>
          <w:rFonts w:eastAsia="Times New Roman" w:cs="Times New Roman"/>
          <w:szCs w:val="28"/>
          <w:lang w:eastAsia="ru-RU"/>
        </w:rPr>
      </w:pPr>
      <w:r w:rsidRPr="00242020">
        <w:rPr>
          <w:rFonts w:eastAsia="Times New Roman" w:cs="Times New Roman"/>
          <w:szCs w:val="28"/>
          <w:lang w:eastAsia="ru-RU"/>
        </w:rPr>
        <w:t xml:space="preserve">На </w:t>
      </w:r>
      <w:r w:rsidRPr="00242020">
        <w:rPr>
          <w:rFonts w:eastAsia="Times New Roman" w:cs="Times New Roman"/>
          <w:b/>
          <w:szCs w:val="28"/>
          <w:lang w:eastAsia="ru-RU"/>
        </w:rPr>
        <w:t>відкритих</w:t>
      </w:r>
      <w:r w:rsidRPr="00242020">
        <w:rPr>
          <w:rFonts w:eastAsia="Times New Roman" w:cs="Times New Roman"/>
          <w:szCs w:val="28"/>
          <w:lang w:eastAsia="ru-RU"/>
        </w:rPr>
        <w:t xml:space="preserve"> </w:t>
      </w:r>
      <w:r w:rsidRPr="00242020">
        <w:rPr>
          <w:rFonts w:eastAsia="Times New Roman" w:cs="Times New Roman"/>
          <w:b/>
          <w:szCs w:val="28"/>
          <w:lang w:eastAsia="ru-RU"/>
        </w:rPr>
        <w:t>грошових регіональних аукціонах</w:t>
      </w:r>
      <w:r w:rsidRPr="00242020">
        <w:rPr>
          <w:rFonts w:eastAsia="Times New Roman" w:cs="Times New Roman"/>
          <w:szCs w:val="28"/>
          <w:lang w:eastAsia="ru-RU"/>
        </w:rPr>
        <w:t xml:space="preserve"> (далі – </w:t>
      </w:r>
      <w:proofErr w:type="spellStart"/>
      <w:r w:rsidRPr="00242020">
        <w:rPr>
          <w:rFonts w:eastAsia="Times New Roman" w:cs="Times New Roman"/>
          <w:szCs w:val="28"/>
          <w:lang w:eastAsia="ru-RU"/>
        </w:rPr>
        <w:t>ВРГА</w:t>
      </w:r>
      <w:proofErr w:type="spellEnd"/>
      <w:r w:rsidRPr="00242020">
        <w:rPr>
          <w:rFonts w:eastAsia="Times New Roman" w:cs="Times New Roman"/>
          <w:szCs w:val="28"/>
          <w:lang w:eastAsia="ru-RU"/>
        </w:rPr>
        <w:t>) продано пакет акцій ПАТ «Одеський завод радіально-свердлильних верстатів»</w:t>
      </w:r>
      <w:r w:rsidRPr="00242020">
        <w:rPr>
          <w:rFonts w:eastAsia="Times New Roman" w:cs="Times New Roman"/>
          <w:bCs/>
          <w:szCs w:val="28"/>
          <w:lang w:eastAsia="ru-RU"/>
        </w:rPr>
        <w:t xml:space="preserve"> на суму </w:t>
      </w:r>
      <w:r w:rsidRPr="00242020">
        <w:rPr>
          <w:rFonts w:eastAsia="Times New Roman" w:cs="Times New Roman"/>
          <w:b/>
          <w:bCs/>
          <w:szCs w:val="28"/>
          <w:lang w:eastAsia="ru-RU"/>
        </w:rPr>
        <w:t xml:space="preserve">2,466 </w:t>
      </w:r>
      <w:proofErr w:type="spellStart"/>
      <w:r w:rsidRPr="00242020">
        <w:rPr>
          <w:rFonts w:eastAsia="Times New Roman" w:cs="Times New Roman"/>
          <w:b/>
          <w:bCs/>
          <w:szCs w:val="28"/>
          <w:lang w:eastAsia="ru-RU"/>
        </w:rPr>
        <w:t>млн</w:t>
      </w:r>
      <w:proofErr w:type="spellEnd"/>
      <w:r w:rsidRPr="00242020">
        <w:rPr>
          <w:rFonts w:eastAsia="Times New Roman" w:cs="Times New Roman"/>
          <w:b/>
          <w:bCs/>
          <w:szCs w:val="28"/>
          <w:lang w:eastAsia="ru-RU"/>
        </w:rPr>
        <w:t xml:space="preserve"> грн</w:t>
      </w:r>
      <w:r w:rsidRPr="00242020">
        <w:rPr>
          <w:rFonts w:eastAsia="Times New Roman" w:cs="Times New Roman"/>
          <w:b/>
          <w:szCs w:val="28"/>
          <w:lang w:eastAsia="ru-RU"/>
        </w:rPr>
        <w:t>.</w:t>
      </w:r>
    </w:p>
    <w:p w:rsidR="004462BE" w:rsidRPr="00242020" w:rsidRDefault="004462BE" w:rsidP="003B1438">
      <w:pPr>
        <w:jc w:val="both"/>
        <w:rPr>
          <w:rFonts w:eastAsia="Times New Roman" w:cs="Times New Roman"/>
          <w:bCs/>
          <w:szCs w:val="28"/>
          <w:lang w:eastAsia="ru-RU"/>
        </w:rPr>
      </w:pPr>
      <w:r w:rsidRPr="00242020">
        <w:rPr>
          <w:rFonts w:eastAsia="Times New Roman" w:cs="Times New Roman"/>
          <w:szCs w:val="28"/>
          <w:lang w:eastAsia="ru-RU"/>
        </w:rPr>
        <w:t>Пакети</w:t>
      </w:r>
      <w:r w:rsidRPr="00242020">
        <w:rPr>
          <w:rFonts w:eastAsia="Times New Roman" w:cs="Times New Roman"/>
          <w:bCs/>
          <w:szCs w:val="28"/>
          <w:lang w:eastAsia="ru-RU"/>
        </w:rPr>
        <w:t xml:space="preserve"> акцій АТ на </w:t>
      </w:r>
      <w:r w:rsidRPr="00242020">
        <w:rPr>
          <w:rFonts w:eastAsia="Times New Roman" w:cs="Times New Roman"/>
          <w:szCs w:val="28"/>
          <w:lang w:eastAsia="ru-RU"/>
        </w:rPr>
        <w:t xml:space="preserve">спеціалізованих аукціонах за гроші </w:t>
      </w:r>
      <w:r w:rsidRPr="00242020">
        <w:rPr>
          <w:rFonts w:eastAsia="Times New Roman" w:cs="Times New Roman"/>
          <w:bCs/>
          <w:szCs w:val="28"/>
          <w:lang w:eastAsia="ru-RU"/>
        </w:rPr>
        <w:t xml:space="preserve">до продажу у звітному періоді не пропонувалися. </w:t>
      </w:r>
    </w:p>
    <w:p w:rsidR="004462BE" w:rsidRPr="00242020" w:rsidRDefault="004462BE" w:rsidP="003B1438">
      <w:pPr>
        <w:jc w:val="both"/>
        <w:rPr>
          <w:rFonts w:eastAsia="Times New Roman" w:cs="Times New Roman"/>
          <w:szCs w:val="28"/>
          <w:lang w:eastAsia="ru-RU"/>
        </w:rPr>
      </w:pPr>
      <w:r w:rsidRPr="00242020">
        <w:rPr>
          <w:rFonts w:eastAsia="Times New Roman" w:cs="Times New Roman"/>
          <w:szCs w:val="28"/>
          <w:lang w:eastAsia="ru-RU"/>
        </w:rPr>
        <w:t xml:space="preserve">Надходження коштів до державного бюджету від продажу акцій АТ на фондових біржах та </w:t>
      </w:r>
      <w:proofErr w:type="spellStart"/>
      <w:r w:rsidRPr="00242020">
        <w:rPr>
          <w:rFonts w:eastAsia="Times New Roman" w:cs="Times New Roman"/>
          <w:szCs w:val="28"/>
          <w:lang w:eastAsia="ru-RU"/>
        </w:rPr>
        <w:t>ВГРА</w:t>
      </w:r>
      <w:proofErr w:type="spellEnd"/>
      <w:r w:rsidRPr="00242020">
        <w:rPr>
          <w:rFonts w:eastAsia="Times New Roman" w:cs="Times New Roman"/>
          <w:szCs w:val="28"/>
          <w:lang w:eastAsia="ru-RU"/>
        </w:rPr>
        <w:t xml:space="preserve"> становлять </w:t>
      </w:r>
      <w:r w:rsidRPr="00242020">
        <w:rPr>
          <w:rFonts w:eastAsia="Times New Roman" w:cs="Times New Roman"/>
          <w:b/>
          <w:szCs w:val="28"/>
          <w:lang w:eastAsia="ru-RU"/>
        </w:rPr>
        <w:t>11,640 </w:t>
      </w:r>
      <w:proofErr w:type="spellStart"/>
      <w:r w:rsidRPr="00242020">
        <w:rPr>
          <w:rFonts w:eastAsia="Times New Roman" w:cs="Times New Roman"/>
          <w:b/>
          <w:szCs w:val="28"/>
          <w:lang w:eastAsia="ru-RU"/>
        </w:rPr>
        <w:t>млн</w:t>
      </w:r>
      <w:proofErr w:type="spellEnd"/>
      <w:r w:rsidRPr="00242020">
        <w:rPr>
          <w:rFonts w:eastAsia="Times New Roman" w:cs="Times New Roman"/>
          <w:b/>
          <w:szCs w:val="28"/>
          <w:lang w:eastAsia="ru-RU"/>
        </w:rPr>
        <w:t xml:space="preserve"> грн.</w:t>
      </w:r>
      <w:r w:rsidRPr="00242020">
        <w:rPr>
          <w:rFonts w:eastAsia="Times New Roman" w:cs="Times New Roman"/>
          <w:szCs w:val="28"/>
          <w:lang w:eastAsia="ru-RU"/>
        </w:rPr>
        <w:t xml:space="preserve"> </w:t>
      </w:r>
    </w:p>
    <w:p w:rsidR="004462BE" w:rsidRPr="00242020" w:rsidRDefault="004462BE" w:rsidP="003B1438">
      <w:pPr>
        <w:jc w:val="both"/>
        <w:rPr>
          <w:rFonts w:eastAsia="Times New Roman" w:cs="Times New Roman"/>
          <w:szCs w:val="28"/>
          <w:lang w:eastAsia="ru-RU"/>
        </w:rPr>
      </w:pPr>
      <w:r w:rsidRPr="00242020">
        <w:rPr>
          <w:rFonts w:eastAsia="Times New Roman" w:cs="Times New Roman"/>
          <w:szCs w:val="28"/>
          <w:lang w:eastAsia="ru-RU"/>
        </w:rPr>
        <w:t xml:space="preserve">Протягом 2016 року в газеті «Відомості приватизації» </w:t>
      </w:r>
      <w:proofErr w:type="spellStart"/>
      <w:r w:rsidRPr="00242020">
        <w:rPr>
          <w:rFonts w:eastAsia="Times New Roman" w:cs="Times New Roman"/>
          <w:szCs w:val="28"/>
          <w:lang w:eastAsia="ru-RU"/>
        </w:rPr>
        <w:t>оприлюднено</w:t>
      </w:r>
      <w:proofErr w:type="spellEnd"/>
      <w:r w:rsidRPr="00242020">
        <w:rPr>
          <w:rFonts w:eastAsia="Times New Roman" w:cs="Times New Roman"/>
          <w:szCs w:val="28"/>
          <w:lang w:eastAsia="ru-RU"/>
        </w:rPr>
        <w:t xml:space="preserve"> 14 інформаційних повідомлень (4 – повторно) про </w:t>
      </w:r>
      <w:r w:rsidRPr="00242020">
        <w:rPr>
          <w:rFonts w:eastAsia="Times New Roman" w:cs="Times New Roman"/>
          <w:b/>
          <w:szCs w:val="28"/>
          <w:lang w:eastAsia="ru-RU"/>
        </w:rPr>
        <w:t xml:space="preserve">проведення конкурсів </w:t>
      </w:r>
      <w:r w:rsidRPr="00242020">
        <w:rPr>
          <w:rFonts w:eastAsia="Times New Roman" w:cs="Times New Roman"/>
          <w:szCs w:val="28"/>
          <w:lang w:eastAsia="ru-RU"/>
        </w:rPr>
        <w:t>з продажу пакетів акцій 6 АТ.</w:t>
      </w:r>
    </w:p>
    <w:p w:rsidR="004462BE" w:rsidRPr="00242020" w:rsidRDefault="004462BE" w:rsidP="003B1438">
      <w:pPr>
        <w:widowControl/>
        <w:jc w:val="both"/>
        <w:rPr>
          <w:rFonts w:eastAsia="Times New Roman" w:cs="Times New Roman"/>
          <w:szCs w:val="28"/>
          <w:lang w:eastAsia="ru-RU"/>
        </w:rPr>
      </w:pPr>
      <w:r w:rsidRPr="00242020">
        <w:rPr>
          <w:rFonts w:eastAsia="Times New Roman" w:cs="Times New Roman"/>
          <w:szCs w:val="28"/>
          <w:lang w:eastAsia="ru-RU"/>
        </w:rPr>
        <w:t xml:space="preserve">Апаратом Фонду оголошено 7 (1 – повторно) конкурсів з продажу пакетів акцій 4 </w:t>
      </w:r>
      <w:r w:rsidR="0073354B">
        <w:rPr>
          <w:rFonts w:eastAsia="Times New Roman" w:cs="Times New Roman"/>
          <w:szCs w:val="28"/>
          <w:lang w:eastAsia="ru-RU"/>
        </w:rPr>
        <w:t>АТ</w:t>
      </w:r>
      <w:r w:rsidRPr="00242020">
        <w:rPr>
          <w:rFonts w:eastAsia="Times New Roman" w:cs="Times New Roman"/>
          <w:szCs w:val="28"/>
          <w:lang w:eastAsia="ru-RU"/>
        </w:rPr>
        <w:t>:</w:t>
      </w:r>
    </w:p>
    <w:p w:rsidR="004462BE" w:rsidRPr="00242020" w:rsidRDefault="004462BE" w:rsidP="003B1438">
      <w:pPr>
        <w:widowControl/>
        <w:jc w:val="both"/>
        <w:rPr>
          <w:rFonts w:eastAsia="Times New Roman" w:cs="Times New Roman"/>
          <w:szCs w:val="28"/>
          <w:lang w:eastAsia="ru-RU"/>
        </w:rPr>
      </w:pPr>
      <w:r w:rsidRPr="00242020">
        <w:rPr>
          <w:rFonts w:eastAsia="Times New Roman" w:cs="Times New Roman"/>
          <w:b/>
          <w:szCs w:val="28"/>
          <w:lang w:eastAsia="ru-RU"/>
        </w:rPr>
        <w:lastRenderedPageBreak/>
        <w:t>1. ПАТ «Гайворонський тепловозоремонтний завод»</w:t>
      </w:r>
      <w:r w:rsidRPr="00242020">
        <w:rPr>
          <w:rFonts w:eastAsia="Times New Roman" w:cs="Times New Roman"/>
          <w:szCs w:val="28"/>
          <w:lang w:eastAsia="ru-RU"/>
        </w:rPr>
        <w:t xml:space="preserve"> – пакет акцій розміром 100 % статутного капіталу» оголошено двічі (1 – повторно):</w:t>
      </w:r>
    </w:p>
    <w:p w:rsidR="004462BE" w:rsidRPr="00242020" w:rsidRDefault="004462BE" w:rsidP="003B1438">
      <w:pPr>
        <w:widowControl/>
        <w:jc w:val="both"/>
        <w:rPr>
          <w:rFonts w:eastAsia="Times New Roman" w:cs="Times New Roman"/>
          <w:szCs w:val="28"/>
          <w:lang w:eastAsia="ru-RU"/>
        </w:rPr>
      </w:pPr>
      <w:r w:rsidRPr="00242020">
        <w:rPr>
          <w:rFonts w:eastAsia="Times New Roman" w:cs="Times New Roman"/>
          <w:szCs w:val="28"/>
          <w:lang w:eastAsia="ru-RU"/>
        </w:rPr>
        <w:t xml:space="preserve">01.06.2016 за початковою ціною 20 556 000 </w:t>
      </w:r>
      <w:proofErr w:type="spellStart"/>
      <w:r w:rsidRPr="00242020">
        <w:rPr>
          <w:rFonts w:eastAsia="Times New Roman" w:cs="Times New Roman"/>
          <w:szCs w:val="28"/>
          <w:lang w:eastAsia="ru-RU"/>
        </w:rPr>
        <w:t>грн</w:t>
      </w:r>
      <w:proofErr w:type="spellEnd"/>
      <w:r w:rsidRPr="00242020">
        <w:rPr>
          <w:rFonts w:eastAsia="Times New Roman" w:cs="Times New Roman"/>
          <w:szCs w:val="28"/>
          <w:lang w:eastAsia="ru-RU"/>
        </w:rPr>
        <w:t>;</w:t>
      </w:r>
    </w:p>
    <w:p w:rsidR="004462BE" w:rsidRPr="00242020" w:rsidRDefault="004462BE" w:rsidP="003B1438">
      <w:pPr>
        <w:widowControl/>
        <w:jc w:val="both"/>
        <w:rPr>
          <w:rFonts w:eastAsia="Times New Roman" w:cs="Times New Roman"/>
          <w:szCs w:val="28"/>
          <w:lang w:eastAsia="ru-RU"/>
        </w:rPr>
      </w:pPr>
      <w:r w:rsidRPr="00242020">
        <w:rPr>
          <w:rFonts w:eastAsia="Times New Roman" w:cs="Times New Roman"/>
          <w:szCs w:val="28"/>
          <w:lang w:eastAsia="ru-RU"/>
        </w:rPr>
        <w:t xml:space="preserve">09.11.2016 за початковою ціною 14 980 000 </w:t>
      </w:r>
      <w:proofErr w:type="spellStart"/>
      <w:r w:rsidRPr="00242020">
        <w:rPr>
          <w:rFonts w:eastAsia="Times New Roman" w:cs="Times New Roman"/>
          <w:szCs w:val="28"/>
          <w:lang w:eastAsia="ru-RU"/>
        </w:rPr>
        <w:t>грн</w:t>
      </w:r>
      <w:proofErr w:type="spellEnd"/>
      <w:r w:rsidRPr="00242020">
        <w:rPr>
          <w:rFonts w:eastAsia="Times New Roman" w:cs="Times New Roman"/>
          <w:szCs w:val="28"/>
          <w:lang w:eastAsia="ru-RU"/>
        </w:rPr>
        <w:t xml:space="preserve"> (повторно).</w:t>
      </w:r>
    </w:p>
    <w:p w:rsidR="004462BE" w:rsidRPr="00242020" w:rsidRDefault="004462BE" w:rsidP="003B1438">
      <w:pPr>
        <w:widowControl/>
        <w:jc w:val="both"/>
        <w:rPr>
          <w:rFonts w:eastAsia="Times New Roman" w:cs="Times New Roman"/>
          <w:szCs w:val="28"/>
          <w:lang w:eastAsia="ru-RU"/>
        </w:rPr>
      </w:pPr>
      <w:r w:rsidRPr="00242020">
        <w:rPr>
          <w:rFonts w:eastAsia="Times New Roman" w:cs="Times New Roman"/>
          <w:b/>
          <w:szCs w:val="28"/>
          <w:lang w:eastAsia="ru-RU"/>
        </w:rPr>
        <w:t>2. ПАТ «Одеський припортовий завод»</w:t>
      </w:r>
      <w:r w:rsidRPr="00242020">
        <w:rPr>
          <w:rFonts w:eastAsia="Times New Roman" w:cs="Times New Roman"/>
          <w:szCs w:val="28"/>
          <w:lang w:eastAsia="ru-RU"/>
        </w:rPr>
        <w:t xml:space="preserve"> – пакет акцій розміром 99,567</w:t>
      </w:r>
      <w:r w:rsidR="003B1438" w:rsidRPr="00242020">
        <w:rPr>
          <w:rFonts w:eastAsia="Times New Roman" w:cs="Times New Roman"/>
          <w:szCs w:val="28"/>
          <w:lang w:eastAsia="ru-RU"/>
        </w:rPr>
        <w:t> </w:t>
      </w:r>
      <w:r w:rsidRPr="00242020">
        <w:rPr>
          <w:rFonts w:eastAsia="Times New Roman" w:cs="Times New Roman"/>
          <w:szCs w:val="28"/>
          <w:lang w:eastAsia="ru-RU"/>
        </w:rPr>
        <w:t>% статутного капіталу (підприємство групи Г, що має стратегічне значення) оголошено двічі:</w:t>
      </w:r>
    </w:p>
    <w:p w:rsidR="004462BE" w:rsidRPr="00242020" w:rsidRDefault="004462BE" w:rsidP="003B1438">
      <w:pPr>
        <w:widowControl/>
        <w:jc w:val="both"/>
        <w:rPr>
          <w:rFonts w:eastAsia="Times New Roman" w:cs="Times New Roman"/>
          <w:szCs w:val="28"/>
          <w:lang w:eastAsia="ru-RU"/>
        </w:rPr>
      </w:pPr>
      <w:r w:rsidRPr="00242020">
        <w:rPr>
          <w:rFonts w:eastAsia="Times New Roman" w:cs="Times New Roman"/>
          <w:szCs w:val="28"/>
          <w:lang w:eastAsia="ru-RU"/>
        </w:rPr>
        <w:t xml:space="preserve">13.06.2016 за початковою ціною 13 175 000 000 </w:t>
      </w:r>
      <w:proofErr w:type="spellStart"/>
      <w:r w:rsidRPr="00242020">
        <w:rPr>
          <w:rFonts w:eastAsia="Times New Roman" w:cs="Times New Roman"/>
          <w:szCs w:val="28"/>
          <w:lang w:eastAsia="ru-RU"/>
        </w:rPr>
        <w:t>грн</w:t>
      </w:r>
      <w:proofErr w:type="spellEnd"/>
      <w:r w:rsidRPr="00242020">
        <w:rPr>
          <w:rFonts w:eastAsia="Times New Roman" w:cs="Times New Roman"/>
          <w:szCs w:val="28"/>
          <w:lang w:eastAsia="ru-RU"/>
        </w:rPr>
        <w:t>;</w:t>
      </w:r>
    </w:p>
    <w:p w:rsidR="004462BE" w:rsidRPr="00242020" w:rsidRDefault="004462BE" w:rsidP="003B1438">
      <w:pPr>
        <w:widowControl/>
        <w:jc w:val="both"/>
        <w:rPr>
          <w:rFonts w:eastAsia="Times New Roman" w:cs="Times New Roman"/>
          <w:szCs w:val="28"/>
          <w:lang w:eastAsia="ru-RU"/>
        </w:rPr>
      </w:pPr>
      <w:r w:rsidRPr="00242020">
        <w:rPr>
          <w:rFonts w:eastAsia="Times New Roman" w:cs="Times New Roman"/>
          <w:szCs w:val="28"/>
          <w:lang w:eastAsia="ru-RU"/>
        </w:rPr>
        <w:t xml:space="preserve">31.10.2016 за початковою ціною </w:t>
      </w:r>
      <w:r w:rsidR="00932CB2">
        <w:rPr>
          <w:rFonts w:eastAsia="Times New Roman" w:cs="Times New Roman"/>
          <w:szCs w:val="28"/>
          <w:lang w:eastAsia="ru-RU"/>
        </w:rPr>
        <w:t>5 </w:t>
      </w:r>
      <w:r w:rsidRPr="00242020">
        <w:rPr>
          <w:rFonts w:eastAsia="Times New Roman" w:cs="Times New Roman"/>
          <w:szCs w:val="28"/>
          <w:lang w:eastAsia="ru-RU"/>
        </w:rPr>
        <w:t>160 000 000 грн.</w:t>
      </w:r>
    </w:p>
    <w:p w:rsidR="004462BE" w:rsidRPr="00242020" w:rsidRDefault="004462BE" w:rsidP="003B1438">
      <w:pPr>
        <w:widowControl/>
        <w:jc w:val="both"/>
        <w:rPr>
          <w:rFonts w:eastAsia="Times New Roman" w:cs="Times New Roman"/>
          <w:szCs w:val="28"/>
          <w:lang w:eastAsia="ru-RU"/>
        </w:rPr>
      </w:pPr>
      <w:r w:rsidRPr="00242020">
        <w:rPr>
          <w:rFonts w:eastAsia="Times New Roman" w:cs="Times New Roman"/>
          <w:b/>
          <w:szCs w:val="28"/>
          <w:lang w:eastAsia="ru-RU"/>
        </w:rPr>
        <w:t>3. ПАТ «Дніпровський машинобудівний завод»</w:t>
      </w:r>
      <w:r w:rsidRPr="00242020">
        <w:rPr>
          <w:rFonts w:eastAsia="Times New Roman" w:cs="Times New Roman"/>
          <w:szCs w:val="28"/>
          <w:lang w:eastAsia="ru-RU"/>
        </w:rPr>
        <w:t xml:space="preserve"> – пакет акцій розміром 25 % + 1 акція статутного капіталу оголошено двічі:</w:t>
      </w:r>
    </w:p>
    <w:p w:rsidR="004462BE" w:rsidRPr="00242020" w:rsidRDefault="004462BE" w:rsidP="003B1438">
      <w:pPr>
        <w:widowControl/>
        <w:jc w:val="both"/>
        <w:rPr>
          <w:rFonts w:eastAsia="Times New Roman" w:cs="Times New Roman"/>
          <w:szCs w:val="28"/>
          <w:lang w:eastAsia="ru-RU"/>
        </w:rPr>
      </w:pPr>
      <w:r w:rsidRPr="00242020">
        <w:rPr>
          <w:rFonts w:eastAsia="Times New Roman" w:cs="Times New Roman"/>
          <w:szCs w:val="28"/>
          <w:lang w:eastAsia="ru-RU"/>
        </w:rPr>
        <w:t xml:space="preserve">05.09.2016 за початковою ціною 26 521 000 </w:t>
      </w:r>
      <w:proofErr w:type="spellStart"/>
      <w:r w:rsidRPr="00242020">
        <w:rPr>
          <w:rFonts w:eastAsia="Times New Roman" w:cs="Times New Roman"/>
          <w:szCs w:val="28"/>
          <w:lang w:eastAsia="ru-RU"/>
        </w:rPr>
        <w:t>грн</w:t>
      </w:r>
      <w:proofErr w:type="spellEnd"/>
      <w:r w:rsidRPr="00242020">
        <w:rPr>
          <w:rFonts w:eastAsia="Times New Roman" w:cs="Times New Roman"/>
          <w:szCs w:val="28"/>
          <w:lang w:eastAsia="ru-RU"/>
        </w:rPr>
        <w:t>;</w:t>
      </w:r>
    </w:p>
    <w:p w:rsidR="004462BE" w:rsidRPr="00242020" w:rsidRDefault="004462BE" w:rsidP="003B1438">
      <w:pPr>
        <w:widowControl/>
        <w:jc w:val="both"/>
        <w:rPr>
          <w:rFonts w:eastAsia="Times New Roman" w:cs="Times New Roman"/>
          <w:szCs w:val="28"/>
          <w:lang w:eastAsia="ru-RU"/>
        </w:rPr>
      </w:pPr>
      <w:r w:rsidRPr="00242020">
        <w:rPr>
          <w:rFonts w:eastAsia="Times New Roman" w:cs="Times New Roman"/>
          <w:szCs w:val="28"/>
          <w:lang w:eastAsia="ru-RU"/>
        </w:rPr>
        <w:t>14.11.2016 за початковою ціною 26 521 000 грн.</w:t>
      </w:r>
    </w:p>
    <w:p w:rsidR="004462BE" w:rsidRPr="00242020" w:rsidRDefault="004462BE" w:rsidP="003B1438">
      <w:pPr>
        <w:widowControl/>
        <w:jc w:val="both"/>
        <w:rPr>
          <w:rFonts w:eastAsia="Times New Roman" w:cs="Times New Roman"/>
          <w:szCs w:val="28"/>
          <w:lang w:eastAsia="ru-RU"/>
        </w:rPr>
      </w:pPr>
      <w:r w:rsidRPr="00242020">
        <w:rPr>
          <w:rFonts w:eastAsia="Times New Roman" w:cs="Times New Roman"/>
          <w:b/>
          <w:szCs w:val="28"/>
          <w:lang w:eastAsia="ru-RU"/>
        </w:rPr>
        <w:t>4. ПАТ «Херсонська теплоелектроцентраль»</w:t>
      </w:r>
      <w:r w:rsidR="003B1438" w:rsidRPr="00242020">
        <w:rPr>
          <w:rFonts w:eastAsia="Times New Roman" w:cs="Times New Roman"/>
          <w:szCs w:val="28"/>
          <w:lang w:eastAsia="ru-RU"/>
        </w:rPr>
        <w:t xml:space="preserve"> – пакет акцій розміром </w:t>
      </w:r>
      <w:r w:rsidRPr="00242020">
        <w:rPr>
          <w:rFonts w:eastAsia="Times New Roman" w:cs="Times New Roman"/>
          <w:szCs w:val="28"/>
          <w:lang w:eastAsia="ru-RU"/>
        </w:rPr>
        <w:t>99,833 % статутного капіталу оголошено один раз:</w:t>
      </w:r>
    </w:p>
    <w:p w:rsidR="004462BE" w:rsidRPr="00242020" w:rsidRDefault="004462BE" w:rsidP="003B1438">
      <w:pPr>
        <w:widowControl/>
        <w:jc w:val="both"/>
        <w:rPr>
          <w:rFonts w:eastAsia="Times New Roman" w:cs="Times New Roman"/>
          <w:b/>
          <w:szCs w:val="28"/>
          <w:lang w:eastAsia="ru-RU"/>
        </w:rPr>
      </w:pPr>
      <w:r w:rsidRPr="00242020">
        <w:rPr>
          <w:rFonts w:eastAsia="Times New Roman" w:cs="Times New Roman"/>
          <w:szCs w:val="28"/>
          <w:lang w:eastAsia="ru-RU"/>
        </w:rPr>
        <w:t xml:space="preserve">14.11.2016 за початковою ціною 155 000 000 грн. </w:t>
      </w:r>
    </w:p>
    <w:p w:rsidR="004462BE" w:rsidRPr="00242020" w:rsidRDefault="004462BE" w:rsidP="003B1438">
      <w:pPr>
        <w:widowControl/>
        <w:jc w:val="both"/>
        <w:rPr>
          <w:rFonts w:eastAsia="Times New Roman" w:cs="Times New Roman"/>
          <w:szCs w:val="28"/>
          <w:lang w:eastAsia="ru-RU"/>
        </w:rPr>
      </w:pPr>
      <w:r w:rsidRPr="00242020">
        <w:rPr>
          <w:rFonts w:eastAsia="Times New Roman" w:cs="Times New Roman"/>
          <w:szCs w:val="28"/>
          <w:lang w:eastAsia="ru-RU"/>
        </w:rPr>
        <w:t xml:space="preserve">Регіональними відділеннями Фонду оголошено 7 (3 – повторно) конкурсів з продажу пакетів акцій 2 </w:t>
      </w:r>
      <w:r w:rsidR="0073354B">
        <w:rPr>
          <w:rFonts w:eastAsia="Times New Roman" w:cs="Times New Roman"/>
          <w:szCs w:val="28"/>
          <w:lang w:eastAsia="ru-RU"/>
        </w:rPr>
        <w:t>АТ</w:t>
      </w:r>
      <w:r w:rsidRPr="00242020">
        <w:rPr>
          <w:rFonts w:eastAsia="Times New Roman" w:cs="Times New Roman"/>
          <w:szCs w:val="28"/>
          <w:lang w:eastAsia="ru-RU"/>
        </w:rPr>
        <w:t>, а саме:</w:t>
      </w:r>
    </w:p>
    <w:p w:rsidR="004462BE" w:rsidRPr="00242020" w:rsidRDefault="004462BE" w:rsidP="003B1438">
      <w:pPr>
        <w:widowControl/>
        <w:jc w:val="both"/>
        <w:rPr>
          <w:rFonts w:eastAsia="Times New Roman" w:cs="Times New Roman"/>
          <w:szCs w:val="28"/>
          <w:lang w:eastAsia="ru-RU"/>
        </w:rPr>
      </w:pPr>
      <w:r w:rsidRPr="00242020">
        <w:rPr>
          <w:rFonts w:eastAsia="Times New Roman" w:cs="Times New Roman"/>
          <w:b/>
          <w:szCs w:val="28"/>
          <w:lang w:eastAsia="ru-RU"/>
        </w:rPr>
        <w:t>1. ПАТ «Тернопільський радіозавод «Оріон»</w:t>
      </w:r>
      <w:r w:rsidRPr="00242020">
        <w:rPr>
          <w:rFonts w:eastAsia="Times New Roman" w:cs="Times New Roman"/>
          <w:szCs w:val="28"/>
          <w:lang w:eastAsia="ru-RU"/>
        </w:rPr>
        <w:t xml:space="preserve"> – пакет акцій розміром 96,129 % статутного капіталу оголошено чотири рази (1 – повторно):</w:t>
      </w:r>
    </w:p>
    <w:p w:rsidR="004462BE" w:rsidRPr="00242020" w:rsidRDefault="004462BE" w:rsidP="003B1438">
      <w:pPr>
        <w:widowControl/>
        <w:jc w:val="both"/>
        <w:rPr>
          <w:rFonts w:eastAsia="Times New Roman" w:cs="Times New Roman"/>
          <w:szCs w:val="28"/>
          <w:lang w:eastAsia="ru-RU"/>
        </w:rPr>
      </w:pPr>
      <w:r w:rsidRPr="00242020">
        <w:rPr>
          <w:rFonts w:eastAsia="Times New Roman" w:cs="Times New Roman"/>
          <w:szCs w:val="28"/>
          <w:lang w:eastAsia="ru-RU"/>
        </w:rPr>
        <w:t xml:space="preserve">25.05.2016 за початковою ціною 140 750 000 </w:t>
      </w:r>
      <w:proofErr w:type="spellStart"/>
      <w:r w:rsidRPr="00242020">
        <w:rPr>
          <w:rFonts w:eastAsia="Times New Roman" w:cs="Times New Roman"/>
          <w:szCs w:val="28"/>
          <w:lang w:eastAsia="ru-RU"/>
        </w:rPr>
        <w:t>грн</w:t>
      </w:r>
      <w:proofErr w:type="spellEnd"/>
      <w:r w:rsidRPr="00242020">
        <w:rPr>
          <w:rFonts w:eastAsia="Times New Roman" w:cs="Times New Roman"/>
          <w:szCs w:val="28"/>
          <w:lang w:eastAsia="ru-RU"/>
        </w:rPr>
        <w:t>;</w:t>
      </w:r>
    </w:p>
    <w:p w:rsidR="004462BE" w:rsidRPr="00242020" w:rsidRDefault="004462BE" w:rsidP="003B1438">
      <w:pPr>
        <w:widowControl/>
        <w:jc w:val="both"/>
        <w:rPr>
          <w:rFonts w:eastAsia="Times New Roman" w:cs="Times New Roman"/>
          <w:szCs w:val="28"/>
          <w:lang w:eastAsia="ru-RU"/>
        </w:rPr>
      </w:pPr>
      <w:r w:rsidRPr="00242020">
        <w:rPr>
          <w:rFonts w:eastAsia="Times New Roman" w:cs="Times New Roman"/>
          <w:szCs w:val="28"/>
          <w:lang w:eastAsia="ru-RU"/>
        </w:rPr>
        <w:t xml:space="preserve">13.07.2016 за початковою ціною 140 750 000 </w:t>
      </w:r>
      <w:proofErr w:type="spellStart"/>
      <w:r w:rsidRPr="00242020">
        <w:rPr>
          <w:rFonts w:eastAsia="Times New Roman" w:cs="Times New Roman"/>
          <w:szCs w:val="28"/>
          <w:lang w:eastAsia="ru-RU"/>
        </w:rPr>
        <w:t>грн</w:t>
      </w:r>
      <w:proofErr w:type="spellEnd"/>
      <w:r w:rsidRPr="00242020">
        <w:rPr>
          <w:rFonts w:eastAsia="Times New Roman" w:cs="Times New Roman"/>
          <w:szCs w:val="28"/>
          <w:lang w:eastAsia="ru-RU"/>
        </w:rPr>
        <w:t xml:space="preserve"> (повторно);</w:t>
      </w:r>
    </w:p>
    <w:p w:rsidR="004462BE" w:rsidRPr="00242020" w:rsidRDefault="004462BE" w:rsidP="003B1438">
      <w:pPr>
        <w:widowControl/>
        <w:jc w:val="both"/>
        <w:rPr>
          <w:rFonts w:eastAsia="Times New Roman" w:cs="Times New Roman"/>
          <w:szCs w:val="28"/>
          <w:lang w:eastAsia="ru-RU"/>
        </w:rPr>
      </w:pPr>
      <w:r w:rsidRPr="00242020">
        <w:rPr>
          <w:rFonts w:eastAsia="Times New Roman" w:cs="Times New Roman"/>
          <w:szCs w:val="28"/>
          <w:lang w:eastAsia="ru-RU"/>
        </w:rPr>
        <w:t xml:space="preserve">31.10.2016 за початковою ціною 120 000 000 </w:t>
      </w:r>
      <w:proofErr w:type="spellStart"/>
      <w:r w:rsidRPr="00242020">
        <w:rPr>
          <w:rFonts w:eastAsia="Times New Roman" w:cs="Times New Roman"/>
          <w:szCs w:val="28"/>
          <w:lang w:eastAsia="ru-RU"/>
        </w:rPr>
        <w:t>грн</w:t>
      </w:r>
      <w:proofErr w:type="spellEnd"/>
      <w:r w:rsidRPr="00242020">
        <w:rPr>
          <w:rFonts w:eastAsia="Times New Roman" w:cs="Times New Roman"/>
          <w:szCs w:val="28"/>
          <w:lang w:eastAsia="ru-RU"/>
        </w:rPr>
        <w:t>;</w:t>
      </w:r>
    </w:p>
    <w:p w:rsidR="004462BE" w:rsidRPr="00242020" w:rsidRDefault="004462BE" w:rsidP="003B1438">
      <w:pPr>
        <w:widowControl/>
        <w:jc w:val="both"/>
        <w:rPr>
          <w:rFonts w:eastAsia="Times New Roman" w:cs="Times New Roman"/>
          <w:szCs w:val="28"/>
          <w:lang w:eastAsia="ru-RU"/>
        </w:rPr>
      </w:pPr>
      <w:r w:rsidRPr="00242020">
        <w:rPr>
          <w:rFonts w:eastAsia="Times New Roman" w:cs="Times New Roman"/>
          <w:szCs w:val="28"/>
          <w:lang w:eastAsia="ru-RU"/>
        </w:rPr>
        <w:t>19.12.2016 за початковою ціною 120 000 000 грн.</w:t>
      </w:r>
    </w:p>
    <w:p w:rsidR="004462BE" w:rsidRPr="00242020" w:rsidRDefault="004462BE" w:rsidP="003B1438">
      <w:pPr>
        <w:widowControl/>
        <w:jc w:val="both"/>
        <w:rPr>
          <w:rFonts w:eastAsia="Times New Roman" w:cs="Times New Roman"/>
          <w:szCs w:val="28"/>
          <w:lang w:eastAsia="ru-RU"/>
        </w:rPr>
      </w:pPr>
      <w:r w:rsidRPr="00242020">
        <w:rPr>
          <w:rFonts w:eastAsia="Times New Roman" w:cs="Times New Roman"/>
          <w:b/>
          <w:szCs w:val="28"/>
          <w:lang w:eastAsia="ru-RU"/>
        </w:rPr>
        <w:t>2. ПАТ «</w:t>
      </w:r>
      <w:proofErr w:type="spellStart"/>
      <w:r w:rsidRPr="00242020">
        <w:rPr>
          <w:rFonts w:eastAsia="Times New Roman" w:cs="Times New Roman"/>
          <w:b/>
          <w:szCs w:val="28"/>
          <w:lang w:eastAsia="ru-RU"/>
        </w:rPr>
        <w:t>Дніпрометробуд</w:t>
      </w:r>
      <w:proofErr w:type="spellEnd"/>
      <w:r w:rsidRPr="00242020">
        <w:rPr>
          <w:rFonts w:eastAsia="Times New Roman" w:cs="Times New Roman"/>
          <w:b/>
          <w:szCs w:val="28"/>
          <w:lang w:eastAsia="ru-RU"/>
        </w:rPr>
        <w:t>»</w:t>
      </w:r>
      <w:r w:rsidRPr="00242020">
        <w:rPr>
          <w:rFonts w:eastAsia="Times New Roman" w:cs="Times New Roman"/>
          <w:szCs w:val="28"/>
          <w:lang w:eastAsia="ru-RU"/>
        </w:rPr>
        <w:t xml:space="preserve"> – пакет акцій розміром 95</w:t>
      </w:r>
      <w:r w:rsidR="003B1438" w:rsidRPr="00242020">
        <w:rPr>
          <w:rFonts w:eastAsia="Times New Roman" w:cs="Times New Roman"/>
          <w:szCs w:val="28"/>
          <w:lang w:eastAsia="ru-RU"/>
        </w:rPr>
        <w:t> </w:t>
      </w:r>
      <w:r w:rsidRPr="00242020">
        <w:rPr>
          <w:rFonts w:eastAsia="Times New Roman" w:cs="Times New Roman"/>
          <w:szCs w:val="28"/>
          <w:lang w:eastAsia="ru-RU"/>
        </w:rPr>
        <w:t>% статутного капіталу оголошено тричі (2 – повторно):</w:t>
      </w:r>
    </w:p>
    <w:p w:rsidR="004462BE" w:rsidRPr="00242020" w:rsidRDefault="004462BE" w:rsidP="003B1438">
      <w:pPr>
        <w:widowControl/>
        <w:jc w:val="both"/>
        <w:rPr>
          <w:rFonts w:eastAsia="Times New Roman" w:cs="Times New Roman"/>
          <w:szCs w:val="28"/>
          <w:lang w:eastAsia="ru-RU"/>
        </w:rPr>
      </w:pPr>
      <w:r w:rsidRPr="00242020">
        <w:rPr>
          <w:rFonts w:eastAsia="Times New Roman" w:cs="Times New Roman"/>
          <w:szCs w:val="28"/>
          <w:lang w:eastAsia="ru-RU"/>
        </w:rPr>
        <w:t xml:space="preserve">07.09.2016 за початковою ціною 44 508 711 </w:t>
      </w:r>
      <w:proofErr w:type="spellStart"/>
      <w:r w:rsidRPr="00242020">
        <w:rPr>
          <w:rFonts w:eastAsia="Times New Roman" w:cs="Times New Roman"/>
          <w:szCs w:val="28"/>
          <w:lang w:eastAsia="ru-RU"/>
        </w:rPr>
        <w:t>грн</w:t>
      </w:r>
      <w:proofErr w:type="spellEnd"/>
      <w:r w:rsidRPr="00242020">
        <w:rPr>
          <w:rFonts w:eastAsia="Times New Roman" w:cs="Times New Roman"/>
          <w:szCs w:val="28"/>
          <w:lang w:eastAsia="ru-RU"/>
        </w:rPr>
        <w:t>;</w:t>
      </w:r>
    </w:p>
    <w:p w:rsidR="004462BE" w:rsidRPr="00242020" w:rsidRDefault="004462BE" w:rsidP="003B1438">
      <w:pPr>
        <w:widowControl/>
        <w:jc w:val="both"/>
        <w:rPr>
          <w:rFonts w:eastAsia="Times New Roman" w:cs="Times New Roman"/>
          <w:szCs w:val="28"/>
          <w:lang w:eastAsia="ru-RU"/>
        </w:rPr>
      </w:pPr>
      <w:r w:rsidRPr="00242020">
        <w:rPr>
          <w:rFonts w:eastAsia="Times New Roman" w:cs="Times New Roman"/>
          <w:szCs w:val="28"/>
          <w:lang w:eastAsia="ru-RU"/>
        </w:rPr>
        <w:t xml:space="preserve">05.10.2016 за початковою ціною 44 508 711 </w:t>
      </w:r>
      <w:proofErr w:type="spellStart"/>
      <w:r w:rsidRPr="00242020">
        <w:rPr>
          <w:rFonts w:eastAsia="Times New Roman" w:cs="Times New Roman"/>
          <w:szCs w:val="28"/>
          <w:lang w:eastAsia="ru-RU"/>
        </w:rPr>
        <w:t>грн</w:t>
      </w:r>
      <w:proofErr w:type="spellEnd"/>
      <w:r w:rsidRPr="00242020">
        <w:rPr>
          <w:rFonts w:eastAsia="Times New Roman" w:cs="Times New Roman"/>
          <w:szCs w:val="28"/>
          <w:lang w:eastAsia="ru-RU"/>
        </w:rPr>
        <w:t xml:space="preserve"> (повторно);</w:t>
      </w:r>
    </w:p>
    <w:p w:rsidR="004462BE" w:rsidRPr="00242020" w:rsidRDefault="004462BE" w:rsidP="003B1438">
      <w:pPr>
        <w:widowControl/>
        <w:jc w:val="both"/>
        <w:rPr>
          <w:rFonts w:eastAsia="Times New Roman" w:cs="Times New Roman"/>
          <w:szCs w:val="28"/>
          <w:lang w:eastAsia="ru-RU"/>
        </w:rPr>
      </w:pPr>
      <w:r w:rsidRPr="00242020">
        <w:rPr>
          <w:rFonts w:eastAsia="Times New Roman" w:cs="Times New Roman"/>
          <w:szCs w:val="28"/>
          <w:lang w:eastAsia="ru-RU"/>
        </w:rPr>
        <w:t xml:space="preserve">09.11.2016 за початковою ціною 44 508 711 </w:t>
      </w:r>
      <w:proofErr w:type="spellStart"/>
      <w:r w:rsidRPr="00242020">
        <w:rPr>
          <w:rFonts w:eastAsia="Times New Roman" w:cs="Times New Roman"/>
          <w:szCs w:val="28"/>
          <w:lang w:eastAsia="ru-RU"/>
        </w:rPr>
        <w:t>грн</w:t>
      </w:r>
      <w:proofErr w:type="spellEnd"/>
      <w:r w:rsidRPr="00242020">
        <w:rPr>
          <w:rFonts w:eastAsia="Times New Roman" w:cs="Times New Roman"/>
          <w:szCs w:val="28"/>
          <w:lang w:eastAsia="ru-RU"/>
        </w:rPr>
        <w:t xml:space="preserve"> (повторно).</w:t>
      </w:r>
    </w:p>
    <w:p w:rsidR="004462BE" w:rsidRPr="00242020" w:rsidRDefault="004462BE" w:rsidP="003B1438">
      <w:pPr>
        <w:widowControl/>
        <w:jc w:val="both"/>
        <w:rPr>
          <w:rFonts w:eastAsia="Times New Roman" w:cs="Times New Roman"/>
          <w:sz w:val="10"/>
          <w:szCs w:val="10"/>
          <w:lang w:eastAsia="ru-RU"/>
        </w:rPr>
      </w:pPr>
    </w:p>
    <w:p w:rsidR="004462BE" w:rsidRPr="00242020" w:rsidRDefault="004462BE" w:rsidP="003B1438">
      <w:pPr>
        <w:jc w:val="both"/>
        <w:rPr>
          <w:rFonts w:eastAsia="Times New Roman" w:cs="Times New Roman"/>
          <w:szCs w:val="28"/>
          <w:lang w:eastAsia="ru-RU"/>
        </w:rPr>
      </w:pPr>
      <w:r w:rsidRPr="00242020">
        <w:rPr>
          <w:rFonts w:eastAsia="Times New Roman" w:cs="Times New Roman"/>
          <w:szCs w:val="28"/>
          <w:lang w:eastAsia="ru-RU"/>
        </w:rPr>
        <w:t>Протягом звітного періоду договори купівлі-продажу пакетів акцій не укладалися.</w:t>
      </w:r>
    </w:p>
    <w:p w:rsidR="004462BE" w:rsidRPr="00242020" w:rsidRDefault="004462BE" w:rsidP="003B1438">
      <w:pPr>
        <w:jc w:val="both"/>
        <w:rPr>
          <w:rFonts w:eastAsia="Times New Roman" w:cs="Times New Roman"/>
          <w:szCs w:val="28"/>
          <w:lang w:eastAsia="ru-RU"/>
        </w:rPr>
      </w:pPr>
      <w:r w:rsidRPr="00242020">
        <w:rPr>
          <w:rFonts w:eastAsia="Times New Roman" w:cs="Times New Roman"/>
          <w:szCs w:val="28"/>
          <w:lang w:eastAsia="ru-RU"/>
        </w:rPr>
        <w:t xml:space="preserve">Протягом 2016 року продаж пакетів акцій АТ, що займають монопольне становище на загальнодержавному ринку відповідних товарів (робіт, послуг) або мають стратегічне значення для економіки та безпеки держави, на конкурсах та фондових біржах не проводився. </w:t>
      </w:r>
    </w:p>
    <w:p w:rsidR="004462BE" w:rsidRPr="00242020" w:rsidRDefault="004462BE" w:rsidP="003B1438">
      <w:pPr>
        <w:jc w:val="both"/>
        <w:rPr>
          <w:rFonts w:eastAsia="Times New Roman" w:cs="Times New Roman"/>
          <w:bCs/>
          <w:szCs w:val="28"/>
          <w:lang w:eastAsia="ru-RU"/>
        </w:rPr>
      </w:pPr>
      <w:r w:rsidRPr="00242020">
        <w:rPr>
          <w:rFonts w:eastAsia="Times New Roman" w:cs="Times New Roman"/>
          <w:bCs/>
          <w:szCs w:val="28"/>
          <w:lang w:eastAsia="ru-RU"/>
        </w:rPr>
        <w:t>Для забезпечення відкритості проведення конкурсів та з метою більшої інформованості потенційних покупців Фонд у звітному періоді оприлюднив у газеті «Відомості приватизації» інформаційні повідомлення про початок підготовки до проведення конкурсів з продажу пакетів акцій 17 підприємств.</w:t>
      </w:r>
    </w:p>
    <w:p w:rsidR="004462BE" w:rsidRPr="00242020" w:rsidRDefault="004462BE" w:rsidP="003B1438">
      <w:pPr>
        <w:jc w:val="both"/>
        <w:rPr>
          <w:rFonts w:eastAsia="Times New Roman" w:cs="Times New Roman"/>
          <w:szCs w:val="28"/>
          <w:lang w:eastAsia="ru-RU"/>
        </w:rPr>
      </w:pPr>
      <w:r w:rsidRPr="00242020">
        <w:rPr>
          <w:rFonts w:eastAsia="Times New Roman" w:cs="Times New Roman"/>
          <w:szCs w:val="28"/>
          <w:lang w:eastAsia="ru-RU"/>
        </w:rPr>
        <w:t xml:space="preserve">Фондом постійно оновлюється інформація на офіційному </w:t>
      </w:r>
      <w:proofErr w:type="spellStart"/>
      <w:r w:rsidRPr="00242020">
        <w:rPr>
          <w:rFonts w:eastAsia="Times New Roman" w:cs="Times New Roman"/>
          <w:szCs w:val="28"/>
          <w:lang w:eastAsia="ru-RU"/>
        </w:rPr>
        <w:t>веб-сайті</w:t>
      </w:r>
      <w:proofErr w:type="spellEnd"/>
      <w:r w:rsidRPr="00242020">
        <w:rPr>
          <w:rFonts w:eastAsia="Times New Roman" w:cs="Times New Roman"/>
          <w:szCs w:val="28"/>
          <w:lang w:eastAsia="ru-RU"/>
        </w:rPr>
        <w:t xml:space="preserve"> Фонду, на якому потенційні покупці можуть самостійно ознайомитися з відповідними рубриками та актуальною інформацією. </w:t>
      </w:r>
    </w:p>
    <w:p w:rsidR="004462BE" w:rsidRPr="00242020" w:rsidRDefault="004462BE" w:rsidP="003B1438">
      <w:pPr>
        <w:jc w:val="center"/>
        <w:rPr>
          <w:rFonts w:eastAsia="Times New Roman" w:cs="Times New Roman"/>
          <w:sz w:val="10"/>
          <w:szCs w:val="10"/>
          <w:lang w:eastAsia="ru-RU"/>
        </w:rPr>
      </w:pPr>
    </w:p>
    <w:p w:rsidR="004462BE" w:rsidRPr="00242020" w:rsidRDefault="004462BE" w:rsidP="003B1438">
      <w:pPr>
        <w:widowControl/>
        <w:jc w:val="center"/>
        <w:rPr>
          <w:rFonts w:eastAsia="Times New Roman" w:cs="Times New Roman"/>
          <w:i/>
        </w:rPr>
      </w:pPr>
      <w:r w:rsidRPr="00242020">
        <w:rPr>
          <w:rFonts w:eastAsia="Times New Roman" w:cs="Times New Roman"/>
          <w:i/>
        </w:rPr>
        <w:t xml:space="preserve">Щодо приватизації </w:t>
      </w:r>
      <w:r w:rsidRPr="00242020">
        <w:rPr>
          <w:rFonts w:eastAsia="Times New Roman" w:cs="Times New Roman"/>
          <w:i/>
          <w:szCs w:val="28"/>
        </w:rPr>
        <w:t>ПАТ «Одеський припортовий завод»</w:t>
      </w:r>
    </w:p>
    <w:p w:rsidR="004462BE" w:rsidRPr="00242020" w:rsidRDefault="004462BE" w:rsidP="003B1438">
      <w:pPr>
        <w:jc w:val="both"/>
        <w:rPr>
          <w:rFonts w:eastAsia="Times New Roman" w:cs="Times New Roman"/>
          <w:szCs w:val="28"/>
          <w:lang w:eastAsia="ru-RU"/>
        </w:rPr>
      </w:pPr>
      <w:r w:rsidRPr="00242020">
        <w:rPr>
          <w:rFonts w:eastAsia="Times New Roman" w:cs="Times New Roman"/>
          <w:szCs w:val="28"/>
          <w:lang w:eastAsia="ru-RU"/>
        </w:rPr>
        <w:t xml:space="preserve">Підготовку до приватизації ПАТ «Одеський припортовий завод» (далі – </w:t>
      </w:r>
      <w:r w:rsidRPr="00242020">
        <w:rPr>
          <w:rFonts w:eastAsia="Times New Roman" w:cs="Times New Roman"/>
          <w:szCs w:val="28"/>
          <w:lang w:eastAsia="ru-RU"/>
        </w:rPr>
        <w:lastRenderedPageBreak/>
        <w:t>ПАТ «</w:t>
      </w:r>
      <w:proofErr w:type="spellStart"/>
      <w:r w:rsidRPr="00242020">
        <w:rPr>
          <w:rFonts w:eastAsia="Times New Roman" w:cs="Times New Roman"/>
          <w:szCs w:val="28"/>
          <w:lang w:eastAsia="ru-RU"/>
        </w:rPr>
        <w:t>ОПЗ</w:t>
      </w:r>
      <w:proofErr w:type="spellEnd"/>
      <w:r w:rsidRPr="00242020">
        <w:rPr>
          <w:rFonts w:eastAsia="Times New Roman" w:cs="Times New Roman"/>
          <w:szCs w:val="28"/>
          <w:lang w:eastAsia="ru-RU"/>
        </w:rPr>
        <w:t>») Фонд розпочав в середині 2015 року. Проте у зв’язку з затримкою прийняття змін до Закону України «Про приватизацію державного майна» не вдалося підготувати і виставити ПАТ «</w:t>
      </w:r>
      <w:proofErr w:type="spellStart"/>
      <w:r w:rsidRPr="00242020">
        <w:rPr>
          <w:rFonts w:eastAsia="Times New Roman" w:cs="Times New Roman"/>
          <w:szCs w:val="28"/>
          <w:lang w:eastAsia="ru-RU"/>
        </w:rPr>
        <w:t>ОПЗ</w:t>
      </w:r>
      <w:proofErr w:type="spellEnd"/>
      <w:r w:rsidRPr="00242020">
        <w:rPr>
          <w:rFonts w:eastAsia="Times New Roman" w:cs="Times New Roman"/>
          <w:szCs w:val="28"/>
          <w:lang w:eastAsia="ru-RU"/>
        </w:rPr>
        <w:t>» на приватизацію у ІІ півріччі 2015 – І півріччі 2016 року. Таким чином, приватизація ПАТ «</w:t>
      </w:r>
      <w:proofErr w:type="spellStart"/>
      <w:r w:rsidRPr="00242020">
        <w:rPr>
          <w:rFonts w:eastAsia="Times New Roman" w:cs="Times New Roman"/>
          <w:szCs w:val="28"/>
          <w:lang w:eastAsia="ru-RU"/>
        </w:rPr>
        <w:t>ОПЗ</w:t>
      </w:r>
      <w:proofErr w:type="spellEnd"/>
      <w:r w:rsidRPr="00242020">
        <w:rPr>
          <w:rFonts w:eastAsia="Times New Roman" w:cs="Times New Roman"/>
          <w:szCs w:val="28"/>
          <w:lang w:eastAsia="ru-RU"/>
        </w:rPr>
        <w:t>» не відбулася з причин, не залежних від Фонду.</w:t>
      </w:r>
    </w:p>
    <w:p w:rsidR="004462BE" w:rsidRPr="00242020" w:rsidRDefault="004462BE" w:rsidP="003B1438">
      <w:pPr>
        <w:jc w:val="both"/>
        <w:rPr>
          <w:rFonts w:eastAsia="Times New Roman" w:cs="Times New Roman"/>
          <w:szCs w:val="28"/>
          <w:lang w:eastAsia="ru-RU"/>
        </w:rPr>
      </w:pPr>
      <w:r w:rsidRPr="00242020">
        <w:rPr>
          <w:rFonts w:eastAsia="Times New Roman" w:cs="Times New Roman"/>
          <w:szCs w:val="28"/>
          <w:lang w:eastAsia="ru-RU"/>
        </w:rPr>
        <w:t xml:space="preserve">У зв’язку з цим підготовку цього підприємства до приватизації Фонд розпочав після прийняття 16.02.2016 Закону України </w:t>
      </w:r>
      <w:r w:rsidRPr="00242020">
        <w:rPr>
          <w:rFonts w:eastAsia="Times New Roman" w:cs="Times New Roman"/>
          <w:bCs/>
          <w:szCs w:val="28"/>
          <w:lang w:eastAsia="ru-RU"/>
        </w:rPr>
        <w:t xml:space="preserve">«Про внесення змін до деяких законів України щодо вдосконалення процесу приватизації» </w:t>
      </w:r>
      <w:r w:rsidRPr="00242020">
        <w:rPr>
          <w:rFonts w:eastAsia="Times New Roman" w:cs="Times New Roman"/>
          <w:szCs w:val="28"/>
          <w:lang w:eastAsia="ru-RU"/>
        </w:rPr>
        <w:t>за</w:t>
      </w:r>
      <w:r w:rsidR="003B1438" w:rsidRPr="00242020">
        <w:rPr>
          <w:rFonts w:eastAsia="Times New Roman" w:cs="Times New Roman"/>
          <w:szCs w:val="28"/>
          <w:lang w:eastAsia="ru-RU"/>
        </w:rPr>
        <w:t xml:space="preserve"> </w:t>
      </w:r>
      <w:r w:rsidR="003B1438" w:rsidRPr="00242020">
        <w:rPr>
          <w:rFonts w:eastAsia="Times New Roman" w:cs="Times New Roman"/>
          <w:bCs/>
          <w:szCs w:val="28"/>
          <w:lang w:eastAsia="ru-RU"/>
        </w:rPr>
        <w:br/>
      </w:r>
      <w:r w:rsidRPr="00242020">
        <w:rPr>
          <w:rFonts w:eastAsia="Times New Roman" w:cs="Times New Roman"/>
          <w:bCs/>
          <w:szCs w:val="28"/>
          <w:lang w:eastAsia="ru-RU"/>
        </w:rPr>
        <w:t>№</w:t>
      </w:r>
      <w:r w:rsidR="003B1438" w:rsidRPr="00242020">
        <w:rPr>
          <w:rFonts w:eastAsia="Times New Roman" w:cs="Times New Roman"/>
          <w:bCs/>
          <w:szCs w:val="28"/>
          <w:lang w:eastAsia="ru-RU"/>
        </w:rPr>
        <w:t> </w:t>
      </w:r>
      <w:r w:rsidRPr="00242020">
        <w:rPr>
          <w:rFonts w:eastAsia="Times New Roman" w:cs="Times New Roman"/>
          <w:bCs/>
          <w:szCs w:val="28"/>
          <w:lang w:eastAsia="ru-RU"/>
        </w:rPr>
        <w:t xml:space="preserve">1005-VIII </w:t>
      </w:r>
      <w:r w:rsidRPr="00242020">
        <w:rPr>
          <w:rFonts w:eastAsia="Times New Roman" w:cs="Times New Roman"/>
          <w:szCs w:val="28"/>
          <w:lang w:eastAsia="ru-RU"/>
        </w:rPr>
        <w:t>і завершив у липні 2016 року. Було забезпечено проходження всіх необхідних етапів, а саме: інвентаризація, аудит, оцінка, погодження Робочої групи з питань приватизації при Кабінеті Міністрів України, затвердження Урядом умов продажу.</w:t>
      </w:r>
    </w:p>
    <w:p w:rsidR="004462BE" w:rsidRPr="00242020" w:rsidRDefault="004462BE" w:rsidP="003B1438">
      <w:pPr>
        <w:jc w:val="both"/>
        <w:rPr>
          <w:rFonts w:eastAsia="Times New Roman" w:cs="Times New Roman"/>
          <w:szCs w:val="28"/>
          <w:lang w:eastAsia="ru-RU"/>
        </w:rPr>
      </w:pPr>
      <w:r w:rsidRPr="00242020">
        <w:rPr>
          <w:rFonts w:eastAsia="Times New Roman" w:cs="Times New Roman"/>
          <w:szCs w:val="28"/>
          <w:lang w:eastAsia="ru-RU"/>
        </w:rPr>
        <w:t>Протягом цього періоду суттєво зросли борги ПАТ «</w:t>
      </w:r>
      <w:proofErr w:type="spellStart"/>
      <w:r w:rsidRPr="00242020">
        <w:rPr>
          <w:rFonts w:eastAsia="Times New Roman" w:cs="Times New Roman"/>
          <w:szCs w:val="28"/>
          <w:lang w:eastAsia="ru-RU"/>
        </w:rPr>
        <w:t>ОПЗ</w:t>
      </w:r>
      <w:proofErr w:type="spellEnd"/>
      <w:r w:rsidRPr="00242020">
        <w:rPr>
          <w:rFonts w:eastAsia="Times New Roman" w:cs="Times New Roman"/>
          <w:szCs w:val="28"/>
          <w:lang w:eastAsia="ru-RU"/>
        </w:rPr>
        <w:t xml:space="preserve">», у т. ч. перед </w:t>
      </w:r>
      <w:proofErr w:type="spellStart"/>
      <w:r w:rsidRPr="00242020">
        <w:rPr>
          <w:rFonts w:eastAsia="Times New Roman" w:cs="Times New Roman"/>
          <w:szCs w:val="28"/>
          <w:lang w:eastAsia="ru-RU"/>
        </w:rPr>
        <w:t>Group</w:t>
      </w:r>
      <w:proofErr w:type="spellEnd"/>
      <w:r w:rsidRPr="00242020">
        <w:rPr>
          <w:rFonts w:eastAsia="Times New Roman" w:cs="Times New Roman"/>
          <w:szCs w:val="28"/>
          <w:lang w:eastAsia="ru-RU"/>
        </w:rPr>
        <w:t xml:space="preserve"> </w:t>
      </w:r>
      <w:proofErr w:type="spellStart"/>
      <w:r w:rsidRPr="00242020">
        <w:rPr>
          <w:rFonts w:eastAsia="Times New Roman" w:cs="Times New Roman"/>
          <w:szCs w:val="28"/>
          <w:lang w:eastAsia="ru-RU"/>
        </w:rPr>
        <w:t>DF</w:t>
      </w:r>
      <w:proofErr w:type="spellEnd"/>
      <w:r w:rsidRPr="00242020">
        <w:rPr>
          <w:rFonts w:eastAsia="Times New Roman" w:cs="Times New Roman"/>
          <w:szCs w:val="28"/>
          <w:lang w:eastAsia="ru-RU"/>
        </w:rPr>
        <w:t xml:space="preserve">, який іноземні інвестори вважали «токсичним». У зв’язку з цим запланований на 26 липня 2016 року </w:t>
      </w:r>
      <w:r w:rsidR="009E2DB8">
        <w:rPr>
          <w:rFonts w:eastAsia="Times New Roman" w:cs="Times New Roman"/>
          <w:szCs w:val="28"/>
          <w:lang w:eastAsia="ru-RU"/>
        </w:rPr>
        <w:t>конкурс</w:t>
      </w:r>
      <w:r w:rsidRPr="00242020">
        <w:rPr>
          <w:rFonts w:eastAsia="Times New Roman" w:cs="Times New Roman"/>
          <w:szCs w:val="28"/>
          <w:lang w:eastAsia="ru-RU"/>
        </w:rPr>
        <w:t xml:space="preserve"> не відбувся, оскільки жоден з учасників не подав заявок.</w:t>
      </w:r>
    </w:p>
    <w:p w:rsidR="004462BE" w:rsidRPr="00242020" w:rsidRDefault="004462BE" w:rsidP="003B1438">
      <w:pPr>
        <w:jc w:val="both"/>
        <w:rPr>
          <w:rFonts w:eastAsia="Times New Roman" w:cs="Times New Roman"/>
          <w:szCs w:val="28"/>
          <w:lang w:eastAsia="ru-RU"/>
        </w:rPr>
      </w:pPr>
      <w:r w:rsidRPr="00242020">
        <w:rPr>
          <w:rFonts w:eastAsia="Times New Roman" w:cs="Times New Roman"/>
          <w:szCs w:val="28"/>
          <w:lang w:eastAsia="ru-RU"/>
        </w:rPr>
        <w:t>Після визначення ключових проблем приватизації ПАТ «</w:t>
      </w:r>
      <w:proofErr w:type="spellStart"/>
      <w:r w:rsidRPr="00242020">
        <w:rPr>
          <w:rFonts w:eastAsia="Times New Roman" w:cs="Times New Roman"/>
          <w:szCs w:val="28"/>
          <w:lang w:eastAsia="ru-RU"/>
        </w:rPr>
        <w:t>ОПЗ</w:t>
      </w:r>
      <w:proofErr w:type="spellEnd"/>
      <w:r w:rsidRPr="00242020">
        <w:rPr>
          <w:rFonts w:eastAsia="Times New Roman" w:cs="Times New Roman"/>
          <w:szCs w:val="28"/>
          <w:lang w:eastAsia="ru-RU"/>
        </w:rPr>
        <w:t>», якими стали наявність боргу, відсутність гарантії доставки газу на підприємство, висока стартова ціна та необхідність заміни грошового депозиту на банківську гарантію (як опція), Фонд оперативно розпочав здійснювати підготовку до повторної приватизації ПАТ «</w:t>
      </w:r>
      <w:proofErr w:type="spellStart"/>
      <w:r w:rsidRPr="00242020">
        <w:rPr>
          <w:rFonts w:eastAsia="Times New Roman" w:cs="Times New Roman"/>
          <w:szCs w:val="28"/>
          <w:lang w:eastAsia="ru-RU"/>
        </w:rPr>
        <w:t>ОПЗ</w:t>
      </w:r>
      <w:proofErr w:type="spellEnd"/>
      <w:r w:rsidRPr="00242020">
        <w:rPr>
          <w:rFonts w:eastAsia="Times New Roman" w:cs="Times New Roman"/>
          <w:szCs w:val="28"/>
          <w:lang w:eastAsia="ru-RU"/>
        </w:rPr>
        <w:t xml:space="preserve">». </w:t>
      </w:r>
    </w:p>
    <w:p w:rsidR="004462BE" w:rsidRPr="00242020" w:rsidRDefault="004462BE" w:rsidP="003B1438">
      <w:pPr>
        <w:jc w:val="both"/>
        <w:rPr>
          <w:rFonts w:eastAsia="Times New Roman" w:cs="Times New Roman"/>
          <w:szCs w:val="28"/>
          <w:lang w:eastAsia="ru-RU"/>
        </w:rPr>
      </w:pPr>
      <w:r w:rsidRPr="00242020">
        <w:rPr>
          <w:rFonts w:eastAsia="Times New Roman" w:cs="Times New Roman"/>
          <w:szCs w:val="28"/>
          <w:lang w:eastAsia="ru-RU"/>
        </w:rPr>
        <w:t xml:space="preserve">На цьому етапі було підготовлено та забезпечено погодження відповідних нормативних актів, які дали змогу зменшити стартову ціну пакета акцій товариства та подавати банківську гарантію замість </w:t>
      </w:r>
      <w:r w:rsidR="00702D3C">
        <w:rPr>
          <w:rFonts w:eastAsia="Times New Roman" w:cs="Times New Roman"/>
          <w:szCs w:val="28"/>
          <w:lang w:eastAsia="ru-RU"/>
        </w:rPr>
        <w:t>конкурсної гарантії</w:t>
      </w:r>
      <w:r w:rsidRPr="00242020">
        <w:rPr>
          <w:rFonts w:eastAsia="Times New Roman" w:cs="Times New Roman"/>
          <w:szCs w:val="28"/>
          <w:lang w:eastAsia="ru-RU"/>
        </w:rPr>
        <w:t xml:space="preserve"> (5</w:t>
      </w:r>
      <w:r w:rsidR="003B1438" w:rsidRPr="00242020">
        <w:rPr>
          <w:rFonts w:eastAsia="Times New Roman" w:cs="Times New Roman"/>
          <w:szCs w:val="28"/>
          <w:lang w:eastAsia="ru-RU"/>
        </w:rPr>
        <w:t> </w:t>
      </w:r>
      <w:r w:rsidRPr="00242020">
        <w:rPr>
          <w:rFonts w:eastAsia="Times New Roman" w:cs="Times New Roman"/>
          <w:szCs w:val="28"/>
          <w:lang w:eastAsia="ru-RU"/>
        </w:rPr>
        <w:t>%) на суму ц</w:t>
      </w:r>
      <w:r w:rsidR="00702D3C">
        <w:rPr>
          <w:rFonts w:eastAsia="Times New Roman" w:cs="Times New Roman"/>
          <w:szCs w:val="28"/>
          <w:lang w:eastAsia="ru-RU"/>
        </w:rPr>
        <w:t>ієї гарантії</w:t>
      </w:r>
      <w:r w:rsidRPr="00242020">
        <w:rPr>
          <w:rFonts w:eastAsia="Times New Roman" w:cs="Times New Roman"/>
          <w:szCs w:val="28"/>
          <w:lang w:eastAsia="ru-RU"/>
        </w:rPr>
        <w:t>. Крім того, АТ «</w:t>
      </w:r>
      <w:proofErr w:type="spellStart"/>
      <w:r w:rsidRPr="00242020">
        <w:rPr>
          <w:rFonts w:eastAsia="Times New Roman" w:cs="Times New Roman"/>
          <w:szCs w:val="28"/>
          <w:lang w:eastAsia="ru-RU"/>
        </w:rPr>
        <w:t>Укртрансгаз</w:t>
      </w:r>
      <w:proofErr w:type="spellEnd"/>
      <w:r w:rsidRPr="00242020">
        <w:rPr>
          <w:rFonts w:eastAsia="Times New Roman" w:cs="Times New Roman"/>
          <w:szCs w:val="28"/>
          <w:lang w:eastAsia="ru-RU"/>
        </w:rPr>
        <w:t>» надав гарантію доставки газу до ПАТ «</w:t>
      </w:r>
      <w:proofErr w:type="spellStart"/>
      <w:r w:rsidRPr="00242020">
        <w:rPr>
          <w:rFonts w:eastAsia="Times New Roman" w:cs="Times New Roman"/>
          <w:szCs w:val="28"/>
          <w:lang w:eastAsia="ru-RU"/>
        </w:rPr>
        <w:t>ОПЗ</w:t>
      </w:r>
      <w:proofErr w:type="spellEnd"/>
      <w:r w:rsidRPr="00242020">
        <w:rPr>
          <w:rFonts w:eastAsia="Times New Roman" w:cs="Times New Roman"/>
          <w:szCs w:val="28"/>
          <w:lang w:eastAsia="ru-RU"/>
        </w:rPr>
        <w:t>», якщо цей газ придбано і доставлено до кордону з Україною.</w:t>
      </w:r>
    </w:p>
    <w:p w:rsidR="004462BE" w:rsidRPr="00242020" w:rsidRDefault="004462BE" w:rsidP="003B1438">
      <w:pPr>
        <w:jc w:val="both"/>
        <w:rPr>
          <w:rFonts w:eastAsia="Times New Roman" w:cs="Times New Roman"/>
          <w:szCs w:val="28"/>
          <w:lang w:eastAsia="ru-RU"/>
        </w:rPr>
      </w:pPr>
      <w:r w:rsidRPr="00242020">
        <w:rPr>
          <w:rFonts w:eastAsia="Times New Roman" w:cs="Times New Roman"/>
          <w:szCs w:val="28"/>
          <w:lang w:eastAsia="ru-RU"/>
        </w:rPr>
        <w:t xml:space="preserve">З метою вирішення питання щодо боргу перед </w:t>
      </w:r>
      <w:proofErr w:type="spellStart"/>
      <w:r w:rsidRPr="00242020">
        <w:rPr>
          <w:rFonts w:eastAsia="Times New Roman" w:cs="Times New Roman"/>
          <w:szCs w:val="28"/>
          <w:lang w:eastAsia="ru-RU"/>
        </w:rPr>
        <w:t>Group</w:t>
      </w:r>
      <w:proofErr w:type="spellEnd"/>
      <w:r w:rsidRPr="00242020">
        <w:rPr>
          <w:rFonts w:eastAsia="Times New Roman" w:cs="Times New Roman"/>
          <w:szCs w:val="28"/>
          <w:lang w:eastAsia="ru-RU"/>
        </w:rPr>
        <w:t xml:space="preserve"> </w:t>
      </w:r>
      <w:proofErr w:type="spellStart"/>
      <w:r w:rsidRPr="00242020">
        <w:rPr>
          <w:rFonts w:eastAsia="Times New Roman" w:cs="Times New Roman"/>
          <w:szCs w:val="28"/>
          <w:lang w:eastAsia="ru-RU"/>
        </w:rPr>
        <w:t>DF</w:t>
      </w:r>
      <w:proofErr w:type="spellEnd"/>
      <w:r w:rsidRPr="00242020">
        <w:rPr>
          <w:rFonts w:eastAsia="Times New Roman" w:cs="Times New Roman"/>
          <w:szCs w:val="28"/>
          <w:lang w:eastAsia="ru-RU"/>
        </w:rPr>
        <w:t xml:space="preserve"> на балансі ПАТ «</w:t>
      </w:r>
      <w:proofErr w:type="spellStart"/>
      <w:r w:rsidRPr="00242020">
        <w:rPr>
          <w:rFonts w:eastAsia="Times New Roman" w:cs="Times New Roman"/>
          <w:szCs w:val="28"/>
          <w:lang w:eastAsia="ru-RU"/>
        </w:rPr>
        <w:t>ОПЗ</w:t>
      </w:r>
      <w:proofErr w:type="spellEnd"/>
      <w:r w:rsidRPr="00242020">
        <w:rPr>
          <w:rFonts w:eastAsia="Times New Roman" w:cs="Times New Roman"/>
          <w:szCs w:val="28"/>
          <w:lang w:eastAsia="ru-RU"/>
        </w:rPr>
        <w:t>» Фонд неодноразово звертався до Кабінету Міністрів України, Національного банку України, НАК «</w:t>
      </w:r>
      <w:proofErr w:type="spellStart"/>
      <w:r w:rsidRPr="00242020">
        <w:rPr>
          <w:rFonts w:eastAsia="Times New Roman" w:cs="Times New Roman"/>
          <w:szCs w:val="28"/>
          <w:lang w:eastAsia="ru-RU"/>
        </w:rPr>
        <w:t>Нафтогаз</w:t>
      </w:r>
      <w:proofErr w:type="spellEnd"/>
      <w:r w:rsidRPr="00242020">
        <w:rPr>
          <w:rFonts w:eastAsia="Times New Roman" w:cs="Times New Roman"/>
          <w:szCs w:val="28"/>
          <w:lang w:eastAsia="ru-RU"/>
        </w:rPr>
        <w:t xml:space="preserve"> України» спільно розробити механізм заміни такого боргу, проте ця проблема залишилася невирішеною.</w:t>
      </w:r>
    </w:p>
    <w:p w:rsidR="004462BE" w:rsidRPr="00242020" w:rsidRDefault="00E57AEE" w:rsidP="003B1438">
      <w:pPr>
        <w:jc w:val="both"/>
        <w:rPr>
          <w:rFonts w:eastAsia="Times New Roman" w:cs="Times New Roman"/>
          <w:szCs w:val="28"/>
          <w:lang w:eastAsia="ru-RU"/>
        </w:rPr>
      </w:pPr>
      <w:r>
        <w:rPr>
          <w:rFonts w:eastAsia="Times New Roman" w:cs="Times New Roman"/>
          <w:szCs w:val="28"/>
          <w:lang w:eastAsia="ru-RU"/>
        </w:rPr>
        <w:t>Конкурс</w:t>
      </w:r>
      <w:r w:rsidR="004462BE" w:rsidRPr="00242020">
        <w:rPr>
          <w:rFonts w:eastAsia="Times New Roman" w:cs="Times New Roman"/>
          <w:szCs w:val="28"/>
          <w:lang w:eastAsia="ru-RU"/>
        </w:rPr>
        <w:t xml:space="preserve"> з продажу ПАТ «</w:t>
      </w:r>
      <w:proofErr w:type="spellStart"/>
      <w:r w:rsidR="004462BE" w:rsidRPr="00242020">
        <w:rPr>
          <w:rFonts w:eastAsia="Times New Roman" w:cs="Times New Roman"/>
          <w:szCs w:val="28"/>
          <w:lang w:eastAsia="ru-RU"/>
        </w:rPr>
        <w:t>ОПЗ</w:t>
      </w:r>
      <w:proofErr w:type="spellEnd"/>
      <w:r w:rsidR="004462BE" w:rsidRPr="00242020">
        <w:rPr>
          <w:rFonts w:eastAsia="Times New Roman" w:cs="Times New Roman"/>
          <w:szCs w:val="28"/>
          <w:lang w:eastAsia="ru-RU"/>
        </w:rPr>
        <w:t>» 14 грудня 2016 року не відбувся через відсутність заявок від інвесторів. Ключовою причиною цього є наявність зазначеного вище боргу, несприятлива кон’юнктура цін на ринку мінеральних добрив, відсутність позитивних прогнозів її зростання, збиткова діяльність та зростання боргів підприємства.</w:t>
      </w:r>
    </w:p>
    <w:p w:rsidR="004462BE" w:rsidRPr="00242020" w:rsidRDefault="004462BE" w:rsidP="003B1438">
      <w:pPr>
        <w:jc w:val="both"/>
        <w:rPr>
          <w:rFonts w:eastAsia="Times New Roman" w:cs="Times New Roman"/>
          <w:szCs w:val="28"/>
          <w:lang w:eastAsia="ru-RU"/>
        </w:rPr>
      </w:pPr>
      <w:r w:rsidRPr="00242020">
        <w:rPr>
          <w:rFonts w:eastAsia="Times New Roman" w:cs="Times New Roman"/>
          <w:szCs w:val="28"/>
          <w:lang w:eastAsia="ru-RU"/>
        </w:rPr>
        <w:t>Враховуючи зазначене, ПАТ «</w:t>
      </w:r>
      <w:proofErr w:type="spellStart"/>
      <w:r w:rsidRPr="00242020">
        <w:rPr>
          <w:rFonts w:eastAsia="Times New Roman" w:cs="Times New Roman"/>
          <w:szCs w:val="28"/>
          <w:lang w:eastAsia="ru-RU"/>
        </w:rPr>
        <w:t>ОПЗ</w:t>
      </w:r>
      <w:proofErr w:type="spellEnd"/>
      <w:r w:rsidRPr="00242020">
        <w:rPr>
          <w:rFonts w:eastAsia="Times New Roman" w:cs="Times New Roman"/>
          <w:szCs w:val="28"/>
          <w:lang w:eastAsia="ru-RU"/>
        </w:rPr>
        <w:t xml:space="preserve">» було підготовлено на високому професійному рівні. Над угодою працював міжнародний інвестиційний банк </w:t>
      </w:r>
      <w:proofErr w:type="spellStart"/>
      <w:r w:rsidRPr="00242020">
        <w:rPr>
          <w:rFonts w:eastAsia="Times New Roman" w:cs="Times New Roman"/>
          <w:szCs w:val="28"/>
          <w:lang w:eastAsia="ru-RU"/>
        </w:rPr>
        <w:t>UBS</w:t>
      </w:r>
      <w:proofErr w:type="spellEnd"/>
      <w:r w:rsidRPr="00242020">
        <w:rPr>
          <w:rFonts w:eastAsia="Times New Roman" w:cs="Times New Roman"/>
          <w:szCs w:val="28"/>
          <w:lang w:eastAsia="ru-RU"/>
        </w:rPr>
        <w:t xml:space="preserve"> разом з юридичною компанією </w:t>
      </w:r>
      <w:proofErr w:type="spellStart"/>
      <w:r w:rsidRPr="00242020">
        <w:rPr>
          <w:rFonts w:eastAsia="Times New Roman" w:cs="Times New Roman"/>
          <w:szCs w:val="28"/>
          <w:lang w:eastAsia="ru-RU"/>
        </w:rPr>
        <w:t>Baker</w:t>
      </w:r>
      <w:proofErr w:type="spellEnd"/>
      <w:r w:rsidRPr="00242020">
        <w:rPr>
          <w:rFonts w:eastAsia="Times New Roman" w:cs="Times New Roman"/>
          <w:szCs w:val="28"/>
          <w:lang w:eastAsia="ru-RU"/>
        </w:rPr>
        <w:t>&amp;</w:t>
      </w:r>
      <w:proofErr w:type="spellStart"/>
      <w:r w:rsidRPr="00242020">
        <w:rPr>
          <w:rFonts w:eastAsia="Times New Roman" w:cs="Times New Roman"/>
          <w:szCs w:val="28"/>
          <w:lang w:eastAsia="ru-RU"/>
        </w:rPr>
        <w:t>McKenzie</w:t>
      </w:r>
      <w:proofErr w:type="spellEnd"/>
      <w:r w:rsidRPr="00242020">
        <w:rPr>
          <w:rFonts w:eastAsia="Times New Roman" w:cs="Times New Roman"/>
          <w:szCs w:val="28"/>
          <w:lang w:eastAsia="ru-RU"/>
        </w:rPr>
        <w:t xml:space="preserve"> та аудиторською компанією </w:t>
      </w:r>
      <w:proofErr w:type="spellStart"/>
      <w:r w:rsidRPr="00242020">
        <w:rPr>
          <w:rFonts w:eastAsia="Times New Roman" w:cs="Times New Roman"/>
          <w:szCs w:val="28"/>
          <w:lang w:eastAsia="ru-RU"/>
        </w:rPr>
        <w:t>Ernst</w:t>
      </w:r>
      <w:proofErr w:type="spellEnd"/>
      <w:r w:rsidRPr="00242020">
        <w:rPr>
          <w:rFonts w:eastAsia="Times New Roman" w:cs="Times New Roman"/>
          <w:szCs w:val="28"/>
          <w:lang w:eastAsia="ru-RU"/>
        </w:rPr>
        <w:t>&amp;</w:t>
      </w:r>
      <w:proofErr w:type="spellStart"/>
      <w:r w:rsidRPr="00242020">
        <w:rPr>
          <w:rFonts w:eastAsia="Times New Roman" w:cs="Times New Roman"/>
          <w:szCs w:val="28"/>
          <w:lang w:eastAsia="ru-RU"/>
        </w:rPr>
        <w:t>Young</w:t>
      </w:r>
      <w:proofErr w:type="spellEnd"/>
      <w:r w:rsidRPr="00242020">
        <w:rPr>
          <w:rFonts w:eastAsia="Times New Roman" w:cs="Times New Roman"/>
          <w:szCs w:val="28"/>
          <w:lang w:eastAsia="ru-RU"/>
        </w:rPr>
        <w:t>, було підготовлено «Кімнату даних», які включали 10 фінансових і податкових звітів, майже 3 тис. документів обсягом майже 20 тис. сторінок, проведено переговори з 27 компаніями, 12 з яких підписали договори про конфіденційність, 4 компанії подали попередні листи про наміри придбати ПАТ «</w:t>
      </w:r>
      <w:proofErr w:type="spellStart"/>
      <w:r w:rsidRPr="00242020">
        <w:rPr>
          <w:rFonts w:eastAsia="Times New Roman" w:cs="Times New Roman"/>
          <w:szCs w:val="28"/>
          <w:lang w:eastAsia="ru-RU"/>
        </w:rPr>
        <w:t>ОПЗ</w:t>
      </w:r>
      <w:proofErr w:type="spellEnd"/>
      <w:r w:rsidRPr="00242020">
        <w:rPr>
          <w:rFonts w:eastAsia="Times New Roman" w:cs="Times New Roman"/>
          <w:szCs w:val="28"/>
          <w:lang w:eastAsia="ru-RU"/>
        </w:rPr>
        <w:t xml:space="preserve">». До угоди також запрошено </w:t>
      </w:r>
      <w:proofErr w:type="spellStart"/>
      <w:r w:rsidRPr="00242020">
        <w:rPr>
          <w:rFonts w:eastAsia="Times New Roman" w:cs="Times New Roman"/>
          <w:szCs w:val="28"/>
          <w:lang w:eastAsia="ru-RU"/>
        </w:rPr>
        <w:t>EBRD</w:t>
      </w:r>
      <w:proofErr w:type="spellEnd"/>
      <w:r w:rsidRPr="00242020">
        <w:rPr>
          <w:rFonts w:eastAsia="Times New Roman" w:cs="Times New Roman"/>
          <w:szCs w:val="28"/>
          <w:lang w:eastAsia="ru-RU"/>
        </w:rPr>
        <w:t xml:space="preserve">, </w:t>
      </w:r>
      <w:proofErr w:type="spellStart"/>
      <w:r w:rsidRPr="00242020">
        <w:rPr>
          <w:rFonts w:eastAsia="Times New Roman" w:cs="Times New Roman"/>
          <w:szCs w:val="28"/>
          <w:lang w:eastAsia="ru-RU"/>
        </w:rPr>
        <w:t>ІFC</w:t>
      </w:r>
      <w:proofErr w:type="spellEnd"/>
      <w:r w:rsidRPr="00242020">
        <w:rPr>
          <w:rFonts w:eastAsia="Times New Roman" w:cs="Times New Roman"/>
          <w:szCs w:val="28"/>
          <w:lang w:eastAsia="ru-RU"/>
        </w:rPr>
        <w:t xml:space="preserve">, які були готові кредитувати іноземного покупця заводу. </w:t>
      </w:r>
    </w:p>
    <w:p w:rsidR="0088199A" w:rsidRPr="00242020" w:rsidRDefault="0088199A" w:rsidP="003B1438">
      <w:pPr>
        <w:pStyle w:val="2"/>
      </w:pPr>
      <w:r w:rsidRPr="00242020">
        <w:lastRenderedPageBreak/>
        <w:t>2.2.5. Співпраця Фонду з міжнародними організаціями</w:t>
      </w:r>
      <w:r w:rsidRPr="00242020">
        <w:br/>
        <w:t>та Європейським Союзом</w:t>
      </w:r>
    </w:p>
    <w:p w:rsidR="003B1438" w:rsidRPr="00242020" w:rsidRDefault="003B1438" w:rsidP="00B84BD0">
      <w:pPr>
        <w:jc w:val="both"/>
        <w:rPr>
          <w:rFonts w:eastAsia="Times New Roman" w:cs="Times New Roman"/>
          <w:sz w:val="12"/>
          <w:szCs w:val="12"/>
          <w:lang w:eastAsia="ru-RU"/>
        </w:rPr>
      </w:pPr>
    </w:p>
    <w:p w:rsidR="00B84BD0" w:rsidRPr="00242020" w:rsidRDefault="00B84BD0" w:rsidP="00102753">
      <w:pPr>
        <w:jc w:val="both"/>
        <w:rPr>
          <w:rFonts w:eastAsia="Times New Roman" w:cs="Times New Roman"/>
          <w:szCs w:val="20"/>
          <w:lang w:eastAsia="ru-RU"/>
        </w:rPr>
      </w:pPr>
      <w:r w:rsidRPr="00242020">
        <w:rPr>
          <w:rFonts w:eastAsia="Times New Roman" w:cs="Times New Roman"/>
          <w:szCs w:val="20"/>
          <w:lang w:eastAsia="ru-RU"/>
        </w:rPr>
        <w:t>Протягом звітного періоду Фондом здійснювалася співпраця з міжнародними організаціями, фінансовими установами, Європейським Союзом (ЄС), представниками державних органів інших країн та потенційними інвесторами.</w:t>
      </w:r>
    </w:p>
    <w:p w:rsidR="00B84BD0" w:rsidRPr="00242020" w:rsidRDefault="00B84BD0" w:rsidP="00102753">
      <w:pPr>
        <w:jc w:val="both"/>
        <w:rPr>
          <w:rFonts w:eastAsia="Times New Roman" w:cs="Times New Roman"/>
          <w:szCs w:val="20"/>
          <w:lang w:eastAsia="ru-RU"/>
        </w:rPr>
      </w:pPr>
      <w:r w:rsidRPr="00242020">
        <w:rPr>
          <w:rFonts w:eastAsia="Times New Roman" w:cs="Times New Roman"/>
          <w:szCs w:val="20"/>
          <w:lang w:eastAsia="ru-RU"/>
        </w:rPr>
        <w:t xml:space="preserve">Основою відносин між Україною та ЄС є Угода про асоціацію між Україною та ЄС, яка передбачає підтримку демократичних та економічних перетворень в Україні, а також зміцнення співпраці між ЄС та Україною. З метою реалізації положень цієї Угоди українською та європейською сторонами розроблено Порядок денний асоціації Україна – ЄС, в рамках якого Фонд залучений до виконання заходів щодо розвитку відкритих, конкурентних та прозорих правил і процедур приватизації та їх імплементації відповідно до найкращих практик ЄС, а також зміцнення корпоративного управління, зокрема на державних підприємствах, включаючи реструктуризацію державних підприємств, зміцнення управління державною власністю та перегляд системи державних субсидій. Фонд щокварталу звітує Кабінету Міністрів України про виконання зазначених положень. </w:t>
      </w:r>
    </w:p>
    <w:p w:rsidR="00B84BD0" w:rsidRPr="00242020" w:rsidRDefault="00B84BD0" w:rsidP="00102753">
      <w:pPr>
        <w:jc w:val="both"/>
        <w:rPr>
          <w:rFonts w:eastAsia="Times New Roman" w:cs="Times New Roman"/>
          <w:szCs w:val="20"/>
          <w:lang w:eastAsia="ru-RU"/>
        </w:rPr>
      </w:pPr>
      <w:r w:rsidRPr="00242020">
        <w:rPr>
          <w:rFonts w:eastAsia="Times New Roman" w:cs="Times New Roman"/>
          <w:szCs w:val="20"/>
          <w:lang w:eastAsia="ru-RU"/>
        </w:rPr>
        <w:t>На виконання Плану заходів з реалізації домовленостей, досягнутих під час першого засідання Комітету асоціації Україна – ЄС, Фонд щомісячно інформує Кабінет Міністрів України про проведення приватизації відповідно до міжнародних стандартів.</w:t>
      </w:r>
    </w:p>
    <w:p w:rsidR="00B84BD0" w:rsidRPr="00242020" w:rsidRDefault="00B84BD0" w:rsidP="00102753">
      <w:pPr>
        <w:jc w:val="both"/>
        <w:rPr>
          <w:rFonts w:eastAsia="Times New Roman" w:cs="Times New Roman"/>
          <w:szCs w:val="20"/>
          <w:lang w:eastAsia="ru-RU"/>
        </w:rPr>
      </w:pPr>
      <w:r w:rsidRPr="00242020">
        <w:rPr>
          <w:rFonts w:eastAsia="Times New Roman" w:cs="Times New Roman"/>
          <w:szCs w:val="20"/>
          <w:lang w:eastAsia="ru-RU"/>
        </w:rPr>
        <w:t xml:space="preserve">З метою участі Фонду у новому проекті технічної допомоги Європейського Союзу «Підтримка імплементації Угоди про асоціацію» Фонд підготував інформацію для проведення аналізу його інституційної спроможності. </w:t>
      </w:r>
    </w:p>
    <w:p w:rsidR="00B84BD0" w:rsidRPr="00242020" w:rsidRDefault="00B84BD0" w:rsidP="00102753">
      <w:pPr>
        <w:jc w:val="both"/>
        <w:rPr>
          <w:rFonts w:eastAsia="Times New Roman" w:cs="Times New Roman"/>
          <w:szCs w:val="28"/>
          <w:lang w:eastAsia="ru-RU"/>
        </w:rPr>
      </w:pPr>
      <w:r w:rsidRPr="00242020">
        <w:rPr>
          <w:rFonts w:eastAsia="Times New Roman" w:cs="Times New Roman"/>
          <w:szCs w:val="20"/>
          <w:lang w:eastAsia="ru-RU"/>
        </w:rPr>
        <w:t xml:space="preserve">Для отримання Україною додаткової макрофінансової допомоги в сумі 1,8 </w:t>
      </w:r>
      <w:proofErr w:type="spellStart"/>
      <w:r w:rsidRPr="00242020">
        <w:rPr>
          <w:rFonts w:eastAsia="Times New Roman" w:cs="Times New Roman"/>
          <w:szCs w:val="20"/>
          <w:lang w:eastAsia="ru-RU"/>
        </w:rPr>
        <w:t>млрд</w:t>
      </w:r>
      <w:proofErr w:type="spellEnd"/>
      <w:r w:rsidRPr="00242020">
        <w:rPr>
          <w:rFonts w:eastAsia="Times New Roman" w:cs="Times New Roman"/>
          <w:szCs w:val="20"/>
          <w:lang w:eastAsia="ru-RU"/>
        </w:rPr>
        <w:t xml:space="preserve"> євро Фондом протягом звітного періоду надавалася інформація</w:t>
      </w:r>
      <w:r w:rsidRPr="00242020">
        <w:rPr>
          <w:rFonts w:eastAsia="Times New Roman" w:cs="Times New Roman"/>
          <w:szCs w:val="28"/>
          <w:lang w:eastAsia="ru-RU"/>
        </w:rPr>
        <w:t xml:space="preserve"> Міністерству фінансів України щодо реалізації плану-графіка виконання умов Меморандуму про взаєморозуміння між Україною як позичальником та ЄС як кредитором.</w:t>
      </w:r>
    </w:p>
    <w:p w:rsidR="00B84BD0" w:rsidRPr="00242020" w:rsidRDefault="00B84BD0" w:rsidP="00102753">
      <w:pPr>
        <w:jc w:val="both"/>
        <w:rPr>
          <w:rFonts w:eastAsia="Times New Roman" w:cs="Times New Roman"/>
          <w:szCs w:val="20"/>
          <w:lang w:eastAsia="ru-RU"/>
        </w:rPr>
      </w:pPr>
      <w:r w:rsidRPr="00242020">
        <w:rPr>
          <w:rFonts w:eastAsia="Times New Roman" w:cs="Times New Roman"/>
          <w:szCs w:val="20"/>
          <w:lang w:eastAsia="ru-RU"/>
        </w:rPr>
        <w:t xml:space="preserve">У рамках співробітництва з міжнародними організаціями Фонд залучений до виконання Плану заходів з реалізації Меморандуму про взаєморозуміння між Урядом України та Організацією економічного співробітництва та розвитку щодо поглиблення співробітництва в частині управління державними підприємствами. Про виконання зазначеного Плану заходів Фонд щоквартально звітує </w:t>
      </w:r>
      <w:proofErr w:type="spellStart"/>
      <w:r w:rsidRPr="00242020">
        <w:rPr>
          <w:rFonts w:eastAsia="Times New Roman" w:cs="Times New Roman"/>
          <w:szCs w:val="20"/>
          <w:lang w:eastAsia="ru-RU"/>
        </w:rPr>
        <w:t>Мінекономрозвитку</w:t>
      </w:r>
      <w:proofErr w:type="spellEnd"/>
      <w:r w:rsidRPr="00242020">
        <w:rPr>
          <w:rFonts w:eastAsia="Times New Roman" w:cs="Times New Roman"/>
          <w:szCs w:val="20"/>
          <w:lang w:eastAsia="ru-RU"/>
        </w:rPr>
        <w:t>.</w:t>
      </w:r>
    </w:p>
    <w:p w:rsidR="00B84BD0" w:rsidRPr="00242020" w:rsidRDefault="00B84BD0" w:rsidP="00102753">
      <w:pPr>
        <w:jc w:val="both"/>
        <w:rPr>
          <w:rFonts w:eastAsia="Times New Roman" w:cs="Times New Roman"/>
          <w:szCs w:val="20"/>
          <w:lang w:eastAsia="ru-RU"/>
        </w:rPr>
      </w:pPr>
      <w:r w:rsidRPr="00242020">
        <w:rPr>
          <w:rFonts w:eastAsia="Times New Roman" w:cs="Times New Roman"/>
          <w:szCs w:val="20"/>
          <w:lang w:eastAsia="ru-RU"/>
        </w:rPr>
        <w:t xml:space="preserve">З метою залучення міжнародної технічної допомоги Фонд направив на адресу Національного агентства України з питань державної служби (далі – </w:t>
      </w:r>
      <w:proofErr w:type="spellStart"/>
      <w:r w:rsidRPr="00242020">
        <w:rPr>
          <w:rFonts w:eastAsia="Times New Roman" w:cs="Times New Roman"/>
          <w:szCs w:val="20"/>
          <w:lang w:eastAsia="ru-RU"/>
        </w:rPr>
        <w:t>Нацдержслужба</w:t>
      </w:r>
      <w:proofErr w:type="spellEnd"/>
      <w:r w:rsidRPr="00242020">
        <w:rPr>
          <w:rFonts w:eastAsia="Times New Roman" w:cs="Times New Roman"/>
          <w:szCs w:val="20"/>
          <w:lang w:eastAsia="ru-RU"/>
        </w:rPr>
        <w:t xml:space="preserve">) 10 заявок на отримання зовнішньої допомоги Європейського Союзу в рамках програми </w:t>
      </w:r>
      <w:proofErr w:type="spellStart"/>
      <w:r w:rsidRPr="00242020">
        <w:rPr>
          <w:rFonts w:eastAsia="Times New Roman" w:cs="Times New Roman"/>
          <w:szCs w:val="20"/>
          <w:lang w:eastAsia="ru-RU"/>
        </w:rPr>
        <w:t>TAIEX</w:t>
      </w:r>
      <w:proofErr w:type="spellEnd"/>
      <w:r w:rsidRPr="00242020">
        <w:rPr>
          <w:rFonts w:eastAsia="Times New Roman" w:cs="Times New Roman"/>
          <w:szCs w:val="20"/>
          <w:lang w:eastAsia="ru-RU"/>
        </w:rPr>
        <w:t xml:space="preserve">. Реалізація цих проектів сприятиме наближенню законодавства України до нормативних актів ЄС у частині реформування процесів формування видатків бюджету України, а також вивченню європейського досвіду щодо ефективного використання </w:t>
      </w:r>
      <w:proofErr w:type="spellStart"/>
      <w:r w:rsidRPr="00242020">
        <w:rPr>
          <w:rFonts w:eastAsia="Times New Roman" w:cs="Times New Roman"/>
          <w:szCs w:val="20"/>
          <w:lang w:eastAsia="ru-RU"/>
        </w:rPr>
        <w:t>контролінгу</w:t>
      </w:r>
      <w:proofErr w:type="spellEnd"/>
      <w:r w:rsidRPr="00242020">
        <w:rPr>
          <w:rFonts w:eastAsia="Times New Roman" w:cs="Times New Roman"/>
          <w:szCs w:val="20"/>
          <w:lang w:eastAsia="ru-RU"/>
        </w:rPr>
        <w:t xml:space="preserve"> </w:t>
      </w:r>
      <w:r w:rsidRPr="00242020">
        <w:rPr>
          <w:rFonts w:eastAsia="Times New Roman" w:cs="Times New Roman"/>
          <w:szCs w:val="20"/>
          <w:lang w:eastAsia="ru-RU"/>
        </w:rPr>
        <w:lastRenderedPageBreak/>
        <w:t xml:space="preserve">в процесі вдосконалення ресурсного забезпечення діяльності центральних органів виконавчої влади. На сьогодні заявки знаходяться на розгляді </w:t>
      </w:r>
      <w:proofErr w:type="spellStart"/>
      <w:r w:rsidRPr="00242020">
        <w:rPr>
          <w:rFonts w:eastAsia="Times New Roman" w:cs="Times New Roman"/>
          <w:szCs w:val="20"/>
          <w:lang w:eastAsia="ru-RU"/>
        </w:rPr>
        <w:t>Нацдержслужби</w:t>
      </w:r>
      <w:proofErr w:type="spellEnd"/>
      <w:r w:rsidRPr="00242020">
        <w:rPr>
          <w:rFonts w:eastAsia="Times New Roman" w:cs="Times New Roman"/>
          <w:szCs w:val="20"/>
          <w:lang w:eastAsia="ru-RU"/>
        </w:rPr>
        <w:t>.</w:t>
      </w:r>
    </w:p>
    <w:p w:rsidR="00B84BD0" w:rsidRPr="00242020" w:rsidRDefault="00B84BD0" w:rsidP="00102753">
      <w:pPr>
        <w:jc w:val="both"/>
        <w:rPr>
          <w:rFonts w:eastAsia="Times New Roman" w:cs="Times New Roman"/>
          <w:szCs w:val="20"/>
          <w:lang w:eastAsia="ru-RU"/>
        </w:rPr>
      </w:pPr>
      <w:r w:rsidRPr="00242020">
        <w:rPr>
          <w:rFonts w:eastAsia="Times New Roman" w:cs="Times New Roman"/>
          <w:szCs w:val="20"/>
          <w:lang w:eastAsia="ru-RU"/>
        </w:rPr>
        <w:t xml:space="preserve">У рамках залучення зовнішньої допомоги </w:t>
      </w:r>
      <w:proofErr w:type="spellStart"/>
      <w:r w:rsidRPr="00242020">
        <w:rPr>
          <w:rFonts w:eastAsia="Times New Roman" w:cs="Times New Roman"/>
          <w:szCs w:val="20"/>
          <w:lang w:eastAsia="ru-RU"/>
        </w:rPr>
        <w:t>TAIEX</w:t>
      </w:r>
      <w:proofErr w:type="spellEnd"/>
      <w:r w:rsidRPr="00242020">
        <w:rPr>
          <w:rFonts w:eastAsia="Times New Roman" w:cs="Times New Roman"/>
          <w:szCs w:val="20"/>
          <w:lang w:eastAsia="ru-RU"/>
        </w:rPr>
        <w:t xml:space="preserve"> у Фонді з 11 по</w:t>
      </w:r>
      <w:r w:rsidRPr="00242020">
        <w:rPr>
          <w:rFonts w:eastAsia="Times New Roman" w:cs="Times New Roman"/>
          <w:szCs w:val="20"/>
          <w:lang w:eastAsia="ru-RU"/>
        </w:rPr>
        <w:br/>
        <w:t xml:space="preserve">12 лютого 2016 року проведено експертну місію Європейської комісії щодо реалізації заявки, яка була подана у 2015 році, на тему «Ознайомлення з європейськими моделями корпоративного управління. Запровадження оптимальних моделей на українських державних підприємствах». </w:t>
      </w:r>
    </w:p>
    <w:p w:rsidR="00B84BD0" w:rsidRPr="00242020" w:rsidRDefault="00B84BD0" w:rsidP="00102753">
      <w:pPr>
        <w:jc w:val="both"/>
        <w:rPr>
          <w:rFonts w:eastAsia="Times New Roman" w:cs="Times New Roman"/>
          <w:szCs w:val="20"/>
          <w:lang w:eastAsia="ru-RU"/>
        </w:rPr>
      </w:pPr>
      <w:r w:rsidRPr="00242020">
        <w:rPr>
          <w:rFonts w:eastAsia="Times New Roman" w:cs="Times New Roman"/>
          <w:szCs w:val="20"/>
          <w:lang w:eastAsia="ru-RU"/>
        </w:rPr>
        <w:t xml:space="preserve">Також у рамках програми </w:t>
      </w:r>
      <w:proofErr w:type="spellStart"/>
      <w:r w:rsidRPr="00242020">
        <w:rPr>
          <w:rFonts w:eastAsia="Times New Roman" w:cs="Times New Roman"/>
          <w:szCs w:val="20"/>
          <w:lang w:eastAsia="ru-RU"/>
        </w:rPr>
        <w:t>TAIEX</w:t>
      </w:r>
      <w:proofErr w:type="spellEnd"/>
      <w:r w:rsidRPr="00242020">
        <w:rPr>
          <w:rFonts w:eastAsia="Times New Roman" w:cs="Times New Roman"/>
          <w:szCs w:val="20"/>
          <w:lang w:eastAsia="ru-RU"/>
        </w:rPr>
        <w:t xml:space="preserve"> з 9 по 10 червня 2016 року відбувся семінар на тему «Вивчення європейського досвіду щодо контролю з боку держави над забезпеченням підвищення ефективності діяльності підприємств, що приватизуються». Отримана на семінарі інформація дасть змогу підвищити ефективність контролю за приватизованими об’єктами з боку держави із застосовуванням досвіду європейських країн.</w:t>
      </w:r>
    </w:p>
    <w:p w:rsidR="00B84BD0" w:rsidRPr="00242020" w:rsidRDefault="00B84BD0" w:rsidP="00102753">
      <w:pPr>
        <w:jc w:val="both"/>
        <w:rPr>
          <w:rFonts w:eastAsia="Times New Roman" w:cs="Times New Roman"/>
          <w:szCs w:val="20"/>
          <w:lang w:eastAsia="ru-RU"/>
        </w:rPr>
      </w:pPr>
      <w:r w:rsidRPr="00242020">
        <w:rPr>
          <w:rFonts w:eastAsia="Times New Roman" w:cs="Times New Roman"/>
          <w:szCs w:val="20"/>
          <w:lang w:eastAsia="ru-RU"/>
        </w:rPr>
        <w:t xml:space="preserve">Крім того, у березні 2016 року представники Фонду взяли участь у заходах, які були організовані Європейською комісією в рамках Програми </w:t>
      </w:r>
      <w:proofErr w:type="spellStart"/>
      <w:r w:rsidRPr="00242020">
        <w:rPr>
          <w:rFonts w:eastAsia="Times New Roman" w:cs="Times New Roman"/>
          <w:szCs w:val="20"/>
          <w:lang w:eastAsia="ru-RU"/>
        </w:rPr>
        <w:t>INOGATE</w:t>
      </w:r>
      <w:proofErr w:type="spellEnd"/>
      <w:r w:rsidRPr="00242020">
        <w:rPr>
          <w:rFonts w:eastAsia="Times New Roman" w:cs="Times New Roman"/>
          <w:szCs w:val="20"/>
          <w:lang w:eastAsia="ru-RU"/>
        </w:rPr>
        <w:t xml:space="preserve">. </w:t>
      </w:r>
    </w:p>
    <w:p w:rsidR="00B84BD0" w:rsidRPr="00242020" w:rsidRDefault="00B84BD0" w:rsidP="00102753">
      <w:pPr>
        <w:jc w:val="both"/>
        <w:rPr>
          <w:rFonts w:eastAsia="Times New Roman" w:cs="Times New Roman"/>
          <w:szCs w:val="28"/>
          <w:lang w:eastAsia="ru-RU"/>
        </w:rPr>
      </w:pPr>
      <w:r w:rsidRPr="00242020">
        <w:rPr>
          <w:rFonts w:eastAsia="Times New Roman" w:cs="Times New Roman"/>
          <w:szCs w:val="20"/>
          <w:lang w:eastAsia="ru-RU"/>
        </w:rPr>
        <w:t xml:space="preserve">Також Фонд за підтримки </w:t>
      </w:r>
      <w:proofErr w:type="spellStart"/>
      <w:r w:rsidRPr="00242020">
        <w:rPr>
          <w:rFonts w:eastAsia="Times New Roman" w:cs="Times New Roman"/>
          <w:szCs w:val="20"/>
          <w:lang w:eastAsia="ru-RU"/>
        </w:rPr>
        <w:t>USAID</w:t>
      </w:r>
      <w:proofErr w:type="spellEnd"/>
      <w:r w:rsidRPr="00242020">
        <w:rPr>
          <w:rFonts w:eastAsia="Times New Roman" w:cs="Times New Roman"/>
          <w:szCs w:val="20"/>
          <w:lang w:eastAsia="ru-RU"/>
        </w:rPr>
        <w:t xml:space="preserve"> (</w:t>
      </w:r>
      <w:proofErr w:type="spellStart"/>
      <w:r w:rsidRPr="00242020">
        <w:rPr>
          <w:rFonts w:eastAsia="Times New Roman" w:cs="Times New Roman"/>
          <w:szCs w:val="20"/>
          <w:lang w:eastAsia="ru-RU"/>
        </w:rPr>
        <w:t>the</w:t>
      </w:r>
      <w:proofErr w:type="spellEnd"/>
      <w:r w:rsidRPr="00242020">
        <w:rPr>
          <w:rFonts w:eastAsia="Times New Roman" w:cs="Times New Roman"/>
          <w:szCs w:val="20"/>
          <w:lang w:eastAsia="ru-RU"/>
        </w:rPr>
        <w:t xml:space="preserve"> </w:t>
      </w:r>
      <w:proofErr w:type="spellStart"/>
      <w:r w:rsidRPr="00242020">
        <w:rPr>
          <w:rFonts w:eastAsia="Times New Roman" w:cs="Times New Roman"/>
          <w:szCs w:val="20"/>
          <w:lang w:eastAsia="ru-RU"/>
        </w:rPr>
        <w:t>US</w:t>
      </w:r>
      <w:proofErr w:type="spellEnd"/>
      <w:r w:rsidRPr="00242020">
        <w:rPr>
          <w:rFonts w:eastAsia="Times New Roman" w:cs="Times New Roman"/>
          <w:szCs w:val="20"/>
          <w:lang w:eastAsia="ru-RU"/>
        </w:rPr>
        <w:t xml:space="preserve"> </w:t>
      </w:r>
      <w:proofErr w:type="spellStart"/>
      <w:r w:rsidRPr="00242020">
        <w:rPr>
          <w:rFonts w:eastAsia="Times New Roman" w:cs="Times New Roman"/>
          <w:szCs w:val="20"/>
          <w:lang w:eastAsia="ru-RU"/>
        </w:rPr>
        <w:t>Agency</w:t>
      </w:r>
      <w:proofErr w:type="spellEnd"/>
      <w:r w:rsidRPr="00242020">
        <w:rPr>
          <w:rFonts w:eastAsia="Times New Roman" w:cs="Times New Roman"/>
          <w:szCs w:val="20"/>
          <w:lang w:eastAsia="ru-RU"/>
        </w:rPr>
        <w:t xml:space="preserve"> </w:t>
      </w:r>
      <w:proofErr w:type="spellStart"/>
      <w:r w:rsidRPr="00242020">
        <w:rPr>
          <w:rFonts w:eastAsia="Times New Roman" w:cs="Times New Roman"/>
          <w:szCs w:val="20"/>
          <w:lang w:eastAsia="ru-RU"/>
        </w:rPr>
        <w:t>for</w:t>
      </w:r>
      <w:proofErr w:type="spellEnd"/>
      <w:r w:rsidRPr="00242020">
        <w:rPr>
          <w:rFonts w:eastAsia="Times New Roman" w:cs="Times New Roman"/>
          <w:szCs w:val="20"/>
          <w:lang w:eastAsia="ru-RU"/>
        </w:rPr>
        <w:t xml:space="preserve"> </w:t>
      </w:r>
      <w:proofErr w:type="spellStart"/>
      <w:r w:rsidRPr="00242020">
        <w:rPr>
          <w:rFonts w:eastAsia="Times New Roman" w:cs="Times New Roman"/>
          <w:szCs w:val="20"/>
          <w:lang w:eastAsia="ru-RU"/>
        </w:rPr>
        <w:t>International</w:t>
      </w:r>
      <w:proofErr w:type="spellEnd"/>
      <w:r w:rsidRPr="00242020">
        <w:rPr>
          <w:rFonts w:eastAsia="Times New Roman" w:cs="Times New Roman"/>
          <w:szCs w:val="20"/>
          <w:lang w:eastAsia="ru-RU"/>
        </w:rPr>
        <w:t xml:space="preserve"> </w:t>
      </w:r>
      <w:proofErr w:type="spellStart"/>
      <w:r w:rsidRPr="00242020">
        <w:rPr>
          <w:rFonts w:eastAsia="Times New Roman" w:cs="Times New Roman"/>
          <w:szCs w:val="20"/>
          <w:lang w:eastAsia="ru-RU"/>
        </w:rPr>
        <w:t>Development</w:t>
      </w:r>
      <w:proofErr w:type="spellEnd"/>
      <w:r w:rsidRPr="00242020">
        <w:rPr>
          <w:rFonts w:eastAsia="Times New Roman" w:cs="Times New Roman"/>
          <w:szCs w:val="20"/>
          <w:lang w:eastAsia="ru-RU"/>
        </w:rPr>
        <w:t xml:space="preserve">) та за участю компанії </w:t>
      </w:r>
      <w:proofErr w:type="spellStart"/>
      <w:r w:rsidRPr="00242020">
        <w:rPr>
          <w:rFonts w:eastAsia="Times New Roman" w:cs="Times New Roman"/>
          <w:szCs w:val="20"/>
          <w:lang w:eastAsia="ru-RU"/>
        </w:rPr>
        <w:t>Deloitte</w:t>
      </w:r>
      <w:proofErr w:type="spellEnd"/>
      <w:r w:rsidRPr="00242020">
        <w:rPr>
          <w:rFonts w:eastAsia="Times New Roman" w:cs="Times New Roman"/>
          <w:szCs w:val="20"/>
          <w:lang w:eastAsia="ru-RU"/>
        </w:rPr>
        <w:t xml:space="preserve"> </w:t>
      </w:r>
      <w:proofErr w:type="spellStart"/>
      <w:r w:rsidRPr="00242020">
        <w:rPr>
          <w:rFonts w:eastAsia="Times New Roman" w:cs="Times New Roman"/>
          <w:szCs w:val="20"/>
          <w:lang w:eastAsia="ru-RU"/>
        </w:rPr>
        <w:t>Consulting</w:t>
      </w:r>
      <w:proofErr w:type="spellEnd"/>
      <w:r w:rsidRPr="00242020">
        <w:rPr>
          <w:rFonts w:eastAsia="Times New Roman" w:cs="Times New Roman"/>
          <w:szCs w:val="20"/>
          <w:lang w:eastAsia="ru-RU"/>
        </w:rPr>
        <w:t xml:space="preserve"> </w:t>
      </w:r>
      <w:proofErr w:type="spellStart"/>
      <w:r w:rsidRPr="00242020">
        <w:rPr>
          <w:rFonts w:eastAsia="Times New Roman" w:cs="Times New Roman"/>
          <w:szCs w:val="20"/>
          <w:lang w:eastAsia="ru-RU"/>
        </w:rPr>
        <w:t>Overseas</w:t>
      </w:r>
      <w:proofErr w:type="spellEnd"/>
      <w:r w:rsidRPr="00242020">
        <w:rPr>
          <w:rFonts w:eastAsia="Times New Roman" w:cs="Times New Roman"/>
          <w:szCs w:val="20"/>
          <w:lang w:eastAsia="ru-RU"/>
        </w:rPr>
        <w:t xml:space="preserve"> </w:t>
      </w:r>
      <w:proofErr w:type="spellStart"/>
      <w:r w:rsidRPr="00242020">
        <w:rPr>
          <w:rFonts w:eastAsia="Times New Roman" w:cs="Times New Roman"/>
          <w:szCs w:val="20"/>
          <w:lang w:eastAsia="ru-RU"/>
        </w:rPr>
        <w:t>Projects</w:t>
      </w:r>
      <w:proofErr w:type="spellEnd"/>
      <w:r w:rsidRPr="00242020">
        <w:rPr>
          <w:rFonts w:eastAsia="Times New Roman" w:cs="Times New Roman"/>
          <w:szCs w:val="20"/>
          <w:lang w:eastAsia="ru-RU"/>
        </w:rPr>
        <w:t xml:space="preserve"> (радника у процесі приватизації в енергетичному секторі) 30 червня 2016 року в Києві провів міжнародну конференцію для розширення інвестиційних можливостей в енергетичному секторі України. Більше 100 учасників репрезентували близько 80 компаній</w:t>
      </w:r>
      <w:r w:rsidRPr="00242020">
        <w:rPr>
          <w:rFonts w:eastAsia="Times New Roman" w:cs="Times New Roman"/>
          <w:szCs w:val="28"/>
          <w:lang w:eastAsia="ru-RU"/>
        </w:rPr>
        <w:t xml:space="preserve"> та інвестиційних агенцій з більш як 15 країн світу, зокрема</w:t>
      </w:r>
      <w:r w:rsidR="001763DC" w:rsidRPr="00242020">
        <w:rPr>
          <w:rFonts w:eastAsia="Times New Roman" w:cs="Times New Roman"/>
          <w:szCs w:val="28"/>
          <w:lang w:eastAsia="ru-RU"/>
        </w:rPr>
        <w:t xml:space="preserve"> </w:t>
      </w:r>
      <w:r w:rsidRPr="00242020">
        <w:rPr>
          <w:rFonts w:eastAsia="Times New Roman" w:cs="Times New Roman"/>
          <w:szCs w:val="28"/>
          <w:lang w:eastAsia="ru-RU"/>
        </w:rPr>
        <w:t>Індії, Туреччини, Польщі, Угорщини, Японії, Кореї, США, України.</w:t>
      </w:r>
    </w:p>
    <w:p w:rsidR="00B84BD0" w:rsidRPr="00242020" w:rsidRDefault="00B84BD0" w:rsidP="00102753">
      <w:pPr>
        <w:jc w:val="both"/>
        <w:rPr>
          <w:rFonts w:eastAsia="Times New Roman" w:cs="Times New Roman"/>
          <w:szCs w:val="20"/>
          <w:lang w:eastAsia="ru-RU"/>
        </w:rPr>
      </w:pPr>
      <w:r w:rsidRPr="00242020">
        <w:rPr>
          <w:rFonts w:eastAsia="Times New Roman" w:cs="Times New Roman"/>
          <w:szCs w:val="20"/>
          <w:lang w:eastAsia="ru-RU"/>
        </w:rPr>
        <w:t xml:space="preserve">Міжнародний досвід, отриманий під час зазначених заходів, використовуватиметься під час підготовки нормативно-правових актів та сприятиме підвищенню </w:t>
      </w:r>
      <w:proofErr w:type="spellStart"/>
      <w:r w:rsidRPr="00242020">
        <w:rPr>
          <w:rFonts w:eastAsia="Times New Roman" w:cs="Times New Roman"/>
          <w:szCs w:val="20"/>
          <w:lang w:eastAsia="ru-RU"/>
        </w:rPr>
        <w:t>енергоефективності</w:t>
      </w:r>
      <w:proofErr w:type="spellEnd"/>
      <w:r w:rsidRPr="00242020">
        <w:rPr>
          <w:rFonts w:eastAsia="Times New Roman" w:cs="Times New Roman"/>
          <w:szCs w:val="20"/>
          <w:lang w:eastAsia="ru-RU"/>
        </w:rPr>
        <w:t xml:space="preserve"> на державних промислових підприємствах. </w:t>
      </w:r>
    </w:p>
    <w:p w:rsidR="00B84BD0" w:rsidRPr="00242020" w:rsidRDefault="00B84BD0" w:rsidP="00102753">
      <w:pPr>
        <w:jc w:val="both"/>
        <w:rPr>
          <w:rFonts w:eastAsia="Times New Roman" w:cs="Times New Roman"/>
          <w:szCs w:val="20"/>
          <w:lang w:eastAsia="ru-RU"/>
        </w:rPr>
      </w:pPr>
      <w:r w:rsidRPr="00242020">
        <w:rPr>
          <w:rFonts w:eastAsia="Times New Roman" w:cs="Times New Roman"/>
          <w:szCs w:val="20"/>
          <w:lang w:eastAsia="ru-RU"/>
        </w:rPr>
        <w:t xml:space="preserve">Крім того, у звітному періоді проведено низку зустрічей з компанією </w:t>
      </w:r>
      <w:proofErr w:type="spellStart"/>
      <w:r w:rsidRPr="00242020">
        <w:rPr>
          <w:rFonts w:eastAsia="Times New Roman" w:cs="Times New Roman"/>
          <w:szCs w:val="20"/>
          <w:lang w:eastAsia="ru-RU"/>
        </w:rPr>
        <w:t>Deloitte</w:t>
      </w:r>
      <w:proofErr w:type="spellEnd"/>
      <w:r w:rsidRPr="00242020">
        <w:rPr>
          <w:rFonts w:eastAsia="Times New Roman" w:cs="Times New Roman"/>
          <w:szCs w:val="20"/>
          <w:lang w:eastAsia="ru-RU"/>
        </w:rPr>
        <w:t xml:space="preserve"> </w:t>
      </w:r>
      <w:proofErr w:type="spellStart"/>
      <w:r w:rsidRPr="00242020">
        <w:rPr>
          <w:rFonts w:eastAsia="Times New Roman" w:cs="Times New Roman"/>
          <w:szCs w:val="20"/>
          <w:lang w:eastAsia="ru-RU"/>
        </w:rPr>
        <w:t>Consulting</w:t>
      </w:r>
      <w:proofErr w:type="spellEnd"/>
      <w:r w:rsidRPr="00242020">
        <w:rPr>
          <w:rFonts w:eastAsia="Times New Roman" w:cs="Times New Roman"/>
          <w:szCs w:val="20"/>
          <w:lang w:eastAsia="ru-RU"/>
        </w:rPr>
        <w:t xml:space="preserve"> </w:t>
      </w:r>
      <w:proofErr w:type="spellStart"/>
      <w:r w:rsidRPr="00242020">
        <w:rPr>
          <w:rFonts w:eastAsia="Times New Roman" w:cs="Times New Roman"/>
          <w:szCs w:val="20"/>
          <w:lang w:eastAsia="ru-RU"/>
        </w:rPr>
        <w:t>Overseas</w:t>
      </w:r>
      <w:proofErr w:type="spellEnd"/>
      <w:r w:rsidRPr="00242020">
        <w:rPr>
          <w:rFonts w:eastAsia="Times New Roman" w:cs="Times New Roman"/>
          <w:szCs w:val="20"/>
          <w:lang w:eastAsia="ru-RU"/>
        </w:rPr>
        <w:t xml:space="preserve"> </w:t>
      </w:r>
      <w:proofErr w:type="spellStart"/>
      <w:r w:rsidRPr="00242020">
        <w:rPr>
          <w:rFonts w:eastAsia="Times New Roman" w:cs="Times New Roman"/>
          <w:szCs w:val="20"/>
          <w:lang w:eastAsia="ru-RU"/>
        </w:rPr>
        <w:t>Projects</w:t>
      </w:r>
      <w:proofErr w:type="spellEnd"/>
      <w:r w:rsidRPr="00242020">
        <w:rPr>
          <w:rFonts w:eastAsia="Times New Roman" w:cs="Times New Roman"/>
          <w:szCs w:val="20"/>
          <w:lang w:eastAsia="ru-RU"/>
        </w:rPr>
        <w:t xml:space="preserve">, яка надавала допомогу в підготовці до приватизації ряду </w:t>
      </w:r>
      <w:proofErr w:type="spellStart"/>
      <w:r w:rsidRPr="00242020">
        <w:rPr>
          <w:rFonts w:eastAsia="Times New Roman" w:cs="Times New Roman"/>
          <w:szCs w:val="20"/>
          <w:lang w:eastAsia="ru-RU"/>
        </w:rPr>
        <w:t>обленерго</w:t>
      </w:r>
      <w:proofErr w:type="spellEnd"/>
      <w:r w:rsidRPr="00242020">
        <w:rPr>
          <w:rFonts w:eastAsia="Times New Roman" w:cs="Times New Roman"/>
          <w:szCs w:val="20"/>
          <w:lang w:eastAsia="ru-RU"/>
        </w:rPr>
        <w:t xml:space="preserve">. </w:t>
      </w:r>
    </w:p>
    <w:p w:rsidR="00B84BD0" w:rsidRPr="00242020" w:rsidRDefault="00B84BD0" w:rsidP="00102753">
      <w:pPr>
        <w:jc w:val="both"/>
        <w:rPr>
          <w:rFonts w:eastAsia="Times New Roman" w:cs="Times New Roman"/>
          <w:szCs w:val="20"/>
          <w:lang w:eastAsia="ru-RU"/>
        </w:rPr>
      </w:pPr>
      <w:r w:rsidRPr="00242020">
        <w:rPr>
          <w:rFonts w:eastAsia="Times New Roman" w:cs="Times New Roman"/>
          <w:szCs w:val="20"/>
          <w:lang w:eastAsia="ru-RU"/>
        </w:rPr>
        <w:t xml:space="preserve">Протягом 2016 року в рамках роботи з підготовки та реалізації проектів </w:t>
      </w:r>
      <w:proofErr w:type="spellStart"/>
      <w:r w:rsidRPr="00242020">
        <w:rPr>
          <w:rFonts w:eastAsia="Times New Roman" w:cs="Times New Roman"/>
          <w:szCs w:val="20"/>
          <w:lang w:eastAsia="ru-RU"/>
        </w:rPr>
        <w:t>Twinning</w:t>
      </w:r>
      <w:proofErr w:type="spellEnd"/>
      <w:r w:rsidRPr="00242020">
        <w:rPr>
          <w:rFonts w:eastAsia="Times New Roman" w:cs="Times New Roman"/>
          <w:szCs w:val="20"/>
          <w:lang w:eastAsia="ru-RU"/>
        </w:rPr>
        <w:t xml:space="preserve"> в Україні Фонд подав проектну пропозицію щодо залучення технічної допомоги з метою адаптації національних стандартів оцінки до міжнародного законодавства у сфері оцінки. Станом на кінець 2016 року </w:t>
      </w:r>
      <w:proofErr w:type="spellStart"/>
      <w:r w:rsidRPr="00242020">
        <w:rPr>
          <w:rFonts w:eastAsia="Times New Roman" w:cs="Times New Roman"/>
          <w:szCs w:val="20"/>
          <w:lang w:eastAsia="ru-RU"/>
        </w:rPr>
        <w:t>Нацдержслужба</w:t>
      </w:r>
      <w:proofErr w:type="spellEnd"/>
      <w:r w:rsidRPr="00242020">
        <w:rPr>
          <w:rFonts w:eastAsia="Times New Roman" w:cs="Times New Roman"/>
          <w:szCs w:val="20"/>
          <w:lang w:eastAsia="ru-RU"/>
        </w:rPr>
        <w:t xml:space="preserve"> відхилила зазначену пропозицію Фонду.</w:t>
      </w:r>
    </w:p>
    <w:p w:rsidR="00B84BD0" w:rsidRPr="00242020" w:rsidRDefault="00B84BD0" w:rsidP="00102753">
      <w:pPr>
        <w:jc w:val="both"/>
        <w:rPr>
          <w:rFonts w:eastAsia="Times New Roman" w:cs="Times New Roman"/>
          <w:szCs w:val="20"/>
          <w:lang w:eastAsia="ru-RU"/>
        </w:rPr>
      </w:pPr>
      <w:r w:rsidRPr="00242020">
        <w:rPr>
          <w:rFonts w:eastAsia="Times New Roman" w:cs="Times New Roman"/>
          <w:szCs w:val="20"/>
          <w:lang w:eastAsia="ru-RU"/>
        </w:rPr>
        <w:t>Також досягнуто домовленості щодо надання міжнародної технічної допомоги з боку Уряду Королівства Великої Британії та Північної Ірландії у процесі підготовки до приватизації об’єктів енергетичного сектору, зокрема ПАТ «Одеська ТЕЦ», ПАТ «Херсонська ТЕЦ», ПАТ «Миколаївська ТЕЦ», ПАТ «Дніпродзержинська теплоелектроцентраль». Для реалізації цих домовленостей в Україні Посольством Королівства Великої Британії та Північної Ірландії проведено тендер, за результатами якого відібрано ТОВ «</w:t>
      </w:r>
      <w:proofErr w:type="spellStart"/>
      <w:r w:rsidRPr="00242020">
        <w:rPr>
          <w:rFonts w:eastAsia="Times New Roman" w:cs="Times New Roman"/>
          <w:szCs w:val="20"/>
          <w:lang w:eastAsia="ru-RU"/>
        </w:rPr>
        <w:t>ПрайсуотерхаусКуперс</w:t>
      </w:r>
      <w:proofErr w:type="spellEnd"/>
      <w:r w:rsidRPr="00242020">
        <w:rPr>
          <w:rFonts w:eastAsia="Times New Roman" w:cs="Times New Roman"/>
          <w:szCs w:val="20"/>
          <w:lang w:eastAsia="ru-RU"/>
        </w:rPr>
        <w:t>».</w:t>
      </w:r>
    </w:p>
    <w:p w:rsidR="00B84BD0" w:rsidRPr="00242020" w:rsidRDefault="00B84BD0" w:rsidP="00102753">
      <w:pPr>
        <w:jc w:val="both"/>
        <w:rPr>
          <w:rFonts w:eastAsia="Times New Roman" w:cs="Times New Roman"/>
          <w:szCs w:val="20"/>
          <w:lang w:eastAsia="ru-RU"/>
        </w:rPr>
      </w:pPr>
      <w:r w:rsidRPr="00242020">
        <w:rPr>
          <w:rFonts w:eastAsia="Times New Roman" w:cs="Times New Roman"/>
          <w:szCs w:val="28"/>
          <w:lang w:eastAsia="ru-RU"/>
        </w:rPr>
        <w:lastRenderedPageBreak/>
        <w:t xml:space="preserve">У рамках підготовки візиту заступника Міністра торгівлі США </w:t>
      </w:r>
      <w:r w:rsidRPr="00242020">
        <w:rPr>
          <w:rFonts w:eastAsia="Times New Roman" w:cs="Times New Roman"/>
          <w:szCs w:val="20"/>
          <w:lang w:eastAsia="ru-RU"/>
        </w:rPr>
        <w:t>Л. </w:t>
      </w:r>
      <w:proofErr w:type="spellStart"/>
      <w:r w:rsidRPr="00242020">
        <w:rPr>
          <w:rFonts w:eastAsia="Times New Roman" w:cs="Times New Roman"/>
          <w:szCs w:val="20"/>
          <w:lang w:eastAsia="ru-RU"/>
        </w:rPr>
        <w:t>Лаллі</w:t>
      </w:r>
      <w:proofErr w:type="spellEnd"/>
      <w:r w:rsidRPr="00242020">
        <w:rPr>
          <w:rFonts w:eastAsia="Times New Roman" w:cs="Times New Roman"/>
          <w:szCs w:val="20"/>
          <w:lang w:eastAsia="ru-RU"/>
        </w:rPr>
        <w:t xml:space="preserve"> до України Фонд надав </w:t>
      </w:r>
      <w:proofErr w:type="spellStart"/>
      <w:r w:rsidRPr="00242020">
        <w:rPr>
          <w:rFonts w:eastAsia="Times New Roman" w:cs="Times New Roman"/>
          <w:szCs w:val="20"/>
          <w:lang w:eastAsia="ru-RU"/>
        </w:rPr>
        <w:t>Мінекономрозвитку</w:t>
      </w:r>
      <w:proofErr w:type="spellEnd"/>
      <w:r w:rsidRPr="00242020">
        <w:rPr>
          <w:rFonts w:eastAsia="Times New Roman" w:cs="Times New Roman"/>
          <w:szCs w:val="20"/>
          <w:lang w:eastAsia="ru-RU"/>
        </w:rPr>
        <w:t xml:space="preserve"> матеріали стосовно приватизації державних підприємств відповідно до найкращих міжнародних практик та забезпечення рівних можливостей для іноземних інвесторів.</w:t>
      </w:r>
    </w:p>
    <w:p w:rsidR="00B84BD0" w:rsidRPr="00242020" w:rsidRDefault="00B84BD0" w:rsidP="00102753">
      <w:pPr>
        <w:jc w:val="both"/>
        <w:rPr>
          <w:rFonts w:eastAsia="Times New Roman" w:cs="Times New Roman"/>
          <w:szCs w:val="20"/>
          <w:lang w:eastAsia="ru-RU"/>
        </w:rPr>
      </w:pPr>
      <w:r w:rsidRPr="00242020">
        <w:rPr>
          <w:rFonts w:eastAsia="Times New Roman" w:cs="Times New Roman"/>
          <w:szCs w:val="20"/>
          <w:lang w:eastAsia="ru-RU"/>
        </w:rPr>
        <w:t xml:space="preserve">З метою поширення інформації про об’єкти державної власності, які пропонувалися до приватизації у 2016 році, Голова Фонду взяв участь у роботі Українсько-Нідерландського бізнес-форуму, який відбувся 30 березня 2016 року у м. Гаага, Українсько-Канадського бізнес-форуму, який відбувся з 18 по 20 червня 2016 року у м. Торонто та </w:t>
      </w:r>
      <w:r w:rsidRPr="00242020">
        <w:rPr>
          <w:rFonts w:eastAsia="Times New Roman" w:cs="Times New Roman"/>
          <w:szCs w:val="28"/>
          <w:lang w:eastAsia="ru-RU"/>
        </w:rPr>
        <w:t xml:space="preserve">Французько-Українського бізнес-форуму, який відбувся 28 жовтня 2016 року. </w:t>
      </w:r>
      <w:r w:rsidRPr="00242020">
        <w:rPr>
          <w:rFonts w:eastAsia="Times New Roman" w:cs="Times New Roman"/>
          <w:szCs w:val="20"/>
          <w:lang w:eastAsia="ru-RU"/>
        </w:rPr>
        <w:t>Під час цих форумів керівництвом Фонду було представлено презентацію на тему «Приватизація 2016 – можливості для інвесторів» та ознайомлено інвесторів з планами приватизації пріоритетних державних об’єктів, зокрема ПАТ «Одеський припортовий завод»,</w:t>
      </w:r>
      <w:r w:rsidRPr="00242020">
        <w:rPr>
          <w:rFonts w:eastAsia="Times New Roman" w:cs="Times New Roman"/>
          <w:szCs w:val="20"/>
          <w:lang w:eastAsia="ru-RU"/>
        </w:rPr>
        <w:br/>
        <w:t>ПАТ «</w:t>
      </w:r>
      <w:proofErr w:type="spellStart"/>
      <w:r w:rsidRPr="00242020">
        <w:rPr>
          <w:rFonts w:eastAsia="Times New Roman" w:cs="Times New Roman"/>
          <w:szCs w:val="20"/>
          <w:lang w:eastAsia="ru-RU"/>
        </w:rPr>
        <w:t>Центренерго</w:t>
      </w:r>
      <w:proofErr w:type="spellEnd"/>
      <w:r w:rsidRPr="00242020">
        <w:rPr>
          <w:rFonts w:eastAsia="Times New Roman" w:cs="Times New Roman"/>
          <w:szCs w:val="20"/>
          <w:lang w:eastAsia="ru-RU"/>
        </w:rPr>
        <w:t>» та шести енергопостачальних компаній, а також із змінами у приватизаційних процедурах та механізмом проведення відкритих конкурсів.</w:t>
      </w:r>
    </w:p>
    <w:p w:rsidR="00B84BD0" w:rsidRPr="00242020" w:rsidRDefault="00B84BD0" w:rsidP="00102753">
      <w:pPr>
        <w:jc w:val="both"/>
        <w:rPr>
          <w:rFonts w:eastAsia="Times New Roman" w:cs="Times New Roman"/>
          <w:szCs w:val="20"/>
          <w:lang w:eastAsia="ru-RU"/>
        </w:rPr>
      </w:pPr>
      <w:r w:rsidRPr="00242020">
        <w:rPr>
          <w:rFonts w:eastAsia="Times New Roman" w:cs="Times New Roman"/>
          <w:szCs w:val="20"/>
          <w:lang w:eastAsia="ru-RU"/>
        </w:rPr>
        <w:t xml:space="preserve">З 14 по 18 червня 2016 року урядова делегація на чолі з Прем’єр-міністром України, до складу якої було включено Голову Фонду, на запрошення Віце-президента США </w:t>
      </w:r>
      <w:proofErr w:type="spellStart"/>
      <w:r w:rsidRPr="00242020">
        <w:rPr>
          <w:rFonts w:eastAsia="Times New Roman" w:cs="Times New Roman"/>
          <w:szCs w:val="20"/>
          <w:lang w:eastAsia="ru-RU"/>
        </w:rPr>
        <w:t>Джо</w:t>
      </w:r>
      <w:proofErr w:type="spellEnd"/>
      <w:r w:rsidRPr="00242020">
        <w:rPr>
          <w:rFonts w:eastAsia="Times New Roman" w:cs="Times New Roman"/>
          <w:szCs w:val="20"/>
          <w:lang w:eastAsia="ru-RU"/>
        </w:rPr>
        <w:t xml:space="preserve"> </w:t>
      </w:r>
      <w:proofErr w:type="spellStart"/>
      <w:r w:rsidRPr="00242020">
        <w:rPr>
          <w:rFonts w:eastAsia="Times New Roman" w:cs="Times New Roman"/>
          <w:szCs w:val="20"/>
          <w:lang w:eastAsia="ru-RU"/>
        </w:rPr>
        <w:t>Байдена</w:t>
      </w:r>
      <w:proofErr w:type="spellEnd"/>
      <w:r w:rsidRPr="00242020">
        <w:rPr>
          <w:rFonts w:eastAsia="Times New Roman" w:cs="Times New Roman"/>
          <w:szCs w:val="20"/>
          <w:lang w:eastAsia="ru-RU"/>
        </w:rPr>
        <w:t xml:space="preserve"> здійснила робочий візит до США. У рамках візиту було повідомлено про пріоритетні кроки українського Уряду, зокрема приватизацію державних підприємств, продовження реформи енергетичного сектору. </w:t>
      </w:r>
    </w:p>
    <w:p w:rsidR="00B84BD0" w:rsidRPr="00242020" w:rsidRDefault="00B84BD0" w:rsidP="00102753">
      <w:pPr>
        <w:jc w:val="both"/>
        <w:rPr>
          <w:rFonts w:eastAsia="Times New Roman" w:cs="Times New Roman"/>
          <w:szCs w:val="20"/>
          <w:lang w:eastAsia="ru-RU"/>
        </w:rPr>
      </w:pPr>
      <w:r w:rsidRPr="00242020">
        <w:rPr>
          <w:rFonts w:eastAsia="Times New Roman" w:cs="Times New Roman"/>
          <w:szCs w:val="20"/>
          <w:lang w:eastAsia="ru-RU"/>
        </w:rPr>
        <w:t>У процесі підготовки та проведення 6-го засідання Українсько-Американської ради з торгівлі й інвестицій Фондом з метою залучення американських інвесторів на українські підприємства передано американській стороні перелік об’єктів, що заплановані до приватизації.</w:t>
      </w:r>
    </w:p>
    <w:p w:rsidR="00B84BD0" w:rsidRPr="00242020" w:rsidRDefault="00B84BD0" w:rsidP="00102753">
      <w:pPr>
        <w:jc w:val="both"/>
        <w:rPr>
          <w:rFonts w:eastAsia="Times New Roman" w:cs="Times New Roman"/>
          <w:szCs w:val="20"/>
          <w:lang w:eastAsia="ru-RU"/>
        </w:rPr>
      </w:pPr>
      <w:r w:rsidRPr="00242020">
        <w:rPr>
          <w:rFonts w:eastAsia="Times New Roman" w:cs="Times New Roman"/>
          <w:szCs w:val="20"/>
          <w:lang w:eastAsia="ru-RU"/>
        </w:rPr>
        <w:t>У звітному періоді Фонд взяв участь у підготовці до проведення 9-го засідання Українсько-Німецької групи високого рівня з економічного співробітництва та 3-го засідання Українсько-Бельгійської міжурядової змішаної комісії з торговельно-економічного та фінансового співробітництва і передав перелік об’єктів, що заплановані до приватизації, німецькій та бельгійській сторонам.</w:t>
      </w:r>
    </w:p>
    <w:p w:rsidR="00B84BD0" w:rsidRPr="00242020" w:rsidRDefault="00B84BD0" w:rsidP="00102753">
      <w:pPr>
        <w:widowControl/>
        <w:jc w:val="both"/>
        <w:rPr>
          <w:rFonts w:eastAsia="Times-Roman" w:cs="Times New Roman"/>
          <w:szCs w:val="28"/>
          <w:lang w:eastAsia="uk-UA"/>
        </w:rPr>
      </w:pPr>
      <w:r w:rsidRPr="00242020">
        <w:rPr>
          <w:rFonts w:eastAsia="Times-Roman" w:cs="Times New Roman"/>
          <w:szCs w:val="28"/>
          <w:lang w:eastAsia="uk-UA"/>
        </w:rPr>
        <w:t xml:space="preserve">У 2016 році Фондом опрацьовано проекти порядку денного та протоколу 5-го спільного засідання Міжурядової українсько-саудівської комісії з торговельно-економічного та науково-технічного співробітництва та надано на адресу Міністерства аграрної політики та продовольства України пропозиції до цих проектів. </w:t>
      </w:r>
    </w:p>
    <w:p w:rsidR="00B84BD0" w:rsidRPr="00242020" w:rsidRDefault="00B84BD0" w:rsidP="00102753">
      <w:pPr>
        <w:widowControl/>
        <w:jc w:val="both"/>
        <w:rPr>
          <w:rFonts w:eastAsia="Times-Roman" w:cs="Times New Roman"/>
          <w:szCs w:val="28"/>
          <w:lang w:eastAsia="uk-UA"/>
        </w:rPr>
      </w:pPr>
      <w:r w:rsidRPr="00242020">
        <w:rPr>
          <w:rFonts w:eastAsia="Times-Roman" w:cs="Times New Roman"/>
          <w:szCs w:val="28"/>
          <w:lang w:eastAsia="uk-UA"/>
        </w:rPr>
        <w:t>Також Фонд взяв участь у підготовці до проведення 6-го засідання Міжурядової українсько-індійської комісії по торговельному, економічному, науковому, технічному, промисловому і культурному співробітництву та надавав інформацію стосовно виконання домовленостей 5-го спільного засідання цієї міжурядової комісії. Крім того, Фондом було опрацьовано план заходів з реалізації домовленостей, досягнутих за результатами робочого візиту Президента України до США 18-21 вересня 2016 року, та надано пропозиції на адресу Міністерства закордонних справ України.</w:t>
      </w:r>
    </w:p>
    <w:p w:rsidR="00B84BD0" w:rsidRPr="00242020" w:rsidRDefault="00B84BD0" w:rsidP="00102753">
      <w:pPr>
        <w:jc w:val="both"/>
        <w:rPr>
          <w:rFonts w:eastAsia="Times New Roman" w:cs="Times New Roman"/>
          <w:szCs w:val="28"/>
          <w:lang w:eastAsia="ru-RU"/>
        </w:rPr>
      </w:pPr>
      <w:r w:rsidRPr="00242020">
        <w:rPr>
          <w:rFonts w:eastAsia="Times-Roman" w:cs="Times New Roman"/>
          <w:szCs w:val="28"/>
          <w:lang w:eastAsia="uk-UA"/>
        </w:rPr>
        <w:t>У рамках вищезазначених заходів,</w:t>
      </w:r>
      <w:r w:rsidRPr="00242020">
        <w:rPr>
          <w:rFonts w:eastAsia="Times New Roman" w:cs="Times New Roman"/>
          <w:szCs w:val="20"/>
          <w:lang w:eastAsia="ru-RU"/>
        </w:rPr>
        <w:t xml:space="preserve"> з метою інформування потенційних </w:t>
      </w:r>
      <w:r w:rsidRPr="00242020">
        <w:rPr>
          <w:rFonts w:eastAsia="Times New Roman" w:cs="Times New Roman"/>
          <w:szCs w:val="20"/>
          <w:lang w:eastAsia="ru-RU"/>
        </w:rPr>
        <w:lastRenderedPageBreak/>
        <w:t xml:space="preserve">інвесторів Фондом підготовлено буклет </w:t>
      </w:r>
      <w:r w:rsidRPr="00242020">
        <w:rPr>
          <w:rFonts w:eastAsia="Times-Roman" w:cs="Times New Roman"/>
          <w:szCs w:val="28"/>
          <w:lang w:eastAsia="uk-UA"/>
        </w:rPr>
        <w:t>«</w:t>
      </w:r>
      <w:proofErr w:type="spellStart"/>
      <w:r w:rsidRPr="00242020">
        <w:rPr>
          <w:rFonts w:eastAsia="Times-Roman" w:cs="Times New Roman"/>
          <w:szCs w:val="28"/>
          <w:lang w:eastAsia="uk-UA"/>
        </w:rPr>
        <w:t>Privatization</w:t>
      </w:r>
      <w:proofErr w:type="spellEnd"/>
      <w:r w:rsidRPr="00242020">
        <w:rPr>
          <w:rFonts w:eastAsia="Times-Roman" w:cs="Times New Roman"/>
          <w:szCs w:val="28"/>
          <w:lang w:eastAsia="uk-UA"/>
        </w:rPr>
        <w:t xml:space="preserve"> </w:t>
      </w:r>
      <w:proofErr w:type="spellStart"/>
      <w:r w:rsidRPr="00242020">
        <w:rPr>
          <w:rFonts w:eastAsia="Times-Roman" w:cs="Times New Roman"/>
          <w:szCs w:val="28"/>
          <w:lang w:eastAsia="uk-UA"/>
        </w:rPr>
        <w:t>in</w:t>
      </w:r>
      <w:proofErr w:type="spellEnd"/>
      <w:r w:rsidRPr="00242020">
        <w:rPr>
          <w:rFonts w:eastAsia="Times-Roman" w:cs="Times New Roman"/>
          <w:szCs w:val="28"/>
          <w:lang w:eastAsia="uk-UA"/>
        </w:rPr>
        <w:t xml:space="preserve"> </w:t>
      </w:r>
      <w:proofErr w:type="spellStart"/>
      <w:r w:rsidRPr="00242020">
        <w:rPr>
          <w:rFonts w:eastAsia="Times-Roman" w:cs="Times New Roman"/>
          <w:szCs w:val="28"/>
          <w:lang w:eastAsia="uk-UA"/>
        </w:rPr>
        <w:t>Ukraine</w:t>
      </w:r>
      <w:proofErr w:type="spellEnd"/>
      <w:r w:rsidRPr="00242020">
        <w:rPr>
          <w:rFonts w:eastAsia="Times-Roman" w:cs="Times New Roman"/>
          <w:szCs w:val="28"/>
          <w:lang w:eastAsia="uk-UA"/>
        </w:rPr>
        <w:t xml:space="preserve"> 2016-2017» з переліком об’єктів, затверджених до приватизації, та інформаційні </w:t>
      </w:r>
      <w:proofErr w:type="spellStart"/>
      <w:r w:rsidRPr="00242020">
        <w:rPr>
          <w:rFonts w:eastAsia="Times-Roman" w:cs="Times New Roman"/>
          <w:szCs w:val="28"/>
          <w:lang w:eastAsia="uk-UA"/>
        </w:rPr>
        <w:t>тізери</w:t>
      </w:r>
      <w:proofErr w:type="spellEnd"/>
      <w:r w:rsidRPr="00242020">
        <w:rPr>
          <w:rFonts w:eastAsia="Times-Roman" w:cs="Times New Roman"/>
          <w:szCs w:val="28"/>
          <w:lang w:eastAsia="uk-UA"/>
        </w:rPr>
        <w:t xml:space="preserve"> по найбільш привабливим підприємствам, які запропоновані до продажу у 2016 році і на початку 2017 року (англійською мовою), для передачі їх саудівській стороні, індійській, турецькій та катарській сторонам.</w:t>
      </w:r>
    </w:p>
    <w:p w:rsidR="00B84BD0" w:rsidRPr="00242020" w:rsidRDefault="00B84BD0" w:rsidP="00102753">
      <w:pPr>
        <w:jc w:val="both"/>
        <w:rPr>
          <w:rFonts w:eastAsia="Times New Roman" w:cs="Times New Roman"/>
          <w:szCs w:val="20"/>
          <w:lang w:eastAsia="ru-RU"/>
        </w:rPr>
      </w:pPr>
      <w:r w:rsidRPr="00242020">
        <w:rPr>
          <w:rFonts w:eastAsia="Times New Roman" w:cs="Times New Roman"/>
          <w:szCs w:val="20"/>
          <w:lang w:eastAsia="ru-RU"/>
        </w:rPr>
        <w:t xml:space="preserve">Відповідно до моніторингу виконання домовленостей, досягнутих під час переговорів Президента України і Прем’єр-міністра України з офіційними особами інших держав, Фондом підготовлено звіт з питань врегулювання прав власності України і Республіки Молдова на об’єкти, що розташовані на їх територіях. </w:t>
      </w:r>
    </w:p>
    <w:p w:rsidR="00B84BD0" w:rsidRPr="00242020" w:rsidRDefault="00B84BD0" w:rsidP="00102753">
      <w:pPr>
        <w:jc w:val="both"/>
        <w:rPr>
          <w:rFonts w:eastAsia="Times New Roman" w:cs="Times New Roman"/>
          <w:szCs w:val="20"/>
          <w:lang w:eastAsia="ru-RU"/>
        </w:rPr>
      </w:pPr>
      <w:r w:rsidRPr="00242020">
        <w:rPr>
          <w:rFonts w:eastAsia="Times New Roman" w:cs="Times New Roman"/>
          <w:szCs w:val="20"/>
          <w:lang w:eastAsia="ru-RU"/>
        </w:rPr>
        <w:t>З метою залучення інвесторів до приватизаційних процесів, інвестування в економіку України та відповідно до Угоди між Фондом і Державним комітетом Республіки Узбекистан з управління державним майном і підтримки підприємництва про співробітництво в галузі обміну інформацією від 25 червня 2004 року Фондом передано узбекистанській стороні переліки об’єктів державної власності, що підлягають приватизації у 2016 році.</w:t>
      </w:r>
    </w:p>
    <w:p w:rsidR="00B84BD0" w:rsidRPr="00242020" w:rsidRDefault="00B84BD0" w:rsidP="00102753">
      <w:pPr>
        <w:widowControl/>
        <w:autoSpaceDE w:val="0"/>
        <w:autoSpaceDN w:val="0"/>
        <w:adjustRightInd w:val="0"/>
        <w:jc w:val="both"/>
        <w:rPr>
          <w:rFonts w:eastAsia="Times New Roman" w:cs="Times New Roman"/>
          <w:szCs w:val="28"/>
          <w:lang w:eastAsia="ru-RU"/>
        </w:rPr>
      </w:pPr>
      <w:r w:rsidRPr="00242020">
        <w:rPr>
          <w:rFonts w:eastAsia="Times New Roman" w:cs="Times New Roman"/>
          <w:szCs w:val="28"/>
        </w:rPr>
        <w:t xml:space="preserve">З метою співпраці у сфері розширення економічних та ділових зв’язків з країнами Близького Сходу в грудні 2016 року між Фондом та компанією </w:t>
      </w:r>
      <w:proofErr w:type="spellStart"/>
      <w:r w:rsidRPr="00242020">
        <w:rPr>
          <w:rFonts w:eastAsia="Times New Roman" w:cs="Times New Roman"/>
          <w:szCs w:val="28"/>
        </w:rPr>
        <w:t>CFC</w:t>
      </w:r>
      <w:proofErr w:type="spellEnd"/>
      <w:r w:rsidRPr="00242020">
        <w:rPr>
          <w:rFonts w:eastAsia="Times New Roman" w:cs="Times New Roman"/>
          <w:szCs w:val="28"/>
        </w:rPr>
        <w:t xml:space="preserve"> </w:t>
      </w:r>
      <w:proofErr w:type="spellStart"/>
      <w:r w:rsidRPr="00242020">
        <w:rPr>
          <w:rFonts w:eastAsia="Times New Roman" w:cs="Times New Roman"/>
          <w:szCs w:val="28"/>
        </w:rPr>
        <w:t>Consulting</w:t>
      </w:r>
      <w:proofErr w:type="spellEnd"/>
      <w:r w:rsidRPr="00242020">
        <w:rPr>
          <w:rFonts w:eastAsia="Times New Roman" w:cs="Times New Roman"/>
          <w:szCs w:val="28"/>
        </w:rPr>
        <w:t xml:space="preserve"> підписано Меморандум про співпрацю.</w:t>
      </w:r>
    </w:p>
    <w:p w:rsidR="00B84BD0" w:rsidRPr="00242020" w:rsidRDefault="00B84BD0" w:rsidP="00102753">
      <w:pPr>
        <w:jc w:val="both"/>
        <w:rPr>
          <w:rFonts w:eastAsia="Times New Roman" w:cs="Times New Roman"/>
          <w:szCs w:val="28"/>
          <w:highlight w:val="yellow"/>
          <w:lang w:eastAsia="ru-RU"/>
        </w:rPr>
      </w:pPr>
      <w:r w:rsidRPr="00242020">
        <w:rPr>
          <w:rFonts w:eastAsia="Times New Roman" w:cs="Times New Roman"/>
          <w:szCs w:val="20"/>
          <w:lang w:eastAsia="ru-RU"/>
        </w:rPr>
        <w:t>Протягом звітного періоду організовано та проведено 99 зустрічей керівництва Фонду з 264 іноземними представниками з 31 країни світу, зокрема США, Туреччини, Литви, Греції, Фінляндії, Грузії, Франції, Польщі, Молдови, Великобританії, Азербайджану, Німеччини, Йордану, Ірландії, Японії, Південної Африки, Португалії, Норвегії, Румунії, Нідерландів, Іспанії, Канади, Бангладеш, Угорщини, Італії, Китаю, Індонезії, Чехії тощо.</w:t>
      </w:r>
    </w:p>
    <w:p w:rsidR="00B84BD0" w:rsidRPr="00242020" w:rsidRDefault="00B84BD0" w:rsidP="00B84BD0">
      <w:pPr>
        <w:widowControl/>
        <w:jc w:val="both"/>
        <w:rPr>
          <w:rFonts w:eastAsia="Times New Roman" w:cs="Times New Roman"/>
          <w:sz w:val="12"/>
          <w:szCs w:val="12"/>
          <w:lang w:eastAsia="ru-RU"/>
        </w:rPr>
      </w:pPr>
    </w:p>
    <w:p w:rsidR="0088199A" w:rsidRPr="00242020" w:rsidRDefault="0088199A" w:rsidP="0088199A">
      <w:pPr>
        <w:pStyle w:val="2"/>
        <w:rPr>
          <w:szCs w:val="28"/>
        </w:rPr>
      </w:pPr>
      <w:r w:rsidRPr="00242020">
        <w:t>2.3. Фінансові результати приватизації</w:t>
      </w:r>
    </w:p>
    <w:p w:rsidR="003B1438" w:rsidRPr="00242020" w:rsidRDefault="003B1438" w:rsidP="003B1438">
      <w:pPr>
        <w:widowControl/>
        <w:jc w:val="both"/>
        <w:rPr>
          <w:rFonts w:eastAsia="Times New Roman" w:cs="Times New Roman"/>
          <w:sz w:val="12"/>
          <w:szCs w:val="12"/>
          <w:lang w:eastAsia="ru-RU"/>
        </w:rPr>
      </w:pPr>
    </w:p>
    <w:p w:rsidR="003B1438" w:rsidRPr="00242020" w:rsidRDefault="003B1438" w:rsidP="003B1438">
      <w:pPr>
        <w:jc w:val="both"/>
        <w:rPr>
          <w:rFonts w:eastAsia="Times New Roman" w:cs="Times New Roman"/>
          <w:szCs w:val="28"/>
          <w:lang w:eastAsia="ru-RU"/>
        </w:rPr>
      </w:pPr>
      <w:r w:rsidRPr="00242020">
        <w:rPr>
          <w:rFonts w:eastAsia="Times New Roman" w:cs="Times New Roman"/>
          <w:szCs w:val="28"/>
          <w:lang w:eastAsia="ru-RU"/>
        </w:rPr>
        <w:t>Законом України від 25 грудня 2015 року № 928-VIII «Про Державний бюджет України на 2016 рік» Фонду встановлено завдання з надходження коштів від приватизації державного майна до державного бюджету обсягом 17,100 </w:t>
      </w:r>
      <w:proofErr w:type="spellStart"/>
      <w:r w:rsidRPr="00242020">
        <w:rPr>
          <w:rFonts w:eastAsia="Times New Roman" w:cs="Times New Roman"/>
          <w:szCs w:val="28"/>
          <w:lang w:eastAsia="ru-RU"/>
        </w:rPr>
        <w:t>млрд</w:t>
      </w:r>
      <w:proofErr w:type="spellEnd"/>
      <w:r w:rsidRPr="00242020">
        <w:rPr>
          <w:rFonts w:eastAsia="Times New Roman" w:cs="Times New Roman"/>
          <w:szCs w:val="28"/>
          <w:lang w:eastAsia="ru-RU"/>
        </w:rPr>
        <w:t xml:space="preserve"> грн. </w:t>
      </w:r>
    </w:p>
    <w:p w:rsidR="003B1438" w:rsidRPr="00242020" w:rsidRDefault="003B1438" w:rsidP="003B1438">
      <w:pPr>
        <w:jc w:val="both"/>
        <w:rPr>
          <w:rFonts w:eastAsia="Times New Roman" w:cs="Times New Roman"/>
          <w:szCs w:val="28"/>
          <w:lang w:eastAsia="ru-RU"/>
        </w:rPr>
      </w:pPr>
      <w:r w:rsidRPr="00242020">
        <w:rPr>
          <w:rFonts w:eastAsia="Times New Roman" w:cs="Times New Roman"/>
          <w:szCs w:val="28"/>
          <w:lang w:eastAsia="ru-RU"/>
        </w:rPr>
        <w:t xml:space="preserve">За 2016 рік </w:t>
      </w:r>
      <w:r w:rsidRPr="00242020">
        <w:rPr>
          <w:rFonts w:eastAsia="Times New Roman" w:cs="Times New Roman"/>
          <w:b/>
          <w:szCs w:val="28"/>
          <w:lang w:eastAsia="ru-RU"/>
        </w:rPr>
        <w:t>від приватизації державного майна</w:t>
      </w:r>
      <w:r w:rsidRPr="00242020">
        <w:rPr>
          <w:rFonts w:eastAsia="Times New Roman" w:cs="Times New Roman"/>
          <w:szCs w:val="28"/>
          <w:lang w:eastAsia="ru-RU"/>
        </w:rPr>
        <w:t xml:space="preserve"> та інших надходжень, безпосередньо пов’язаних з процесом приватизації, надійшло 187,504 </w:t>
      </w:r>
      <w:proofErr w:type="spellStart"/>
      <w:r w:rsidRPr="00242020">
        <w:rPr>
          <w:rFonts w:eastAsia="Times New Roman" w:cs="Times New Roman"/>
          <w:szCs w:val="28"/>
          <w:lang w:eastAsia="ru-RU"/>
        </w:rPr>
        <w:t>млн</w:t>
      </w:r>
      <w:proofErr w:type="spellEnd"/>
      <w:r w:rsidRPr="00242020">
        <w:rPr>
          <w:rFonts w:eastAsia="Times New Roman" w:cs="Times New Roman"/>
          <w:szCs w:val="28"/>
          <w:lang w:eastAsia="ru-RU"/>
        </w:rPr>
        <w:t xml:space="preserve"> грн. До загального фонду державного бюджету перераховано 188,919 </w:t>
      </w:r>
      <w:proofErr w:type="spellStart"/>
      <w:r w:rsidRPr="00242020">
        <w:rPr>
          <w:rFonts w:eastAsia="Times New Roman" w:cs="Times New Roman"/>
          <w:szCs w:val="28"/>
          <w:lang w:eastAsia="ru-RU"/>
        </w:rPr>
        <w:t>млн</w:t>
      </w:r>
      <w:proofErr w:type="spellEnd"/>
      <w:r w:rsidRPr="00242020">
        <w:rPr>
          <w:rFonts w:eastAsia="Times New Roman" w:cs="Times New Roman"/>
          <w:szCs w:val="28"/>
          <w:lang w:eastAsia="ru-RU"/>
        </w:rPr>
        <w:t xml:space="preserve"> грн.</w:t>
      </w:r>
    </w:p>
    <w:p w:rsidR="003B1438" w:rsidRPr="00242020" w:rsidRDefault="003B1438" w:rsidP="003B1438">
      <w:pPr>
        <w:jc w:val="both"/>
        <w:rPr>
          <w:rFonts w:eastAsia="Times New Roman" w:cs="Times New Roman"/>
          <w:szCs w:val="28"/>
          <w:lang w:eastAsia="ru-RU"/>
        </w:rPr>
      </w:pPr>
      <w:r w:rsidRPr="00242020">
        <w:rPr>
          <w:rFonts w:eastAsia="Times New Roman" w:cs="Times New Roman"/>
          <w:szCs w:val="28"/>
          <w:lang w:eastAsia="ru-RU"/>
        </w:rPr>
        <w:t xml:space="preserve">Від продажу земельних ділянок несільськогосподарського призначення або прав на них, що перебувають у державній власності, на яких розташовані об’єкти, що підлягали приватизації, надійшло 4,279 </w:t>
      </w:r>
      <w:proofErr w:type="spellStart"/>
      <w:r w:rsidRPr="00242020">
        <w:rPr>
          <w:rFonts w:eastAsia="Times New Roman" w:cs="Times New Roman"/>
          <w:szCs w:val="28"/>
          <w:lang w:eastAsia="ru-RU"/>
        </w:rPr>
        <w:t>млн</w:t>
      </w:r>
      <w:proofErr w:type="spellEnd"/>
      <w:r w:rsidRPr="00242020">
        <w:rPr>
          <w:rFonts w:eastAsia="Times New Roman" w:cs="Times New Roman"/>
          <w:szCs w:val="28"/>
          <w:lang w:eastAsia="ru-RU"/>
        </w:rPr>
        <w:t xml:space="preserve"> грн. До загального фонду державного бюджету перераховано 4,274 </w:t>
      </w:r>
      <w:proofErr w:type="spellStart"/>
      <w:r w:rsidRPr="00242020">
        <w:rPr>
          <w:rFonts w:eastAsia="Times New Roman" w:cs="Times New Roman"/>
          <w:szCs w:val="28"/>
          <w:lang w:eastAsia="ru-RU"/>
        </w:rPr>
        <w:t>млн</w:t>
      </w:r>
      <w:proofErr w:type="spellEnd"/>
      <w:r w:rsidRPr="00242020">
        <w:rPr>
          <w:rFonts w:eastAsia="Times New Roman" w:cs="Times New Roman"/>
          <w:szCs w:val="28"/>
          <w:lang w:eastAsia="ru-RU"/>
        </w:rPr>
        <w:t xml:space="preserve"> грн.</w:t>
      </w:r>
    </w:p>
    <w:p w:rsidR="003B1438" w:rsidRPr="00242020" w:rsidRDefault="003B1438" w:rsidP="003B1438">
      <w:pPr>
        <w:jc w:val="both"/>
        <w:rPr>
          <w:rFonts w:eastAsia="Times New Roman" w:cs="Times New Roman"/>
          <w:szCs w:val="28"/>
          <w:lang w:eastAsia="ru-RU"/>
        </w:rPr>
      </w:pPr>
      <w:r w:rsidRPr="00242020">
        <w:rPr>
          <w:rFonts w:eastAsia="Times New Roman" w:cs="Times New Roman"/>
          <w:szCs w:val="28"/>
          <w:lang w:eastAsia="ru-RU"/>
        </w:rPr>
        <w:t>Крім того, до державного бюджету перераховано кошти від продажу видання «Державний інформаційний бюлетень про приватизацію» з додатком – газетою «Відомості приватизації» на суму 4,1 тис. грн.</w:t>
      </w:r>
    </w:p>
    <w:p w:rsidR="003B1438" w:rsidRPr="00242020" w:rsidRDefault="003B1438" w:rsidP="003B1438">
      <w:pPr>
        <w:jc w:val="both"/>
        <w:rPr>
          <w:rFonts w:eastAsia="Times New Roman" w:cs="Times New Roman"/>
          <w:szCs w:val="28"/>
          <w:lang w:eastAsia="ru-RU"/>
        </w:rPr>
      </w:pPr>
      <w:r w:rsidRPr="00242020">
        <w:rPr>
          <w:rFonts w:eastAsia="Times New Roman" w:cs="Times New Roman"/>
          <w:szCs w:val="28"/>
          <w:lang w:eastAsia="ru-RU"/>
        </w:rPr>
        <w:t>Довідка про надходження та перерахування коштів, одержаних від приватизації державного майна за січень-грудень 2016 року, наведена у додатку 11.</w:t>
      </w:r>
    </w:p>
    <w:p w:rsidR="003B1438" w:rsidRPr="00242020" w:rsidRDefault="003B1438" w:rsidP="003B1438">
      <w:pPr>
        <w:jc w:val="both"/>
        <w:rPr>
          <w:rFonts w:eastAsia="Times New Roman" w:cs="Times New Roman"/>
          <w:i/>
          <w:szCs w:val="28"/>
          <w:lang w:eastAsia="ru-RU"/>
        </w:rPr>
      </w:pPr>
      <w:r w:rsidRPr="00242020">
        <w:rPr>
          <w:rFonts w:eastAsia="Times New Roman" w:cs="Times New Roman"/>
          <w:i/>
          <w:szCs w:val="28"/>
          <w:lang w:eastAsia="ru-RU"/>
        </w:rPr>
        <w:t xml:space="preserve">Протягом 2015 року до загального фонду державного бюджету від </w:t>
      </w:r>
      <w:r w:rsidRPr="00242020">
        <w:rPr>
          <w:rFonts w:eastAsia="Times New Roman" w:cs="Times New Roman"/>
          <w:i/>
          <w:szCs w:val="28"/>
          <w:lang w:eastAsia="ru-RU"/>
        </w:rPr>
        <w:lastRenderedPageBreak/>
        <w:t xml:space="preserve">приватизації державного майна та інших надходжень, безпосередньо пов’язаних з процесом приватизації, було перераховано 151,481 </w:t>
      </w:r>
      <w:proofErr w:type="spellStart"/>
      <w:r w:rsidRPr="00242020">
        <w:rPr>
          <w:rFonts w:eastAsia="Times New Roman" w:cs="Times New Roman"/>
          <w:i/>
          <w:szCs w:val="28"/>
          <w:lang w:eastAsia="ru-RU"/>
        </w:rPr>
        <w:t>млн</w:t>
      </w:r>
      <w:proofErr w:type="spellEnd"/>
      <w:r w:rsidRPr="00242020">
        <w:rPr>
          <w:rFonts w:eastAsia="Times New Roman" w:cs="Times New Roman"/>
          <w:i/>
          <w:szCs w:val="28"/>
          <w:lang w:eastAsia="ru-RU"/>
        </w:rPr>
        <w:t xml:space="preserve"> грн.</w:t>
      </w:r>
    </w:p>
    <w:p w:rsidR="003B1438" w:rsidRPr="00242020" w:rsidRDefault="003B1438" w:rsidP="003B1438">
      <w:pPr>
        <w:jc w:val="both"/>
        <w:rPr>
          <w:rFonts w:eastAsia="Times New Roman" w:cs="Times New Roman"/>
          <w:i/>
          <w:szCs w:val="28"/>
          <w:lang w:eastAsia="ru-RU"/>
        </w:rPr>
      </w:pPr>
      <w:r w:rsidRPr="00242020">
        <w:rPr>
          <w:rFonts w:eastAsia="Times New Roman" w:cs="Times New Roman"/>
          <w:i/>
          <w:szCs w:val="28"/>
          <w:lang w:eastAsia="ru-RU"/>
        </w:rPr>
        <w:t xml:space="preserve">Крім того, від продажу земельних ділянок несільськогосподарського призначення або прав на них, що перебувають у державній власності, на яких розташовані об’єкти, що підлягали приватизації, перераховано до загального фонду державного бюджету 4,963 </w:t>
      </w:r>
      <w:proofErr w:type="spellStart"/>
      <w:r w:rsidRPr="00242020">
        <w:rPr>
          <w:rFonts w:eastAsia="Times New Roman" w:cs="Times New Roman"/>
          <w:i/>
          <w:szCs w:val="28"/>
          <w:lang w:eastAsia="ru-RU"/>
        </w:rPr>
        <w:t>млн</w:t>
      </w:r>
      <w:proofErr w:type="spellEnd"/>
      <w:r w:rsidRPr="00242020">
        <w:rPr>
          <w:rFonts w:eastAsia="Times New Roman" w:cs="Times New Roman"/>
          <w:i/>
          <w:szCs w:val="28"/>
          <w:lang w:eastAsia="ru-RU"/>
        </w:rPr>
        <w:t xml:space="preserve"> грн.</w:t>
      </w:r>
    </w:p>
    <w:p w:rsidR="003B1438" w:rsidRPr="00242020" w:rsidRDefault="003B1438" w:rsidP="003B1438">
      <w:pPr>
        <w:jc w:val="both"/>
        <w:rPr>
          <w:rFonts w:eastAsia="Times New Roman" w:cs="Times New Roman"/>
          <w:szCs w:val="28"/>
          <w:lang w:eastAsia="ru-RU"/>
        </w:rPr>
      </w:pPr>
      <w:r w:rsidRPr="00242020">
        <w:rPr>
          <w:rFonts w:eastAsia="Times New Roman" w:cs="Times New Roman"/>
          <w:szCs w:val="28"/>
          <w:lang w:eastAsia="ru-RU"/>
        </w:rPr>
        <w:t xml:space="preserve">Регіональними відділеннями Фонду, яким відповідно до чинного законодавства органами місцевого самоврядування делеговано повноваження щодо </w:t>
      </w:r>
      <w:r w:rsidRPr="00242020">
        <w:rPr>
          <w:rFonts w:eastAsia="Times New Roman" w:cs="Times New Roman"/>
          <w:b/>
          <w:szCs w:val="28"/>
          <w:lang w:eastAsia="ru-RU"/>
        </w:rPr>
        <w:t>приватизації комунального майна</w:t>
      </w:r>
      <w:r w:rsidRPr="00242020">
        <w:rPr>
          <w:rFonts w:eastAsia="Times New Roman" w:cs="Times New Roman"/>
          <w:szCs w:val="28"/>
          <w:lang w:eastAsia="ru-RU"/>
        </w:rPr>
        <w:t>, протягом 2016 року забезпечено надходження коштів від відчуження комунального майна та інших надходжень, безпосередньо пов’язаних з процесом приватизації, в сумі 3,553 </w:t>
      </w:r>
      <w:proofErr w:type="spellStart"/>
      <w:r w:rsidRPr="00242020">
        <w:rPr>
          <w:rFonts w:eastAsia="Times New Roman" w:cs="Times New Roman"/>
          <w:szCs w:val="28"/>
          <w:lang w:eastAsia="ru-RU"/>
        </w:rPr>
        <w:t>млн</w:t>
      </w:r>
      <w:proofErr w:type="spellEnd"/>
      <w:r w:rsidRPr="00242020">
        <w:rPr>
          <w:rFonts w:eastAsia="Times New Roman" w:cs="Times New Roman"/>
          <w:szCs w:val="28"/>
          <w:lang w:eastAsia="ru-RU"/>
        </w:rPr>
        <w:t xml:space="preserve"> </w:t>
      </w:r>
      <w:proofErr w:type="spellStart"/>
      <w:r w:rsidRPr="00242020">
        <w:rPr>
          <w:rFonts w:eastAsia="Times New Roman" w:cs="Times New Roman"/>
          <w:szCs w:val="28"/>
          <w:lang w:eastAsia="ru-RU"/>
        </w:rPr>
        <w:t>грн</w:t>
      </w:r>
      <w:proofErr w:type="spellEnd"/>
      <w:r w:rsidRPr="00242020">
        <w:rPr>
          <w:rFonts w:eastAsia="Times New Roman" w:cs="Times New Roman"/>
          <w:szCs w:val="28"/>
          <w:lang w:eastAsia="ru-RU"/>
        </w:rPr>
        <w:t xml:space="preserve">, які перераховано до відповідних місцевих бюджетів. </w:t>
      </w:r>
    </w:p>
    <w:p w:rsidR="0088199A" w:rsidRPr="00242020" w:rsidRDefault="0088199A" w:rsidP="0088199A">
      <w:pPr>
        <w:pStyle w:val="2"/>
        <w:rPr>
          <w:b w:val="0"/>
          <w:i/>
          <w:szCs w:val="28"/>
        </w:rPr>
      </w:pPr>
      <w:r w:rsidRPr="00242020">
        <w:rPr>
          <w:b w:val="0"/>
          <w:i/>
        </w:rPr>
        <w:t>Використання бюджетних коштів за напрямом «Заходи, пов’язані з проведенням приватизації державного майна», визначених паспортом бюджетної програми</w:t>
      </w:r>
    </w:p>
    <w:p w:rsidR="003B1438" w:rsidRPr="00242020" w:rsidRDefault="003B1438" w:rsidP="003B1438">
      <w:pPr>
        <w:jc w:val="both"/>
        <w:rPr>
          <w:rFonts w:eastAsia="Calibri" w:cs="Times New Roman"/>
          <w:szCs w:val="28"/>
        </w:rPr>
      </w:pPr>
      <w:r w:rsidRPr="00242020">
        <w:rPr>
          <w:rFonts w:eastAsia="Calibri" w:cs="Times New Roman"/>
          <w:szCs w:val="28"/>
        </w:rPr>
        <w:t xml:space="preserve">Відповідно до річного кошторису Фонду, затвердженого Законом України «Про Державний бюджет України на 2016 рік», у паспорті бюджетної програми за </w:t>
      </w:r>
      <w:proofErr w:type="spellStart"/>
      <w:r w:rsidRPr="00242020">
        <w:rPr>
          <w:rFonts w:eastAsia="Calibri" w:cs="Times New Roman"/>
          <w:szCs w:val="28"/>
        </w:rPr>
        <w:t>КПКВК</w:t>
      </w:r>
      <w:proofErr w:type="spellEnd"/>
      <w:r w:rsidRPr="00242020">
        <w:rPr>
          <w:rFonts w:eastAsia="Calibri" w:cs="Times New Roman"/>
          <w:szCs w:val="28"/>
        </w:rPr>
        <w:t xml:space="preserve"> 6611020 «Заходи, пов’язані з проведенням приватизації державного майна» на 2016 рік загальним фондом державного бюджету було передбачено 20 000,0 тис. грн. Протягом року для забезпечення приватизації державного майна використано 11 317,</w:t>
      </w:r>
      <w:r w:rsidR="002151FC">
        <w:rPr>
          <w:rFonts w:eastAsia="Calibri" w:cs="Times New Roman"/>
          <w:szCs w:val="28"/>
        </w:rPr>
        <w:t>2</w:t>
      </w:r>
      <w:r w:rsidRPr="00242020">
        <w:rPr>
          <w:rFonts w:eastAsia="Calibri" w:cs="Times New Roman"/>
          <w:szCs w:val="28"/>
        </w:rPr>
        <w:t xml:space="preserve"> тис. грн.</w:t>
      </w:r>
    </w:p>
    <w:p w:rsidR="003B1438" w:rsidRPr="00242020" w:rsidRDefault="003B1438" w:rsidP="003B1438">
      <w:pPr>
        <w:jc w:val="both"/>
        <w:rPr>
          <w:rFonts w:eastAsia="Calibri" w:cs="Times New Roman"/>
          <w:szCs w:val="28"/>
        </w:rPr>
      </w:pPr>
      <w:r w:rsidRPr="00242020">
        <w:rPr>
          <w:rFonts w:eastAsia="Calibri" w:cs="Times New Roman"/>
          <w:szCs w:val="28"/>
        </w:rPr>
        <w:t xml:space="preserve">Інформацію стосовно видатків загального фонду державного бюджету на заходи, пов’язані з проведенням приватизації державного майна за 2016 рік, наведено в додатку 12. </w:t>
      </w:r>
    </w:p>
    <w:p w:rsidR="003B1438" w:rsidRPr="00242020" w:rsidRDefault="003B1438" w:rsidP="003B1438">
      <w:pPr>
        <w:jc w:val="both"/>
        <w:rPr>
          <w:rFonts w:eastAsia="Calibri" w:cs="Times New Roman"/>
          <w:szCs w:val="28"/>
        </w:rPr>
      </w:pPr>
      <w:r w:rsidRPr="00242020">
        <w:rPr>
          <w:rFonts w:eastAsia="Calibri" w:cs="Times New Roman"/>
          <w:szCs w:val="28"/>
        </w:rPr>
        <w:t xml:space="preserve">Інформацію про бюджет головного розпорядника бюджетних коштів за </w:t>
      </w:r>
      <w:proofErr w:type="spellStart"/>
      <w:r w:rsidRPr="00242020">
        <w:rPr>
          <w:rFonts w:eastAsia="Calibri" w:cs="Times New Roman"/>
          <w:szCs w:val="28"/>
        </w:rPr>
        <w:t>КВКВ</w:t>
      </w:r>
      <w:proofErr w:type="spellEnd"/>
      <w:r w:rsidRPr="00242020">
        <w:rPr>
          <w:rFonts w:eastAsia="Calibri" w:cs="Times New Roman"/>
          <w:szCs w:val="28"/>
        </w:rPr>
        <w:t xml:space="preserve"> 661 «Фонд державного майна України» за 2016 рік, яка буде публічно представлена Фондом відповідно до наказу Міністерства фінансів України від 01 грудня 2010 року № 1489 «Про затвердження Вимог та форм публічного представлення головними розпорядниками коштів державного бюджету інформації про бюджет», наведено в додатку 13.</w:t>
      </w:r>
    </w:p>
    <w:p w:rsidR="003B1438" w:rsidRPr="00242020" w:rsidRDefault="003B1438" w:rsidP="003B1438">
      <w:pPr>
        <w:widowControl/>
        <w:jc w:val="both"/>
        <w:rPr>
          <w:rFonts w:eastAsia="Times New Roman" w:cs="Times New Roman"/>
          <w:sz w:val="12"/>
          <w:szCs w:val="12"/>
          <w:lang w:eastAsia="ru-RU"/>
        </w:rPr>
      </w:pPr>
    </w:p>
    <w:p w:rsidR="0088199A" w:rsidRPr="00242020" w:rsidRDefault="0088199A" w:rsidP="0088199A">
      <w:pPr>
        <w:pStyle w:val="2"/>
        <w:rPr>
          <w:szCs w:val="28"/>
        </w:rPr>
      </w:pPr>
      <w:r w:rsidRPr="00242020">
        <w:t>2.4. Контроль за виконанням умов договорів купівлі-продажу об’єктів та аналіз результатів виконання покупцями взятих зобов’язань</w:t>
      </w:r>
    </w:p>
    <w:p w:rsidR="003B1438" w:rsidRPr="00242020" w:rsidRDefault="003B1438" w:rsidP="003B1438">
      <w:pPr>
        <w:widowControl/>
        <w:jc w:val="both"/>
        <w:rPr>
          <w:rFonts w:eastAsia="Times New Roman" w:cs="Times New Roman"/>
          <w:sz w:val="12"/>
          <w:szCs w:val="12"/>
          <w:lang w:eastAsia="ru-RU"/>
        </w:rPr>
      </w:pPr>
    </w:p>
    <w:p w:rsidR="002769BF" w:rsidRPr="00242020" w:rsidRDefault="002769BF" w:rsidP="00102753">
      <w:pPr>
        <w:jc w:val="both"/>
        <w:rPr>
          <w:rFonts w:eastAsia="Times New Roman" w:cs="Times New Roman"/>
          <w:szCs w:val="28"/>
          <w:lang w:eastAsia="ru-RU"/>
        </w:rPr>
      </w:pPr>
      <w:r w:rsidRPr="00242020">
        <w:rPr>
          <w:rFonts w:eastAsia="Times New Roman" w:cs="Times New Roman"/>
          <w:szCs w:val="28"/>
          <w:lang w:eastAsia="ru-RU"/>
        </w:rPr>
        <w:t xml:space="preserve">Контроль за виконанням умов договорів купівлі-продажу об’єктів та аналіз результатів виконання покупцями взятих зобов’язань органами приватизації здійснюються на виконання вимог статей 7 та 27 Закону України «Про приватизацію державного майна», постанови Кабінету Міністрів України від 31 травня 2012 року № 487 «Про затвердження Порядку здійснення контролю за виконанням зобов’язань, визначених умовами договорів купівлі-продажу об’єктів, приватизація яких проводиться на підставі рішень Кабінету Міністрів України», відповідно до Порядку здійснення контролю за виконанням умов договорів купівлі-продажу об’єктів приватизації державними органами приватизації, затвердженого наказом Фонду від 10 травня 2012 року № 631, зареєстрованим у Міністерстві юстиції України 24 травня 2012 року за </w:t>
      </w:r>
      <w:r w:rsidRPr="00242020">
        <w:rPr>
          <w:rFonts w:eastAsia="Times New Roman" w:cs="Times New Roman"/>
          <w:szCs w:val="28"/>
          <w:lang w:eastAsia="ru-RU"/>
        </w:rPr>
        <w:lastRenderedPageBreak/>
        <w:t>№ 815/21127, та згідно з щоквартальними графіками перевірок, затвердженими наказами Фонду та його регіональних відділень «Про організацію щоквартальних перевірок виконання умов договорів купівлі-продажу».</w:t>
      </w:r>
    </w:p>
    <w:p w:rsidR="002769BF" w:rsidRPr="00242020" w:rsidRDefault="002769BF" w:rsidP="00102753">
      <w:pPr>
        <w:jc w:val="both"/>
        <w:rPr>
          <w:rFonts w:eastAsia="Times New Roman" w:cs="Times New Roman"/>
          <w:szCs w:val="28"/>
          <w:lang w:eastAsia="ru-RU"/>
        </w:rPr>
      </w:pPr>
      <w:r w:rsidRPr="00242020">
        <w:rPr>
          <w:rFonts w:eastAsia="Times New Roman" w:cs="Times New Roman"/>
          <w:szCs w:val="28"/>
          <w:lang w:eastAsia="ru-RU"/>
        </w:rPr>
        <w:t xml:space="preserve">Станом на 01 січня 2017 року загальна кількість договорів купівлі-продажу державного майна, які перебувають на обліку органів приватизації, становить </w:t>
      </w:r>
      <w:r w:rsidRPr="00242020">
        <w:rPr>
          <w:rFonts w:eastAsia="Times New Roman" w:cs="Times New Roman"/>
          <w:b/>
          <w:szCs w:val="28"/>
          <w:lang w:eastAsia="ru-RU"/>
        </w:rPr>
        <w:t>12 466</w:t>
      </w:r>
      <w:r w:rsidRPr="00242020">
        <w:rPr>
          <w:rFonts w:eastAsia="Times New Roman" w:cs="Times New Roman"/>
          <w:szCs w:val="28"/>
          <w:lang w:eastAsia="ru-RU"/>
        </w:rPr>
        <w:t xml:space="preserve"> договорів, у тому числі:</w:t>
      </w:r>
    </w:p>
    <w:p w:rsidR="002769BF" w:rsidRPr="00242020" w:rsidRDefault="002769BF" w:rsidP="00102753">
      <w:pPr>
        <w:widowControl/>
        <w:numPr>
          <w:ilvl w:val="0"/>
          <w:numId w:val="5"/>
        </w:numPr>
        <w:tabs>
          <w:tab w:val="left" w:pos="1260"/>
        </w:tabs>
        <w:ind w:left="0" w:firstLine="720"/>
        <w:jc w:val="both"/>
        <w:rPr>
          <w:rFonts w:eastAsia="Times New Roman" w:cs="Times New Roman"/>
          <w:szCs w:val="24"/>
          <w:lang w:eastAsia="ru-RU"/>
        </w:rPr>
      </w:pPr>
      <w:r w:rsidRPr="00242020">
        <w:rPr>
          <w:rFonts w:eastAsia="Times New Roman" w:cs="Times New Roman"/>
          <w:szCs w:val="24"/>
          <w:lang w:eastAsia="ru-RU"/>
        </w:rPr>
        <w:t>пакетів акцій АТ – 1 080;</w:t>
      </w:r>
    </w:p>
    <w:p w:rsidR="002769BF" w:rsidRPr="00242020" w:rsidRDefault="002769BF" w:rsidP="00102753">
      <w:pPr>
        <w:widowControl/>
        <w:numPr>
          <w:ilvl w:val="0"/>
          <w:numId w:val="5"/>
        </w:numPr>
        <w:ind w:left="0" w:firstLine="720"/>
        <w:jc w:val="both"/>
        <w:rPr>
          <w:rFonts w:eastAsia="Times New Roman" w:cs="Times New Roman"/>
          <w:szCs w:val="24"/>
          <w:lang w:eastAsia="ru-RU"/>
        </w:rPr>
      </w:pPr>
      <w:r w:rsidRPr="00242020">
        <w:rPr>
          <w:rFonts w:eastAsia="Times New Roman" w:cs="Times New Roman"/>
          <w:szCs w:val="24"/>
          <w:lang w:eastAsia="ru-RU"/>
        </w:rPr>
        <w:t>об’єктів малої приватизації – 8 452;</w:t>
      </w:r>
    </w:p>
    <w:p w:rsidR="002769BF" w:rsidRPr="00242020" w:rsidRDefault="002769BF" w:rsidP="00102753">
      <w:pPr>
        <w:widowControl/>
        <w:numPr>
          <w:ilvl w:val="0"/>
          <w:numId w:val="5"/>
        </w:numPr>
        <w:ind w:left="0" w:firstLine="720"/>
        <w:jc w:val="both"/>
        <w:rPr>
          <w:rFonts w:eastAsia="Times New Roman" w:cs="Times New Roman"/>
          <w:szCs w:val="24"/>
          <w:lang w:eastAsia="ru-RU"/>
        </w:rPr>
      </w:pPr>
      <w:r w:rsidRPr="00242020">
        <w:rPr>
          <w:rFonts w:eastAsia="Times New Roman" w:cs="Times New Roman"/>
          <w:szCs w:val="24"/>
          <w:lang w:eastAsia="ru-RU"/>
        </w:rPr>
        <w:t>об’єктів незавершеного будівництва – 2 934.</w:t>
      </w:r>
    </w:p>
    <w:p w:rsidR="002769BF" w:rsidRPr="00242020" w:rsidRDefault="002769BF" w:rsidP="00102753">
      <w:pPr>
        <w:jc w:val="both"/>
        <w:rPr>
          <w:rFonts w:eastAsia="Times New Roman" w:cs="Times New Roman"/>
          <w:szCs w:val="28"/>
          <w:lang w:eastAsia="ru-RU"/>
        </w:rPr>
      </w:pPr>
      <w:r w:rsidRPr="00242020">
        <w:rPr>
          <w:rFonts w:eastAsia="Times New Roman" w:cs="Times New Roman"/>
          <w:szCs w:val="28"/>
          <w:lang w:eastAsia="ru-RU"/>
        </w:rPr>
        <w:t>На контролі органів приватизації станом на 01 січня 2017 року перебуває 696 договорів, на 01 січня 2016 року перебувало 739 договорів.</w:t>
      </w:r>
    </w:p>
    <w:p w:rsidR="002769BF" w:rsidRPr="00242020" w:rsidRDefault="002769BF" w:rsidP="00102753">
      <w:pPr>
        <w:jc w:val="both"/>
        <w:rPr>
          <w:rFonts w:eastAsia="Times New Roman" w:cs="Times New Roman"/>
          <w:szCs w:val="28"/>
          <w:lang w:eastAsia="ru-RU"/>
        </w:rPr>
      </w:pPr>
      <w:r w:rsidRPr="00242020">
        <w:rPr>
          <w:rFonts w:eastAsia="Times New Roman" w:cs="Times New Roman"/>
          <w:szCs w:val="28"/>
          <w:lang w:eastAsia="ru-RU"/>
        </w:rPr>
        <w:t>Зменшення кількості договорів купівлі-продажу, які перебувають на контролі, пов’язано із зняттям частини договорів з контролю у зв’язку з повним виконанням покупцями взятих на себе зобов’язань.</w:t>
      </w:r>
    </w:p>
    <w:p w:rsidR="002769BF" w:rsidRPr="00242020" w:rsidRDefault="002769BF" w:rsidP="00102753">
      <w:pPr>
        <w:jc w:val="both"/>
        <w:rPr>
          <w:rFonts w:eastAsia="Times New Roman" w:cs="Times New Roman"/>
          <w:color w:val="000000"/>
          <w:szCs w:val="28"/>
          <w:lang w:eastAsia="ru-RU"/>
        </w:rPr>
      </w:pPr>
      <w:r w:rsidRPr="00242020">
        <w:rPr>
          <w:rFonts w:eastAsia="Times New Roman" w:cs="Times New Roman"/>
          <w:color w:val="000000"/>
          <w:szCs w:val="28"/>
          <w:lang w:eastAsia="ru-RU"/>
        </w:rPr>
        <w:t>Також на загальну кількість договорів, що перебувають на контролі органів приватизації, вплинуло те, що кількість укладених договорів за звітний період є значно меншою за кількість договорів, знятих з контролю.</w:t>
      </w:r>
    </w:p>
    <w:p w:rsidR="002769BF" w:rsidRPr="00242020" w:rsidRDefault="002769BF" w:rsidP="00102753">
      <w:pPr>
        <w:jc w:val="both"/>
        <w:rPr>
          <w:rFonts w:eastAsia="Times New Roman" w:cs="Times New Roman"/>
          <w:color w:val="000000"/>
          <w:szCs w:val="28"/>
          <w:lang w:eastAsia="ru-RU"/>
        </w:rPr>
      </w:pPr>
      <w:r w:rsidRPr="00242020">
        <w:rPr>
          <w:rFonts w:eastAsia="Times New Roman" w:cs="Times New Roman"/>
          <w:szCs w:val="28"/>
          <w:lang w:eastAsia="ru-RU"/>
        </w:rPr>
        <w:t xml:space="preserve">Крім того, зменшення кількості договорів, </w:t>
      </w:r>
      <w:r w:rsidRPr="00242020">
        <w:rPr>
          <w:rFonts w:eastAsia="Times New Roman" w:cs="Times New Roman"/>
          <w:color w:val="000000"/>
          <w:szCs w:val="28"/>
          <w:lang w:eastAsia="ru-RU"/>
        </w:rPr>
        <w:t xml:space="preserve">що перебувають </w:t>
      </w:r>
      <w:r w:rsidRPr="00242020">
        <w:rPr>
          <w:rFonts w:eastAsia="Times New Roman" w:cs="Times New Roman"/>
          <w:szCs w:val="28"/>
          <w:lang w:eastAsia="ru-RU"/>
        </w:rPr>
        <w:t xml:space="preserve">на контролі, відбулося через </w:t>
      </w:r>
      <w:r w:rsidRPr="00242020">
        <w:rPr>
          <w:rFonts w:eastAsia="Times New Roman" w:cs="Times New Roman"/>
          <w:color w:val="000000"/>
          <w:sz w:val="22"/>
          <w:lang w:eastAsia="ru-RU"/>
        </w:rPr>
        <w:t xml:space="preserve"> </w:t>
      </w:r>
      <w:r w:rsidRPr="00242020">
        <w:rPr>
          <w:rFonts w:eastAsia="Times New Roman" w:cs="Times New Roman"/>
          <w:color w:val="000000"/>
          <w:szCs w:val="28"/>
          <w:lang w:eastAsia="ru-RU"/>
        </w:rPr>
        <w:t>ситуацію, яка склалася на Сході України, у зв’язку з чим за низкою договорів відсутній доступ до документів та безпосередньо до об’єктів приватизації. Після врегулювання ситуації контроль з боку органів приватизації буде поновлено.</w:t>
      </w:r>
    </w:p>
    <w:p w:rsidR="002769BF" w:rsidRPr="00242020" w:rsidRDefault="002769BF" w:rsidP="00102753">
      <w:pPr>
        <w:jc w:val="both"/>
        <w:rPr>
          <w:rFonts w:eastAsia="Times New Roman" w:cs="Times New Roman"/>
          <w:szCs w:val="28"/>
          <w:lang w:eastAsia="ru-RU"/>
        </w:rPr>
      </w:pPr>
      <w:r w:rsidRPr="00242020">
        <w:rPr>
          <w:rFonts w:eastAsia="Times New Roman" w:cs="Times New Roman"/>
          <w:szCs w:val="28"/>
          <w:lang w:eastAsia="ru-RU"/>
        </w:rPr>
        <w:t xml:space="preserve">За планом у 2016 році передбачалося здійснити </w:t>
      </w:r>
      <w:r w:rsidR="00410433">
        <w:rPr>
          <w:rFonts w:eastAsia="Times New Roman" w:cs="Times New Roman"/>
          <w:szCs w:val="28"/>
          <w:lang w:eastAsia="ru-RU"/>
        </w:rPr>
        <w:t xml:space="preserve">заходи контролю </w:t>
      </w:r>
      <w:r w:rsidRPr="00242020">
        <w:rPr>
          <w:rFonts w:eastAsia="Times New Roman" w:cs="Times New Roman"/>
          <w:szCs w:val="28"/>
          <w:lang w:eastAsia="ru-RU"/>
        </w:rPr>
        <w:t xml:space="preserve">за 772 договорами, але фактично здійснено </w:t>
      </w:r>
      <w:r w:rsidR="0045558F">
        <w:rPr>
          <w:rFonts w:eastAsia="Times New Roman" w:cs="Times New Roman"/>
          <w:szCs w:val="28"/>
          <w:lang w:eastAsia="ru-RU"/>
        </w:rPr>
        <w:t>–</w:t>
      </w:r>
      <w:r w:rsidR="00410433">
        <w:rPr>
          <w:rFonts w:eastAsia="Times New Roman" w:cs="Times New Roman"/>
          <w:szCs w:val="28"/>
          <w:lang w:eastAsia="ru-RU"/>
        </w:rPr>
        <w:t xml:space="preserve"> </w:t>
      </w:r>
      <w:r w:rsidRPr="00242020">
        <w:rPr>
          <w:rFonts w:eastAsia="Times New Roman" w:cs="Times New Roman"/>
          <w:szCs w:val="28"/>
          <w:lang w:eastAsia="ru-RU"/>
        </w:rPr>
        <w:t>за 727 договорами, що становить 94,2 % запланованих перевірок. Не здійснено заходів контролю за 45 договорами (5,8</w:t>
      </w:r>
      <w:r w:rsidR="008A65FE">
        <w:rPr>
          <w:rFonts w:eastAsia="Times New Roman" w:cs="Times New Roman"/>
          <w:szCs w:val="28"/>
          <w:lang w:eastAsia="ru-RU"/>
        </w:rPr>
        <w:t> </w:t>
      </w:r>
      <w:r w:rsidRPr="00242020">
        <w:rPr>
          <w:rFonts w:eastAsia="Times New Roman" w:cs="Times New Roman"/>
          <w:szCs w:val="28"/>
          <w:lang w:eastAsia="ru-RU"/>
        </w:rPr>
        <w:t>% запланованих перевірок).</w:t>
      </w:r>
    </w:p>
    <w:p w:rsidR="002769BF" w:rsidRPr="00242020" w:rsidRDefault="002769BF" w:rsidP="00102753">
      <w:pPr>
        <w:jc w:val="both"/>
        <w:rPr>
          <w:rFonts w:eastAsia="Times New Roman" w:cs="Times New Roman"/>
          <w:szCs w:val="28"/>
          <w:lang w:eastAsia="ru-RU"/>
        </w:rPr>
      </w:pPr>
      <w:r w:rsidRPr="00242020">
        <w:rPr>
          <w:rFonts w:eastAsia="Times New Roman" w:cs="Times New Roman"/>
          <w:szCs w:val="28"/>
          <w:lang w:eastAsia="ru-RU"/>
        </w:rPr>
        <w:t xml:space="preserve">Невиконання плану перевірок пов’язано з такими причинами. </w:t>
      </w:r>
    </w:p>
    <w:p w:rsidR="002769BF" w:rsidRPr="00242020" w:rsidRDefault="002769BF" w:rsidP="00102753">
      <w:pPr>
        <w:jc w:val="both"/>
        <w:rPr>
          <w:rFonts w:eastAsia="Times New Roman" w:cs="Times New Roman"/>
          <w:szCs w:val="28"/>
          <w:lang w:eastAsia="ru-RU"/>
        </w:rPr>
      </w:pPr>
      <w:r w:rsidRPr="00242020">
        <w:rPr>
          <w:rFonts w:eastAsia="Times New Roman" w:cs="Times New Roman"/>
          <w:szCs w:val="28"/>
          <w:lang w:eastAsia="ru-RU"/>
        </w:rPr>
        <w:t>1. Ситуація, яка склалася на Сході України, не дає змоги регіональним відділенням Фонду по Донецькій та Луганській областях здійснювати в повному обсязі контроль за виконанням умов за низкою договорів купівлі-продажу.</w:t>
      </w:r>
    </w:p>
    <w:p w:rsidR="002769BF" w:rsidRPr="00242020" w:rsidRDefault="002769BF" w:rsidP="00102753">
      <w:pPr>
        <w:jc w:val="both"/>
        <w:rPr>
          <w:rFonts w:eastAsia="Times New Roman" w:cs="Times New Roman"/>
          <w:szCs w:val="28"/>
          <w:lang w:eastAsia="ru-RU"/>
        </w:rPr>
      </w:pPr>
      <w:r w:rsidRPr="00242020">
        <w:rPr>
          <w:rFonts w:eastAsia="Times New Roman" w:cs="Times New Roman"/>
          <w:szCs w:val="28"/>
          <w:lang w:eastAsia="ru-RU"/>
        </w:rPr>
        <w:t xml:space="preserve">2. Перенесення заходів з контролю за договорами купівлі-продажу об’єктів приватизації на 2017 рік. </w:t>
      </w:r>
    </w:p>
    <w:p w:rsidR="002769BF" w:rsidRPr="00242020" w:rsidRDefault="002769BF" w:rsidP="00102753">
      <w:pPr>
        <w:jc w:val="both"/>
        <w:rPr>
          <w:rFonts w:eastAsia="Times New Roman" w:cs="Times New Roman"/>
          <w:szCs w:val="28"/>
          <w:lang w:eastAsia="ru-RU"/>
        </w:rPr>
      </w:pPr>
      <w:r w:rsidRPr="00242020">
        <w:rPr>
          <w:rFonts w:eastAsia="Times New Roman" w:cs="Times New Roman"/>
          <w:szCs w:val="28"/>
          <w:lang w:eastAsia="ru-RU"/>
        </w:rPr>
        <w:t>За звітний період органами приватизації перевірено 60 договорів купівлі-продажу пакетів акцій, 353 договори купівлі-продажу об’єктів малої приватизації та 314 договорів купівлі-продажу об’єктів незавершеного будівництва.</w:t>
      </w:r>
    </w:p>
    <w:p w:rsidR="002769BF" w:rsidRPr="00242020" w:rsidRDefault="002769BF" w:rsidP="00102753">
      <w:pPr>
        <w:jc w:val="both"/>
        <w:rPr>
          <w:rFonts w:eastAsia="Times New Roman" w:cs="Times New Roman"/>
          <w:szCs w:val="28"/>
          <w:lang w:eastAsia="ru-RU"/>
        </w:rPr>
      </w:pPr>
      <w:r w:rsidRPr="00242020">
        <w:rPr>
          <w:rFonts w:eastAsia="Times New Roman" w:cs="Times New Roman"/>
          <w:szCs w:val="28"/>
          <w:lang w:eastAsia="ru-RU"/>
        </w:rPr>
        <w:t>За результатами перевірок, здійснених протягом 2016 року, умови в повному обсязі виконано за 99 договорами купівлі-продажу об’єктів малої приватизації, 16 договорами купівлі-продажу об’єктів незавершеного будівництва та 10 договорами купівлі-продажу пакетів акцій. Зазначені договори знято з контролю.</w:t>
      </w:r>
    </w:p>
    <w:p w:rsidR="002769BF" w:rsidRPr="00242020" w:rsidRDefault="002769BF" w:rsidP="00102753">
      <w:pPr>
        <w:jc w:val="both"/>
        <w:rPr>
          <w:rFonts w:eastAsia="Times New Roman" w:cs="Times New Roman"/>
          <w:szCs w:val="28"/>
          <w:lang w:eastAsia="ru-RU"/>
        </w:rPr>
      </w:pPr>
      <w:r w:rsidRPr="00242020">
        <w:rPr>
          <w:rFonts w:eastAsia="Times New Roman" w:cs="Times New Roman"/>
          <w:szCs w:val="28"/>
          <w:lang w:eastAsia="ru-RU"/>
        </w:rPr>
        <w:t xml:space="preserve">За результатами контролю невиконання умов встановлено за 105 договорами, що становить 14,4 % загальної кількості перевірених договорів (у 2015 році було зафіксовано невиконання за 94 договорами, що становило </w:t>
      </w:r>
      <w:r w:rsidRPr="00242020">
        <w:rPr>
          <w:rFonts w:eastAsia="Times New Roman" w:cs="Times New Roman"/>
          <w:szCs w:val="28"/>
          <w:lang w:eastAsia="ru-RU"/>
        </w:rPr>
        <w:lastRenderedPageBreak/>
        <w:t xml:space="preserve">13,4 % перевірених). </w:t>
      </w:r>
    </w:p>
    <w:p w:rsidR="002769BF" w:rsidRPr="00242020" w:rsidRDefault="002769BF" w:rsidP="00102753">
      <w:pPr>
        <w:jc w:val="both"/>
        <w:rPr>
          <w:rFonts w:eastAsia="Times New Roman" w:cs="Times New Roman"/>
          <w:szCs w:val="28"/>
          <w:lang w:eastAsia="ru-RU"/>
        </w:rPr>
      </w:pPr>
      <w:r w:rsidRPr="00242020">
        <w:rPr>
          <w:rFonts w:eastAsia="Times New Roman" w:cs="Times New Roman"/>
          <w:szCs w:val="28"/>
          <w:lang w:eastAsia="ru-RU"/>
        </w:rPr>
        <w:t xml:space="preserve">Перевірками встановлено, що більшість договірних зобов’язань належним чином виконуються покупцями. Разом з тим за низкою договорів було допущено порушення відповідних умов (таблиця 2.1). </w:t>
      </w:r>
    </w:p>
    <w:p w:rsidR="002769BF" w:rsidRPr="00242020" w:rsidRDefault="002769BF" w:rsidP="002769BF">
      <w:pPr>
        <w:jc w:val="right"/>
        <w:rPr>
          <w:rFonts w:eastAsia="Times New Roman" w:cs="Times New Roman"/>
          <w:b/>
          <w:sz w:val="24"/>
          <w:szCs w:val="24"/>
          <w:lang w:eastAsia="ru-RU"/>
        </w:rPr>
      </w:pPr>
      <w:r w:rsidRPr="00242020">
        <w:rPr>
          <w:rFonts w:eastAsia="Times New Roman" w:cs="Times New Roman"/>
          <w:b/>
          <w:sz w:val="24"/>
          <w:szCs w:val="24"/>
          <w:lang w:eastAsia="ru-RU"/>
        </w:rPr>
        <w:t>Таблиця 2.1</w:t>
      </w:r>
    </w:p>
    <w:p w:rsidR="002769BF" w:rsidRPr="00242020" w:rsidRDefault="002769BF" w:rsidP="002769BF">
      <w:pPr>
        <w:ind w:firstLine="0"/>
        <w:jc w:val="center"/>
        <w:rPr>
          <w:rFonts w:eastAsia="Times New Roman" w:cs="Times New Roman"/>
          <w:b/>
          <w:szCs w:val="28"/>
          <w:lang w:eastAsia="ru-RU"/>
        </w:rPr>
      </w:pPr>
      <w:r w:rsidRPr="00242020">
        <w:rPr>
          <w:rFonts w:eastAsia="Times New Roman" w:cs="Times New Roman"/>
          <w:b/>
          <w:szCs w:val="28"/>
          <w:lang w:eastAsia="ru-RU"/>
        </w:rPr>
        <w:t>Найбільш характерні порушення договірних умов</w:t>
      </w:r>
    </w:p>
    <w:p w:rsidR="002769BF" w:rsidRPr="00242020" w:rsidRDefault="002769BF" w:rsidP="002769BF">
      <w:pPr>
        <w:ind w:firstLine="0"/>
        <w:jc w:val="center"/>
        <w:rPr>
          <w:rFonts w:eastAsia="Times New Roman" w:cs="Times New Roman"/>
          <w:b/>
          <w:sz w:val="10"/>
          <w:szCs w:val="10"/>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3"/>
        <w:gridCol w:w="1898"/>
        <w:gridCol w:w="1899"/>
      </w:tblGrid>
      <w:tr w:rsidR="002769BF" w:rsidRPr="00242020" w:rsidTr="002769BF">
        <w:tc>
          <w:tcPr>
            <w:tcW w:w="5563" w:type="dxa"/>
            <w:vAlign w:val="center"/>
          </w:tcPr>
          <w:p w:rsidR="002769BF" w:rsidRPr="00242020" w:rsidRDefault="002769BF" w:rsidP="002769BF">
            <w:pPr>
              <w:autoSpaceDE w:val="0"/>
              <w:autoSpaceDN w:val="0"/>
              <w:adjustRightInd w:val="0"/>
              <w:ind w:firstLine="0"/>
              <w:jc w:val="center"/>
              <w:rPr>
                <w:rFonts w:eastAsia="Times New Roman" w:cs="Times New Roman"/>
                <w:b/>
                <w:sz w:val="26"/>
                <w:szCs w:val="26"/>
                <w:lang w:eastAsia="ru-RU"/>
              </w:rPr>
            </w:pPr>
          </w:p>
          <w:p w:rsidR="002769BF" w:rsidRPr="00242020" w:rsidRDefault="002769BF" w:rsidP="002769BF">
            <w:pPr>
              <w:autoSpaceDE w:val="0"/>
              <w:autoSpaceDN w:val="0"/>
              <w:adjustRightInd w:val="0"/>
              <w:ind w:firstLine="0"/>
              <w:jc w:val="center"/>
              <w:rPr>
                <w:rFonts w:eastAsia="Times New Roman" w:cs="Times New Roman"/>
                <w:b/>
                <w:sz w:val="26"/>
                <w:szCs w:val="26"/>
                <w:lang w:eastAsia="ru-RU"/>
              </w:rPr>
            </w:pPr>
            <w:r w:rsidRPr="00242020">
              <w:rPr>
                <w:rFonts w:eastAsia="Times New Roman" w:cs="Times New Roman"/>
                <w:b/>
                <w:sz w:val="26"/>
                <w:szCs w:val="26"/>
                <w:lang w:eastAsia="ru-RU"/>
              </w:rPr>
              <w:t>Умови, за якими зафіксовано невиконання</w:t>
            </w:r>
          </w:p>
          <w:p w:rsidR="002769BF" w:rsidRPr="00242020" w:rsidRDefault="002769BF" w:rsidP="002769BF">
            <w:pPr>
              <w:autoSpaceDE w:val="0"/>
              <w:autoSpaceDN w:val="0"/>
              <w:adjustRightInd w:val="0"/>
              <w:ind w:firstLine="0"/>
              <w:jc w:val="center"/>
              <w:rPr>
                <w:rFonts w:eastAsia="Times New Roman" w:cs="Times New Roman"/>
                <w:b/>
                <w:sz w:val="26"/>
                <w:szCs w:val="26"/>
                <w:lang w:eastAsia="ru-RU"/>
              </w:rPr>
            </w:pPr>
          </w:p>
        </w:tc>
        <w:tc>
          <w:tcPr>
            <w:tcW w:w="1898" w:type="dxa"/>
          </w:tcPr>
          <w:p w:rsidR="002769BF" w:rsidRPr="00242020" w:rsidRDefault="002769BF" w:rsidP="002769BF">
            <w:pPr>
              <w:widowControl/>
              <w:ind w:left="-81" w:right="-65" w:firstLine="0"/>
              <w:jc w:val="center"/>
              <w:rPr>
                <w:rFonts w:eastAsia="Times New Roman" w:cs="Times New Roman"/>
                <w:b/>
                <w:sz w:val="26"/>
                <w:szCs w:val="26"/>
                <w:lang w:eastAsia="ru-RU"/>
              </w:rPr>
            </w:pPr>
          </w:p>
          <w:p w:rsidR="002769BF" w:rsidRPr="00242020" w:rsidRDefault="002769BF" w:rsidP="002769BF">
            <w:pPr>
              <w:widowControl/>
              <w:ind w:left="-81" w:right="-65" w:firstLine="0"/>
              <w:jc w:val="center"/>
              <w:rPr>
                <w:rFonts w:eastAsia="Times New Roman" w:cs="Times New Roman"/>
                <w:b/>
                <w:sz w:val="26"/>
                <w:szCs w:val="26"/>
                <w:lang w:eastAsia="ru-RU"/>
              </w:rPr>
            </w:pPr>
            <w:r w:rsidRPr="00242020">
              <w:rPr>
                <w:rFonts w:eastAsia="Times New Roman" w:cs="Times New Roman"/>
                <w:b/>
                <w:sz w:val="26"/>
                <w:szCs w:val="26"/>
                <w:lang w:eastAsia="ru-RU"/>
              </w:rPr>
              <w:t>2015 рік</w:t>
            </w:r>
          </w:p>
        </w:tc>
        <w:tc>
          <w:tcPr>
            <w:tcW w:w="1899" w:type="dxa"/>
          </w:tcPr>
          <w:p w:rsidR="002769BF" w:rsidRPr="00242020" w:rsidRDefault="002769BF" w:rsidP="002769BF">
            <w:pPr>
              <w:widowControl/>
              <w:ind w:left="-81" w:right="-65" w:firstLine="0"/>
              <w:jc w:val="center"/>
              <w:rPr>
                <w:rFonts w:eastAsia="Times New Roman" w:cs="Times New Roman"/>
                <w:b/>
                <w:sz w:val="26"/>
                <w:szCs w:val="26"/>
                <w:lang w:eastAsia="ru-RU"/>
              </w:rPr>
            </w:pPr>
          </w:p>
          <w:p w:rsidR="002769BF" w:rsidRPr="00242020" w:rsidRDefault="002769BF" w:rsidP="002769BF">
            <w:pPr>
              <w:widowControl/>
              <w:ind w:left="-81" w:right="-65" w:firstLine="0"/>
              <w:jc w:val="center"/>
              <w:rPr>
                <w:rFonts w:eastAsia="Times New Roman" w:cs="Times New Roman"/>
                <w:b/>
                <w:sz w:val="26"/>
                <w:szCs w:val="26"/>
                <w:lang w:eastAsia="ru-RU"/>
              </w:rPr>
            </w:pPr>
            <w:r w:rsidRPr="00242020">
              <w:rPr>
                <w:rFonts w:eastAsia="Times New Roman" w:cs="Times New Roman"/>
                <w:b/>
                <w:sz w:val="26"/>
                <w:szCs w:val="26"/>
                <w:lang w:eastAsia="ru-RU"/>
              </w:rPr>
              <w:t>2016 рік</w:t>
            </w:r>
          </w:p>
        </w:tc>
      </w:tr>
      <w:tr w:rsidR="002769BF" w:rsidRPr="00242020" w:rsidTr="002769BF">
        <w:tc>
          <w:tcPr>
            <w:tcW w:w="5563" w:type="dxa"/>
          </w:tcPr>
          <w:p w:rsidR="002769BF" w:rsidRPr="00242020" w:rsidRDefault="002769BF" w:rsidP="002769BF">
            <w:pPr>
              <w:autoSpaceDE w:val="0"/>
              <w:autoSpaceDN w:val="0"/>
              <w:adjustRightInd w:val="0"/>
              <w:ind w:firstLine="0"/>
              <w:rPr>
                <w:rFonts w:eastAsia="Times New Roman" w:cs="Times New Roman"/>
                <w:sz w:val="24"/>
                <w:szCs w:val="24"/>
                <w:lang w:eastAsia="ru-RU"/>
              </w:rPr>
            </w:pPr>
            <w:r w:rsidRPr="00242020">
              <w:rPr>
                <w:rFonts w:eastAsia="Times New Roman" w:cs="Times New Roman"/>
                <w:sz w:val="24"/>
                <w:szCs w:val="24"/>
                <w:lang w:eastAsia="ru-RU"/>
              </w:rPr>
              <w:t>Порушення терміну сплати за об’єкт</w:t>
            </w:r>
          </w:p>
        </w:tc>
        <w:tc>
          <w:tcPr>
            <w:tcW w:w="1898" w:type="dxa"/>
          </w:tcPr>
          <w:p w:rsidR="002769BF" w:rsidRPr="00242020" w:rsidRDefault="002769BF" w:rsidP="002769BF">
            <w:pPr>
              <w:autoSpaceDE w:val="0"/>
              <w:autoSpaceDN w:val="0"/>
              <w:adjustRightInd w:val="0"/>
              <w:ind w:firstLine="0"/>
              <w:jc w:val="center"/>
              <w:rPr>
                <w:rFonts w:eastAsia="Times New Roman" w:cs="Times New Roman"/>
                <w:sz w:val="24"/>
                <w:szCs w:val="24"/>
                <w:lang w:eastAsia="ru-RU"/>
              </w:rPr>
            </w:pPr>
            <w:r w:rsidRPr="00242020">
              <w:rPr>
                <w:rFonts w:eastAsia="Times New Roman" w:cs="Times New Roman"/>
                <w:sz w:val="24"/>
                <w:szCs w:val="24"/>
                <w:lang w:eastAsia="ru-RU"/>
              </w:rPr>
              <w:t>-</w:t>
            </w:r>
          </w:p>
        </w:tc>
        <w:tc>
          <w:tcPr>
            <w:tcW w:w="1899" w:type="dxa"/>
          </w:tcPr>
          <w:p w:rsidR="002769BF" w:rsidRPr="00242020" w:rsidRDefault="002769BF" w:rsidP="002769BF">
            <w:pPr>
              <w:autoSpaceDE w:val="0"/>
              <w:autoSpaceDN w:val="0"/>
              <w:adjustRightInd w:val="0"/>
              <w:ind w:firstLine="0"/>
              <w:jc w:val="center"/>
              <w:rPr>
                <w:rFonts w:eastAsia="Times New Roman" w:cs="Times New Roman"/>
                <w:sz w:val="24"/>
                <w:szCs w:val="24"/>
                <w:lang w:eastAsia="ru-RU"/>
              </w:rPr>
            </w:pPr>
            <w:r w:rsidRPr="00242020">
              <w:rPr>
                <w:rFonts w:eastAsia="Times New Roman" w:cs="Times New Roman"/>
                <w:sz w:val="24"/>
                <w:szCs w:val="24"/>
                <w:lang w:eastAsia="ru-RU"/>
              </w:rPr>
              <w:t>3</w:t>
            </w:r>
          </w:p>
        </w:tc>
      </w:tr>
      <w:tr w:rsidR="002769BF" w:rsidRPr="00242020" w:rsidTr="002769BF">
        <w:tc>
          <w:tcPr>
            <w:tcW w:w="5563" w:type="dxa"/>
          </w:tcPr>
          <w:p w:rsidR="002769BF" w:rsidRPr="00242020" w:rsidRDefault="002769BF" w:rsidP="002769BF">
            <w:pPr>
              <w:autoSpaceDE w:val="0"/>
              <w:autoSpaceDN w:val="0"/>
              <w:adjustRightInd w:val="0"/>
              <w:ind w:firstLine="0"/>
              <w:rPr>
                <w:rFonts w:eastAsia="Times New Roman" w:cs="Times New Roman"/>
                <w:sz w:val="24"/>
                <w:szCs w:val="24"/>
                <w:lang w:eastAsia="ru-RU"/>
              </w:rPr>
            </w:pPr>
            <w:r w:rsidRPr="00242020">
              <w:rPr>
                <w:rFonts w:eastAsia="Times New Roman" w:cs="Times New Roman"/>
                <w:sz w:val="24"/>
                <w:szCs w:val="24"/>
                <w:lang w:eastAsia="ru-RU"/>
              </w:rPr>
              <w:t>Завершення будівництва та введення об’єкта в експлуатацію</w:t>
            </w:r>
          </w:p>
        </w:tc>
        <w:tc>
          <w:tcPr>
            <w:tcW w:w="1898" w:type="dxa"/>
            <w:vAlign w:val="center"/>
          </w:tcPr>
          <w:p w:rsidR="002769BF" w:rsidRPr="00242020" w:rsidRDefault="002769BF" w:rsidP="002769BF">
            <w:pPr>
              <w:autoSpaceDE w:val="0"/>
              <w:autoSpaceDN w:val="0"/>
              <w:adjustRightInd w:val="0"/>
              <w:ind w:firstLine="0"/>
              <w:jc w:val="center"/>
              <w:rPr>
                <w:rFonts w:eastAsia="Times New Roman" w:cs="Times New Roman"/>
                <w:sz w:val="24"/>
                <w:szCs w:val="24"/>
                <w:lang w:eastAsia="ru-RU"/>
              </w:rPr>
            </w:pPr>
            <w:r w:rsidRPr="00242020">
              <w:rPr>
                <w:rFonts w:eastAsia="Times New Roman" w:cs="Times New Roman"/>
                <w:sz w:val="24"/>
                <w:szCs w:val="24"/>
                <w:lang w:eastAsia="ru-RU"/>
              </w:rPr>
              <w:t>37</w:t>
            </w:r>
          </w:p>
        </w:tc>
        <w:tc>
          <w:tcPr>
            <w:tcW w:w="1899" w:type="dxa"/>
            <w:vAlign w:val="center"/>
          </w:tcPr>
          <w:p w:rsidR="002769BF" w:rsidRPr="00242020" w:rsidRDefault="002769BF" w:rsidP="002769BF">
            <w:pPr>
              <w:autoSpaceDE w:val="0"/>
              <w:autoSpaceDN w:val="0"/>
              <w:adjustRightInd w:val="0"/>
              <w:ind w:firstLine="0"/>
              <w:jc w:val="center"/>
              <w:rPr>
                <w:rFonts w:eastAsia="Times New Roman" w:cs="Times New Roman"/>
                <w:sz w:val="24"/>
                <w:szCs w:val="24"/>
                <w:lang w:eastAsia="ru-RU"/>
              </w:rPr>
            </w:pPr>
            <w:r w:rsidRPr="00242020">
              <w:rPr>
                <w:rFonts w:eastAsia="Times New Roman" w:cs="Times New Roman"/>
                <w:sz w:val="24"/>
                <w:szCs w:val="24"/>
                <w:lang w:eastAsia="ru-RU"/>
              </w:rPr>
              <w:t>41</w:t>
            </w:r>
          </w:p>
        </w:tc>
      </w:tr>
      <w:tr w:rsidR="002769BF" w:rsidRPr="00242020" w:rsidTr="002769BF">
        <w:tc>
          <w:tcPr>
            <w:tcW w:w="5563" w:type="dxa"/>
          </w:tcPr>
          <w:p w:rsidR="002769BF" w:rsidRPr="00242020" w:rsidRDefault="002769BF" w:rsidP="002769BF">
            <w:pPr>
              <w:autoSpaceDE w:val="0"/>
              <w:autoSpaceDN w:val="0"/>
              <w:adjustRightInd w:val="0"/>
              <w:ind w:firstLine="0"/>
              <w:rPr>
                <w:rFonts w:eastAsia="Times New Roman" w:cs="Times New Roman"/>
                <w:sz w:val="24"/>
                <w:szCs w:val="24"/>
                <w:lang w:eastAsia="ru-RU"/>
              </w:rPr>
            </w:pPr>
            <w:r w:rsidRPr="00242020">
              <w:rPr>
                <w:rFonts w:eastAsia="Times New Roman" w:cs="Times New Roman"/>
                <w:sz w:val="24"/>
                <w:szCs w:val="24"/>
                <w:lang w:eastAsia="ru-RU"/>
              </w:rPr>
              <w:t>Ненадання документів, що підтверджують стан виконання умов договору</w:t>
            </w:r>
          </w:p>
        </w:tc>
        <w:tc>
          <w:tcPr>
            <w:tcW w:w="1898" w:type="dxa"/>
            <w:vAlign w:val="center"/>
          </w:tcPr>
          <w:p w:rsidR="002769BF" w:rsidRPr="00242020" w:rsidRDefault="002769BF" w:rsidP="002769BF">
            <w:pPr>
              <w:autoSpaceDE w:val="0"/>
              <w:autoSpaceDN w:val="0"/>
              <w:adjustRightInd w:val="0"/>
              <w:ind w:firstLine="0"/>
              <w:jc w:val="center"/>
              <w:rPr>
                <w:rFonts w:eastAsia="Times New Roman" w:cs="Times New Roman"/>
                <w:sz w:val="24"/>
                <w:szCs w:val="24"/>
                <w:lang w:eastAsia="ru-RU"/>
              </w:rPr>
            </w:pPr>
            <w:r w:rsidRPr="00242020">
              <w:rPr>
                <w:rFonts w:eastAsia="Times New Roman" w:cs="Times New Roman"/>
                <w:sz w:val="24"/>
                <w:szCs w:val="24"/>
                <w:lang w:eastAsia="ru-RU"/>
              </w:rPr>
              <w:t>35</w:t>
            </w:r>
          </w:p>
        </w:tc>
        <w:tc>
          <w:tcPr>
            <w:tcW w:w="1899" w:type="dxa"/>
            <w:vAlign w:val="center"/>
          </w:tcPr>
          <w:p w:rsidR="002769BF" w:rsidRPr="00242020" w:rsidRDefault="002769BF" w:rsidP="002769BF">
            <w:pPr>
              <w:autoSpaceDE w:val="0"/>
              <w:autoSpaceDN w:val="0"/>
              <w:adjustRightInd w:val="0"/>
              <w:ind w:firstLine="0"/>
              <w:jc w:val="center"/>
              <w:rPr>
                <w:rFonts w:eastAsia="Times New Roman" w:cs="Times New Roman"/>
                <w:sz w:val="24"/>
                <w:szCs w:val="24"/>
                <w:lang w:eastAsia="ru-RU"/>
              </w:rPr>
            </w:pPr>
            <w:r w:rsidRPr="00242020">
              <w:rPr>
                <w:rFonts w:eastAsia="Times New Roman" w:cs="Times New Roman"/>
                <w:sz w:val="24"/>
                <w:szCs w:val="24"/>
                <w:lang w:eastAsia="ru-RU"/>
              </w:rPr>
              <w:t>27</w:t>
            </w:r>
          </w:p>
        </w:tc>
      </w:tr>
      <w:tr w:rsidR="002769BF" w:rsidRPr="00242020" w:rsidTr="002769BF">
        <w:tc>
          <w:tcPr>
            <w:tcW w:w="5563" w:type="dxa"/>
          </w:tcPr>
          <w:p w:rsidR="002769BF" w:rsidRPr="00242020" w:rsidRDefault="002769BF" w:rsidP="002769BF">
            <w:pPr>
              <w:autoSpaceDE w:val="0"/>
              <w:autoSpaceDN w:val="0"/>
              <w:adjustRightInd w:val="0"/>
              <w:ind w:firstLine="0"/>
              <w:rPr>
                <w:rFonts w:eastAsia="Times New Roman" w:cs="Times New Roman"/>
                <w:sz w:val="24"/>
                <w:szCs w:val="24"/>
                <w:lang w:eastAsia="ru-RU"/>
              </w:rPr>
            </w:pPr>
            <w:r w:rsidRPr="00242020">
              <w:rPr>
                <w:rFonts w:eastAsia="Times New Roman" w:cs="Times New Roman"/>
                <w:sz w:val="24"/>
                <w:szCs w:val="24"/>
                <w:lang w:eastAsia="ru-RU"/>
              </w:rPr>
              <w:t>Переоформлення права забудовника</w:t>
            </w:r>
          </w:p>
        </w:tc>
        <w:tc>
          <w:tcPr>
            <w:tcW w:w="1898" w:type="dxa"/>
            <w:vAlign w:val="center"/>
          </w:tcPr>
          <w:p w:rsidR="002769BF" w:rsidRPr="00242020" w:rsidRDefault="002769BF" w:rsidP="002769BF">
            <w:pPr>
              <w:autoSpaceDE w:val="0"/>
              <w:autoSpaceDN w:val="0"/>
              <w:adjustRightInd w:val="0"/>
              <w:ind w:firstLine="0"/>
              <w:jc w:val="center"/>
              <w:rPr>
                <w:rFonts w:eastAsia="Times New Roman" w:cs="Times New Roman"/>
                <w:sz w:val="24"/>
                <w:szCs w:val="24"/>
                <w:lang w:eastAsia="ru-RU"/>
              </w:rPr>
            </w:pPr>
            <w:r w:rsidRPr="00242020">
              <w:rPr>
                <w:rFonts w:eastAsia="Times New Roman" w:cs="Times New Roman"/>
                <w:sz w:val="24"/>
                <w:szCs w:val="24"/>
                <w:lang w:eastAsia="ru-RU"/>
              </w:rPr>
              <w:t>11</w:t>
            </w:r>
          </w:p>
        </w:tc>
        <w:tc>
          <w:tcPr>
            <w:tcW w:w="1899" w:type="dxa"/>
            <w:vAlign w:val="center"/>
          </w:tcPr>
          <w:p w:rsidR="002769BF" w:rsidRPr="00242020" w:rsidRDefault="002769BF" w:rsidP="002769BF">
            <w:pPr>
              <w:autoSpaceDE w:val="0"/>
              <w:autoSpaceDN w:val="0"/>
              <w:adjustRightInd w:val="0"/>
              <w:ind w:firstLine="0"/>
              <w:jc w:val="center"/>
              <w:rPr>
                <w:rFonts w:eastAsia="Times New Roman" w:cs="Times New Roman"/>
                <w:sz w:val="24"/>
                <w:szCs w:val="24"/>
                <w:lang w:eastAsia="ru-RU"/>
              </w:rPr>
            </w:pPr>
            <w:r w:rsidRPr="00242020">
              <w:rPr>
                <w:rFonts w:eastAsia="Times New Roman" w:cs="Times New Roman"/>
                <w:sz w:val="24"/>
                <w:szCs w:val="24"/>
                <w:lang w:eastAsia="ru-RU"/>
              </w:rPr>
              <w:t>19</w:t>
            </w:r>
          </w:p>
        </w:tc>
      </w:tr>
      <w:tr w:rsidR="002769BF" w:rsidRPr="00242020" w:rsidTr="002769BF">
        <w:tc>
          <w:tcPr>
            <w:tcW w:w="5563" w:type="dxa"/>
          </w:tcPr>
          <w:p w:rsidR="002769BF" w:rsidRPr="00242020" w:rsidRDefault="002769BF" w:rsidP="002769BF">
            <w:pPr>
              <w:autoSpaceDE w:val="0"/>
              <w:autoSpaceDN w:val="0"/>
              <w:adjustRightInd w:val="0"/>
              <w:ind w:firstLine="0"/>
              <w:rPr>
                <w:rFonts w:eastAsia="Times New Roman" w:cs="Times New Roman"/>
                <w:sz w:val="24"/>
                <w:szCs w:val="24"/>
                <w:lang w:eastAsia="ru-RU"/>
              </w:rPr>
            </w:pPr>
            <w:r w:rsidRPr="00242020">
              <w:rPr>
                <w:rFonts w:eastAsia="Times New Roman" w:cs="Times New Roman"/>
                <w:sz w:val="24"/>
                <w:szCs w:val="24"/>
                <w:lang w:eastAsia="ru-RU"/>
              </w:rPr>
              <w:t>Порушення умови в частині переоформлення права на земельну ділянку</w:t>
            </w:r>
          </w:p>
        </w:tc>
        <w:tc>
          <w:tcPr>
            <w:tcW w:w="1898" w:type="dxa"/>
            <w:vAlign w:val="center"/>
          </w:tcPr>
          <w:p w:rsidR="002769BF" w:rsidRPr="00242020" w:rsidRDefault="002769BF" w:rsidP="002769BF">
            <w:pPr>
              <w:autoSpaceDE w:val="0"/>
              <w:autoSpaceDN w:val="0"/>
              <w:adjustRightInd w:val="0"/>
              <w:ind w:firstLine="0"/>
              <w:jc w:val="center"/>
              <w:rPr>
                <w:rFonts w:eastAsia="Times New Roman" w:cs="Times New Roman"/>
                <w:sz w:val="24"/>
                <w:szCs w:val="24"/>
                <w:lang w:eastAsia="ru-RU"/>
              </w:rPr>
            </w:pPr>
            <w:r w:rsidRPr="00242020">
              <w:rPr>
                <w:rFonts w:eastAsia="Times New Roman" w:cs="Times New Roman"/>
                <w:sz w:val="24"/>
                <w:szCs w:val="24"/>
                <w:lang w:eastAsia="ru-RU"/>
              </w:rPr>
              <w:t>17</w:t>
            </w:r>
          </w:p>
        </w:tc>
        <w:tc>
          <w:tcPr>
            <w:tcW w:w="1899" w:type="dxa"/>
            <w:vAlign w:val="center"/>
          </w:tcPr>
          <w:p w:rsidR="002769BF" w:rsidRPr="00242020" w:rsidRDefault="002769BF" w:rsidP="002769BF">
            <w:pPr>
              <w:autoSpaceDE w:val="0"/>
              <w:autoSpaceDN w:val="0"/>
              <w:adjustRightInd w:val="0"/>
              <w:ind w:firstLine="0"/>
              <w:jc w:val="center"/>
              <w:rPr>
                <w:rFonts w:eastAsia="Times New Roman" w:cs="Times New Roman"/>
                <w:sz w:val="24"/>
                <w:szCs w:val="24"/>
                <w:lang w:eastAsia="ru-RU"/>
              </w:rPr>
            </w:pPr>
            <w:r w:rsidRPr="00242020">
              <w:rPr>
                <w:rFonts w:eastAsia="Times New Roman" w:cs="Times New Roman"/>
                <w:sz w:val="24"/>
                <w:szCs w:val="24"/>
                <w:lang w:eastAsia="ru-RU"/>
              </w:rPr>
              <w:t>7</w:t>
            </w:r>
          </w:p>
        </w:tc>
      </w:tr>
      <w:tr w:rsidR="002769BF" w:rsidRPr="00242020" w:rsidTr="002769BF">
        <w:tc>
          <w:tcPr>
            <w:tcW w:w="5563" w:type="dxa"/>
          </w:tcPr>
          <w:p w:rsidR="002769BF" w:rsidRPr="00242020" w:rsidRDefault="002769BF" w:rsidP="002769BF">
            <w:pPr>
              <w:autoSpaceDE w:val="0"/>
              <w:autoSpaceDN w:val="0"/>
              <w:adjustRightInd w:val="0"/>
              <w:ind w:firstLine="0"/>
              <w:rPr>
                <w:rFonts w:eastAsia="Times New Roman" w:cs="Times New Roman"/>
                <w:sz w:val="24"/>
                <w:szCs w:val="24"/>
                <w:lang w:eastAsia="ru-RU"/>
              </w:rPr>
            </w:pPr>
            <w:r w:rsidRPr="00242020">
              <w:rPr>
                <w:rFonts w:eastAsia="Times New Roman" w:cs="Times New Roman"/>
                <w:sz w:val="24"/>
                <w:szCs w:val="24"/>
                <w:lang w:eastAsia="ru-RU"/>
              </w:rPr>
              <w:t>Змінено профіль діяльності</w:t>
            </w:r>
          </w:p>
        </w:tc>
        <w:tc>
          <w:tcPr>
            <w:tcW w:w="1898" w:type="dxa"/>
            <w:vAlign w:val="center"/>
          </w:tcPr>
          <w:p w:rsidR="002769BF" w:rsidRPr="00242020" w:rsidRDefault="002769BF" w:rsidP="002769BF">
            <w:pPr>
              <w:autoSpaceDE w:val="0"/>
              <w:autoSpaceDN w:val="0"/>
              <w:adjustRightInd w:val="0"/>
              <w:ind w:firstLine="0"/>
              <w:jc w:val="center"/>
              <w:rPr>
                <w:rFonts w:eastAsia="Times New Roman" w:cs="Times New Roman"/>
                <w:sz w:val="24"/>
                <w:szCs w:val="24"/>
                <w:lang w:eastAsia="ru-RU"/>
              </w:rPr>
            </w:pPr>
            <w:r w:rsidRPr="00242020">
              <w:rPr>
                <w:rFonts w:eastAsia="Times New Roman" w:cs="Times New Roman"/>
                <w:sz w:val="24"/>
                <w:szCs w:val="24"/>
                <w:lang w:eastAsia="ru-RU"/>
              </w:rPr>
              <w:t>4</w:t>
            </w:r>
          </w:p>
        </w:tc>
        <w:tc>
          <w:tcPr>
            <w:tcW w:w="1899" w:type="dxa"/>
            <w:vAlign w:val="center"/>
          </w:tcPr>
          <w:p w:rsidR="002769BF" w:rsidRPr="00242020" w:rsidRDefault="002769BF" w:rsidP="002769BF">
            <w:pPr>
              <w:autoSpaceDE w:val="0"/>
              <w:autoSpaceDN w:val="0"/>
              <w:adjustRightInd w:val="0"/>
              <w:ind w:firstLine="0"/>
              <w:jc w:val="center"/>
              <w:rPr>
                <w:rFonts w:eastAsia="Times New Roman" w:cs="Times New Roman"/>
                <w:sz w:val="24"/>
                <w:szCs w:val="24"/>
                <w:lang w:eastAsia="ru-RU"/>
              </w:rPr>
            </w:pPr>
            <w:r w:rsidRPr="00242020">
              <w:rPr>
                <w:rFonts w:eastAsia="Times New Roman" w:cs="Times New Roman"/>
                <w:sz w:val="24"/>
                <w:szCs w:val="24"/>
                <w:lang w:eastAsia="ru-RU"/>
              </w:rPr>
              <w:t>3</w:t>
            </w:r>
          </w:p>
        </w:tc>
      </w:tr>
      <w:tr w:rsidR="002769BF" w:rsidRPr="00242020" w:rsidTr="002769BF">
        <w:tc>
          <w:tcPr>
            <w:tcW w:w="5563" w:type="dxa"/>
          </w:tcPr>
          <w:p w:rsidR="002769BF" w:rsidRPr="00242020" w:rsidRDefault="002769BF" w:rsidP="002769BF">
            <w:pPr>
              <w:autoSpaceDE w:val="0"/>
              <w:autoSpaceDN w:val="0"/>
              <w:adjustRightInd w:val="0"/>
              <w:ind w:firstLine="0"/>
              <w:rPr>
                <w:rFonts w:eastAsia="Times New Roman" w:cs="Times New Roman"/>
                <w:sz w:val="24"/>
                <w:szCs w:val="24"/>
                <w:lang w:eastAsia="ru-RU"/>
              </w:rPr>
            </w:pPr>
            <w:r w:rsidRPr="00242020">
              <w:rPr>
                <w:rFonts w:eastAsia="Times New Roman" w:cs="Times New Roman"/>
                <w:sz w:val="24"/>
                <w:szCs w:val="24"/>
                <w:lang w:eastAsia="ru-RU"/>
              </w:rPr>
              <w:t>Порушення термінів розбирання об’єкта</w:t>
            </w:r>
          </w:p>
        </w:tc>
        <w:tc>
          <w:tcPr>
            <w:tcW w:w="1898" w:type="dxa"/>
            <w:vAlign w:val="center"/>
          </w:tcPr>
          <w:p w:rsidR="002769BF" w:rsidRPr="00242020" w:rsidRDefault="002769BF" w:rsidP="002769BF">
            <w:pPr>
              <w:autoSpaceDE w:val="0"/>
              <w:autoSpaceDN w:val="0"/>
              <w:adjustRightInd w:val="0"/>
              <w:ind w:firstLine="0"/>
              <w:jc w:val="center"/>
              <w:rPr>
                <w:rFonts w:eastAsia="Times New Roman" w:cs="Times New Roman"/>
                <w:sz w:val="24"/>
                <w:szCs w:val="24"/>
                <w:lang w:eastAsia="ru-RU"/>
              </w:rPr>
            </w:pPr>
            <w:r w:rsidRPr="00242020">
              <w:rPr>
                <w:rFonts w:eastAsia="Times New Roman" w:cs="Times New Roman"/>
                <w:sz w:val="24"/>
                <w:szCs w:val="24"/>
                <w:lang w:eastAsia="ru-RU"/>
              </w:rPr>
              <w:t>13</w:t>
            </w:r>
          </w:p>
        </w:tc>
        <w:tc>
          <w:tcPr>
            <w:tcW w:w="1899" w:type="dxa"/>
            <w:vAlign w:val="center"/>
          </w:tcPr>
          <w:p w:rsidR="002769BF" w:rsidRPr="00242020" w:rsidRDefault="002769BF" w:rsidP="002769BF">
            <w:pPr>
              <w:autoSpaceDE w:val="0"/>
              <w:autoSpaceDN w:val="0"/>
              <w:adjustRightInd w:val="0"/>
              <w:ind w:firstLine="0"/>
              <w:jc w:val="center"/>
              <w:rPr>
                <w:rFonts w:eastAsia="Times New Roman" w:cs="Times New Roman"/>
                <w:sz w:val="24"/>
                <w:szCs w:val="24"/>
                <w:lang w:eastAsia="ru-RU"/>
              </w:rPr>
            </w:pPr>
            <w:r w:rsidRPr="00242020">
              <w:rPr>
                <w:rFonts w:eastAsia="Times New Roman" w:cs="Times New Roman"/>
                <w:sz w:val="24"/>
                <w:szCs w:val="24"/>
                <w:lang w:eastAsia="ru-RU"/>
              </w:rPr>
              <w:t>4</w:t>
            </w:r>
          </w:p>
        </w:tc>
      </w:tr>
      <w:tr w:rsidR="002769BF" w:rsidRPr="00242020" w:rsidTr="002769BF">
        <w:tc>
          <w:tcPr>
            <w:tcW w:w="5563" w:type="dxa"/>
          </w:tcPr>
          <w:p w:rsidR="002769BF" w:rsidRPr="00242020" w:rsidRDefault="002769BF" w:rsidP="002769BF">
            <w:pPr>
              <w:widowControl/>
              <w:ind w:firstLine="0"/>
              <w:rPr>
                <w:rFonts w:eastAsia="Times New Roman" w:cs="Times New Roman"/>
                <w:sz w:val="24"/>
                <w:szCs w:val="24"/>
                <w:lang w:eastAsia="ru-RU"/>
              </w:rPr>
            </w:pPr>
            <w:r w:rsidRPr="00242020">
              <w:rPr>
                <w:rFonts w:eastAsia="Times New Roman" w:cs="Times New Roman"/>
                <w:sz w:val="24"/>
                <w:szCs w:val="24"/>
                <w:lang w:eastAsia="ru-RU"/>
              </w:rPr>
              <w:t>Упорядкування земельної ділянки та передача органам місцевого самоврядування</w:t>
            </w:r>
          </w:p>
        </w:tc>
        <w:tc>
          <w:tcPr>
            <w:tcW w:w="1898" w:type="dxa"/>
            <w:vAlign w:val="center"/>
          </w:tcPr>
          <w:p w:rsidR="002769BF" w:rsidRPr="00242020" w:rsidRDefault="002769BF" w:rsidP="002769BF">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w:t>
            </w:r>
          </w:p>
        </w:tc>
        <w:tc>
          <w:tcPr>
            <w:tcW w:w="1899" w:type="dxa"/>
            <w:vAlign w:val="center"/>
          </w:tcPr>
          <w:p w:rsidR="002769BF" w:rsidRPr="00242020" w:rsidRDefault="002769BF" w:rsidP="002769BF">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11</w:t>
            </w:r>
          </w:p>
        </w:tc>
      </w:tr>
      <w:tr w:rsidR="002769BF" w:rsidRPr="00242020" w:rsidTr="002769BF">
        <w:tc>
          <w:tcPr>
            <w:tcW w:w="5563" w:type="dxa"/>
          </w:tcPr>
          <w:p w:rsidR="002769BF" w:rsidRPr="00242020" w:rsidRDefault="002769BF" w:rsidP="002769BF">
            <w:pPr>
              <w:autoSpaceDE w:val="0"/>
              <w:autoSpaceDN w:val="0"/>
              <w:adjustRightInd w:val="0"/>
              <w:ind w:firstLine="0"/>
              <w:rPr>
                <w:rFonts w:eastAsia="Times New Roman" w:cs="Times New Roman"/>
                <w:sz w:val="24"/>
                <w:szCs w:val="24"/>
                <w:lang w:eastAsia="ru-RU"/>
              </w:rPr>
            </w:pPr>
            <w:r w:rsidRPr="00242020">
              <w:rPr>
                <w:rFonts w:eastAsia="Times New Roman" w:cs="Times New Roman"/>
                <w:sz w:val="24"/>
                <w:szCs w:val="24"/>
                <w:lang w:eastAsia="ru-RU"/>
              </w:rPr>
              <w:t>Порушення санітарних вимог та пожежних норм</w:t>
            </w:r>
          </w:p>
        </w:tc>
        <w:tc>
          <w:tcPr>
            <w:tcW w:w="1898" w:type="dxa"/>
            <w:vAlign w:val="center"/>
          </w:tcPr>
          <w:p w:rsidR="002769BF" w:rsidRPr="00242020" w:rsidRDefault="002769BF" w:rsidP="002769BF">
            <w:pPr>
              <w:autoSpaceDE w:val="0"/>
              <w:autoSpaceDN w:val="0"/>
              <w:adjustRightInd w:val="0"/>
              <w:ind w:firstLine="0"/>
              <w:jc w:val="center"/>
              <w:rPr>
                <w:rFonts w:eastAsia="Times New Roman" w:cs="Times New Roman"/>
                <w:sz w:val="24"/>
                <w:szCs w:val="24"/>
                <w:lang w:eastAsia="ru-RU"/>
              </w:rPr>
            </w:pPr>
            <w:r w:rsidRPr="00242020">
              <w:rPr>
                <w:rFonts w:eastAsia="Times New Roman" w:cs="Times New Roman"/>
                <w:sz w:val="24"/>
                <w:szCs w:val="24"/>
                <w:lang w:eastAsia="ru-RU"/>
              </w:rPr>
              <w:t>16</w:t>
            </w:r>
          </w:p>
        </w:tc>
        <w:tc>
          <w:tcPr>
            <w:tcW w:w="1899" w:type="dxa"/>
            <w:vAlign w:val="center"/>
          </w:tcPr>
          <w:p w:rsidR="002769BF" w:rsidRPr="00242020" w:rsidRDefault="002769BF" w:rsidP="002769BF">
            <w:pPr>
              <w:autoSpaceDE w:val="0"/>
              <w:autoSpaceDN w:val="0"/>
              <w:adjustRightInd w:val="0"/>
              <w:ind w:firstLine="0"/>
              <w:jc w:val="center"/>
              <w:rPr>
                <w:rFonts w:eastAsia="Times New Roman" w:cs="Times New Roman"/>
                <w:sz w:val="24"/>
                <w:szCs w:val="24"/>
                <w:lang w:eastAsia="ru-RU"/>
              </w:rPr>
            </w:pPr>
            <w:r w:rsidRPr="00242020">
              <w:rPr>
                <w:rFonts w:eastAsia="Times New Roman" w:cs="Times New Roman"/>
                <w:sz w:val="24"/>
                <w:szCs w:val="24"/>
                <w:lang w:eastAsia="ru-RU"/>
              </w:rPr>
              <w:t>6</w:t>
            </w:r>
          </w:p>
        </w:tc>
      </w:tr>
      <w:tr w:rsidR="002769BF" w:rsidRPr="00242020" w:rsidTr="002769BF">
        <w:tc>
          <w:tcPr>
            <w:tcW w:w="5563" w:type="dxa"/>
          </w:tcPr>
          <w:p w:rsidR="002769BF" w:rsidRPr="00242020" w:rsidRDefault="002769BF" w:rsidP="002769BF">
            <w:pPr>
              <w:autoSpaceDE w:val="0"/>
              <w:autoSpaceDN w:val="0"/>
              <w:adjustRightInd w:val="0"/>
              <w:ind w:firstLine="0"/>
              <w:rPr>
                <w:rFonts w:eastAsia="Times New Roman" w:cs="Times New Roman"/>
                <w:sz w:val="24"/>
                <w:szCs w:val="24"/>
                <w:lang w:eastAsia="ru-RU"/>
              </w:rPr>
            </w:pPr>
            <w:r w:rsidRPr="00242020">
              <w:rPr>
                <w:rFonts w:eastAsia="Times New Roman" w:cs="Times New Roman"/>
                <w:color w:val="000000"/>
                <w:sz w:val="24"/>
                <w:szCs w:val="24"/>
                <w:lang w:eastAsia="ru-RU"/>
              </w:rPr>
              <w:t>Порушення вимог законодавства про охорону навколишнього середовища (екологія</w:t>
            </w:r>
            <w:r w:rsidRPr="00242020">
              <w:rPr>
                <w:rFonts w:eastAsia="Times New Roman" w:cs="Times New Roman"/>
                <w:sz w:val="24"/>
                <w:szCs w:val="24"/>
                <w:lang w:eastAsia="ru-RU"/>
              </w:rPr>
              <w:t>)</w:t>
            </w:r>
          </w:p>
        </w:tc>
        <w:tc>
          <w:tcPr>
            <w:tcW w:w="1898" w:type="dxa"/>
            <w:vAlign w:val="center"/>
          </w:tcPr>
          <w:p w:rsidR="002769BF" w:rsidRPr="00242020" w:rsidRDefault="002769BF" w:rsidP="002769BF">
            <w:pPr>
              <w:autoSpaceDE w:val="0"/>
              <w:autoSpaceDN w:val="0"/>
              <w:adjustRightInd w:val="0"/>
              <w:ind w:firstLine="0"/>
              <w:jc w:val="center"/>
              <w:rPr>
                <w:rFonts w:eastAsia="Times New Roman" w:cs="Times New Roman"/>
                <w:sz w:val="24"/>
                <w:szCs w:val="24"/>
                <w:lang w:eastAsia="ru-RU"/>
              </w:rPr>
            </w:pPr>
            <w:r w:rsidRPr="00242020">
              <w:rPr>
                <w:rFonts w:eastAsia="Times New Roman" w:cs="Times New Roman"/>
                <w:sz w:val="24"/>
                <w:szCs w:val="24"/>
                <w:lang w:eastAsia="ru-RU"/>
              </w:rPr>
              <w:t>-</w:t>
            </w:r>
          </w:p>
        </w:tc>
        <w:tc>
          <w:tcPr>
            <w:tcW w:w="1899" w:type="dxa"/>
            <w:vAlign w:val="center"/>
          </w:tcPr>
          <w:p w:rsidR="002769BF" w:rsidRPr="00242020" w:rsidRDefault="002769BF" w:rsidP="002769BF">
            <w:pPr>
              <w:autoSpaceDE w:val="0"/>
              <w:autoSpaceDN w:val="0"/>
              <w:adjustRightInd w:val="0"/>
              <w:ind w:firstLine="0"/>
              <w:jc w:val="center"/>
              <w:rPr>
                <w:rFonts w:eastAsia="Times New Roman" w:cs="Times New Roman"/>
                <w:sz w:val="24"/>
                <w:szCs w:val="24"/>
                <w:lang w:eastAsia="ru-RU"/>
              </w:rPr>
            </w:pPr>
            <w:r w:rsidRPr="00242020">
              <w:rPr>
                <w:rFonts w:eastAsia="Times New Roman" w:cs="Times New Roman"/>
                <w:sz w:val="24"/>
                <w:szCs w:val="24"/>
                <w:lang w:eastAsia="ru-RU"/>
              </w:rPr>
              <w:t>6</w:t>
            </w:r>
          </w:p>
        </w:tc>
      </w:tr>
      <w:tr w:rsidR="002769BF" w:rsidRPr="00242020" w:rsidTr="002769BF">
        <w:tc>
          <w:tcPr>
            <w:tcW w:w="5563" w:type="dxa"/>
          </w:tcPr>
          <w:p w:rsidR="002769BF" w:rsidRPr="00242020" w:rsidRDefault="002769BF" w:rsidP="002769BF">
            <w:pPr>
              <w:autoSpaceDE w:val="0"/>
              <w:autoSpaceDN w:val="0"/>
              <w:adjustRightInd w:val="0"/>
              <w:ind w:firstLine="0"/>
              <w:rPr>
                <w:rFonts w:eastAsia="Times New Roman" w:cs="Times New Roman"/>
                <w:sz w:val="24"/>
                <w:szCs w:val="24"/>
                <w:lang w:eastAsia="ru-RU"/>
              </w:rPr>
            </w:pPr>
            <w:r w:rsidRPr="00242020">
              <w:rPr>
                <w:rFonts w:eastAsia="Times New Roman" w:cs="Times New Roman"/>
                <w:sz w:val="24"/>
                <w:szCs w:val="24"/>
                <w:lang w:eastAsia="ru-RU"/>
              </w:rPr>
              <w:t>Відчуження об’єкта без згоди органу приватизації</w:t>
            </w:r>
          </w:p>
        </w:tc>
        <w:tc>
          <w:tcPr>
            <w:tcW w:w="1898" w:type="dxa"/>
            <w:vAlign w:val="center"/>
          </w:tcPr>
          <w:p w:rsidR="002769BF" w:rsidRPr="00242020" w:rsidRDefault="002769BF" w:rsidP="002769BF">
            <w:pPr>
              <w:autoSpaceDE w:val="0"/>
              <w:autoSpaceDN w:val="0"/>
              <w:adjustRightInd w:val="0"/>
              <w:ind w:firstLine="0"/>
              <w:jc w:val="center"/>
              <w:rPr>
                <w:rFonts w:eastAsia="Times New Roman" w:cs="Times New Roman"/>
                <w:sz w:val="24"/>
                <w:szCs w:val="24"/>
                <w:lang w:eastAsia="ru-RU"/>
              </w:rPr>
            </w:pPr>
            <w:r w:rsidRPr="00242020">
              <w:rPr>
                <w:rFonts w:eastAsia="Times New Roman" w:cs="Times New Roman"/>
                <w:sz w:val="24"/>
                <w:szCs w:val="24"/>
                <w:lang w:eastAsia="ru-RU"/>
              </w:rPr>
              <w:t>-</w:t>
            </w:r>
          </w:p>
        </w:tc>
        <w:tc>
          <w:tcPr>
            <w:tcW w:w="1899" w:type="dxa"/>
            <w:vAlign w:val="center"/>
          </w:tcPr>
          <w:p w:rsidR="002769BF" w:rsidRPr="00242020" w:rsidRDefault="002769BF" w:rsidP="002769BF">
            <w:pPr>
              <w:autoSpaceDE w:val="0"/>
              <w:autoSpaceDN w:val="0"/>
              <w:adjustRightInd w:val="0"/>
              <w:ind w:firstLine="0"/>
              <w:jc w:val="center"/>
              <w:rPr>
                <w:rFonts w:eastAsia="Times New Roman" w:cs="Times New Roman"/>
                <w:sz w:val="24"/>
                <w:szCs w:val="24"/>
                <w:lang w:eastAsia="ru-RU"/>
              </w:rPr>
            </w:pPr>
            <w:r w:rsidRPr="00242020">
              <w:rPr>
                <w:rFonts w:eastAsia="Times New Roman" w:cs="Times New Roman"/>
                <w:sz w:val="24"/>
                <w:szCs w:val="24"/>
                <w:lang w:eastAsia="ru-RU"/>
              </w:rPr>
              <w:t>1</w:t>
            </w:r>
          </w:p>
        </w:tc>
      </w:tr>
      <w:tr w:rsidR="002769BF" w:rsidRPr="00242020" w:rsidTr="002769BF">
        <w:tc>
          <w:tcPr>
            <w:tcW w:w="5563" w:type="dxa"/>
          </w:tcPr>
          <w:p w:rsidR="002769BF" w:rsidRPr="00242020" w:rsidRDefault="002769BF" w:rsidP="002769BF">
            <w:pPr>
              <w:autoSpaceDE w:val="0"/>
              <w:autoSpaceDN w:val="0"/>
              <w:adjustRightInd w:val="0"/>
              <w:ind w:firstLine="0"/>
              <w:rPr>
                <w:rFonts w:eastAsia="Times New Roman" w:cs="Times New Roman"/>
                <w:sz w:val="24"/>
                <w:szCs w:val="24"/>
                <w:lang w:eastAsia="ru-RU"/>
              </w:rPr>
            </w:pPr>
            <w:r w:rsidRPr="00242020">
              <w:rPr>
                <w:rFonts w:eastAsia="Times New Roman" w:cs="Times New Roman"/>
                <w:sz w:val="24"/>
                <w:szCs w:val="24"/>
                <w:lang w:eastAsia="ru-RU"/>
              </w:rPr>
              <w:t>Невнесені інвестиції</w:t>
            </w:r>
          </w:p>
        </w:tc>
        <w:tc>
          <w:tcPr>
            <w:tcW w:w="1898" w:type="dxa"/>
            <w:vAlign w:val="center"/>
          </w:tcPr>
          <w:p w:rsidR="002769BF" w:rsidRPr="00242020" w:rsidRDefault="002769BF" w:rsidP="002769BF">
            <w:pPr>
              <w:autoSpaceDE w:val="0"/>
              <w:autoSpaceDN w:val="0"/>
              <w:adjustRightInd w:val="0"/>
              <w:ind w:firstLine="0"/>
              <w:jc w:val="center"/>
              <w:rPr>
                <w:rFonts w:eastAsia="Times New Roman" w:cs="Times New Roman"/>
                <w:sz w:val="24"/>
                <w:szCs w:val="24"/>
                <w:lang w:eastAsia="ru-RU"/>
              </w:rPr>
            </w:pPr>
            <w:r w:rsidRPr="00242020">
              <w:rPr>
                <w:rFonts w:eastAsia="Times New Roman" w:cs="Times New Roman"/>
                <w:sz w:val="24"/>
                <w:szCs w:val="24"/>
                <w:lang w:eastAsia="ru-RU"/>
              </w:rPr>
              <w:t>6</w:t>
            </w:r>
          </w:p>
        </w:tc>
        <w:tc>
          <w:tcPr>
            <w:tcW w:w="1899" w:type="dxa"/>
            <w:vAlign w:val="center"/>
          </w:tcPr>
          <w:p w:rsidR="002769BF" w:rsidRPr="00242020" w:rsidRDefault="002769BF" w:rsidP="002769BF">
            <w:pPr>
              <w:autoSpaceDE w:val="0"/>
              <w:autoSpaceDN w:val="0"/>
              <w:adjustRightInd w:val="0"/>
              <w:ind w:firstLine="0"/>
              <w:jc w:val="center"/>
              <w:rPr>
                <w:rFonts w:eastAsia="Times New Roman" w:cs="Times New Roman"/>
                <w:sz w:val="24"/>
                <w:szCs w:val="24"/>
                <w:lang w:eastAsia="ru-RU"/>
              </w:rPr>
            </w:pPr>
            <w:r w:rsidRPr="00242020">
              <w:rPr>
                <w:rFonts w:eastAsia="Times New Roman" w:cs="Times New Roman"/>
                <w:sz w:val="24"/>
                <w:szCs w:val="24"/>
                <w:lang w:eastAsia="ru-RU"/>
              </w:rPr>
              <w:t>3</w:t>
            </w:r>
          </w:p>
        </w:tc>
      </w:tr>
      <w:tr w:rsidR="002769BF" w:rsidRPr="00242020" w:rsidTr="002769BF">
        <w:tc>
          <w:tcPr>
            <w:tcW w:w="5563" w:type="dxa"/>
          </w:tcPr>
          <w:p w:rsidR="002769BF" w:rsidRPr="00242020" w:rsidRDefault="002769BF" w:rsidP="002769BF">
            <w:pPr>
              <w:autoSpaceDE w:val="0"/>
              <w:autoSpaceDN w:val="0"/>
              <w:adjustRightInd w:val="0"/>
              <w:ind w:firstLine="0"/>
              <w:rPr>
                <w:rFonts w:eastAsia="Times New Roman" w:cs="Times New Roman"/>
                <w:sz w:val="24"/>
                <w:szCs w:val="24"/>
                <w:lang w:eastAsia="ru-RU"/>
              </w:rPr>
            </w:pPr>
            <w:r w:rsidRPr="00242020">
              <w:rPr>
                <w:rFonts w:eastAsia="Times New Roman" w:cs="Times New Roman"/>
                <w:sz w:val="24"/>
                <w:szCs w:val="24"/>
                <w:lang w:eastAsia="ru-RU"/>
              </w:rPr>
              <w:t>Недотримання термінів державної реєстрації нової форми власності</w:t>
            </w:r>
          </w:p>
        </w:tc>
        <w:tc>
          <w:tcPr>
            <w:tcW w:w="1898" w:type="dxa"/>
            <w:vAlign w:val="center"/>
          </w:tcPr>
          <w:p w:rsidR="002769BF" w:rsidRPr="00242020" w:rsidRDefault="002769BF" w:rsidP="002769BF">
            <w:pPr>
              <w:autoSpaceDE w:val="0"/>
              <w:autoSpaceDN w:val="0"/>
              <w:adjustRightInd w:val="0"/>
              <w:ind w:firstLine="0"/>
              <w:jc w:val="center"/>
              <w:rPr>
                <w:rFonts w:eastAsia="Times New Roman" w:cs="Times New Roman"/>
                <w:sz w:val="24"/>
                <w:szCs w:val="24"/>
                <w:lang w:eastAsia="ru-RU"/>
              </w:rPr>
            </w:pPr>
            <w:r w:rsidRPr="00242020">
              <w:rPr>
                <w:rFonts w:eastAsia="Times New Roman" w:cs="Times New Roman"/>
                <w:sz w:val="24"/>
                <w:szCs w:val="24"/>
                <w:lang w:eastAsia="ru-RU"/>
              </w:rPr>
              <w:t>-</w:t>
            </w:r>
          </w:p>
        </w:tc>
        <w:tc>
          <w:tcPr>
            <w:tcW w:w="1899" w:type="dxa"/>
            <w:vAlign w:val="center"/>
          </w:tcPr>
          <w:p w:rsidR="002769BF" w:rsidRPr="00242020" w:rsidRDefault="002769BF" w:rsidP="002769BF">
            <w:pPr>
              <w:autoSpaceDE w:val="0"/>
              <w:autoSpaceDN w:val="0"/>
              <w:adjustRightInd w:val="0"/>
              <w:ind w:firstLine="0"/>
              <w:jc w:val="center"/>
              <w:rPr>
                <w:rFonts w:eastAsia="Times New Roman" w:cs="Times New Roman"/>
                <w:sz w:val="24"/>
                <w:szCs w:val="24"/>
                <w:lang w:eastAsia="ru-RU"/>
              </w:rPr>
            </w:pPr>
            <w:r w:rsidRPr="00242020">
              <w:rPr>
                <w:rFonts w:eastAsia="Times New Roman" w:cs="Times New Roman"/>
                <w:sz w:val="24"/>
                <w:szCs w:val="24"/>
                <w:lang w:eastAsia="ru-RU"/>
              </w:rPr>
              <w:t>4</w:t>
            </w:r>
          </w:p>
        </w:tc>
      </w:tr>
      <w:tr w:rsidR="002769BF" w:rsidRPr="00242020" w:rsidTr="002769BF">
        <w:tc>
          <w:tcPr>
            <w:tcW w:w="5563" w:type="dxa"/>
          </w:tcPr>
          <w:p w:rsidR="002769BF" w:rsidRPr="00242020" w:rsidRDefault="002769BF" w:rsidP="002769BF">
            <w:pPr>
              <w:widowControl/>
              <w:ind w:firstLine="0"/>
              <w:rPr>
                <w:rFonts w:eastAsia="Times New Roman" w:cs="Times New Roman"/>
                <w:sz w:val="24"/>
                <w:szCs w:val="24"/>
                <w:lang w:eastAsia="ru-RU"/>
              </w:rPr>
            </w:pPr>
            <w:r w:rsidRPr="00242020">
              <w:rPr>
                <w:rFonts w:eastAsia="Times New Roman" w:cs="Times New Roman"/>
                <w:sz w:val="24"/>
                <w:szCs w:val="24"/>
                <w:lang w:eastAsia="ru-RU"/>
              </w:rPr>
              <w:t>Здійснення монтажу інженерного та енергетичного обладнання</w:t>
            </w:r>
          </w:p>
        </w:tc>
        <w:tc>
          <w:tcPr>
            <w:tcW w:w="1898" w:type="dxa"/>
            <w:vAlign w:val="center"/>
          </w:tcPr>
          <w:p w:rsidR="002769BF" w:rsidRPr="00242020" w:rsidRDefault="002769BF" w:rsidP="002769BF">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w:t>
            </w:r>
          </w:p>
        </w:tc>
        <w:tc>
          <w:tcPr>
            <w:tcW w:w="1899" w:type="dxa"/>
            <w:vAlign w:val="center"/>
          </w:tcPr>
          <w:p w:rsidR="002769BF" w:rsidRPr="00242020" w:rsidRDefault="002769BF" w:rsidP="002769BF">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1</w:t>
            </w:r>
          </w:p>
        </w:tc>
      </w:tr>
      <w:tr w:rsidR="002769BF" w:rsidRPr="00242020" w:rsidTr="002769BF">
        <w:tc>
          <w:tcPr>
            <w:tcW w:w="5563" w:type="dxa"/>
          </w:tcPr>
          <w:p w:rsidR="002769BF" w:rsidRPr="00242020" w:rsidRDefault="002769BF" w:rsidP="002769BF">
            <w:pPr>
              <w:widowControl/>
              <w:ind w:firstLine="0"/>
              <w:rPr>
                <w:rFonts w:eastAsia="Times New Roman" w:cs="Times New Roman"/>
                <w:sz w:val="24"/>
                <w:szCs w:val="24"/>
                <w:lang w:eastAsia="ru-RU"/>
              </w:rPr>
            </w:pPr>
            <w:r w:rsidRPr="00242020">
              <w:rPr>
                <w:rFonts w:eastAsia="Times New Roman" w:cs="Times New Roman"/>
                <w:sz w:val="24"/>
                <w:szCs w:val="24"/>
                <w:lang w:eastAsia="ru-RU"/>
              </w:rPr>
              <w:t>Створення робочих місць</w:t>
            </w:r>
          </w:p>
        </w:tc>
        <w:tc>
          <w:tcPr>
            <w:tcW w:w="1898" w:type="dxa"/>
            <w:vAlign w:val="center"/>
          </w:tcPr>
          <w:p w:rsidR="002769BF" w:rsidRPr="00242020" w:rsidRDefault="002769BF" w:rsidP="002769BF">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5</w:t>
            </w:r>
          </w:p>
        </w:tc>
        <w:tc>
          <w:tcPr>
            <w:tcW w:w="1899" w:type="dxa"/>
            <w:vAlign w:val="center"/>
          </w:tcPr>
          <w:p w:rsidR="002769BF" w:rsidRPr="00242020" w:rsidRDefault="002769BF" w:rsidP="002769BF">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2</w:t>
            </w:r>
          </w:p>
        </w:tc>
      </w:tr>
      <w:tr w:rsidR="002769BF" w:rsidRPr="00242020" w:rsidTr="002769BF">
        <w:tc>
          <w:tcPr>
            <w:tcW w:w="5563" w:type="dxa"/>
          </w:tcPr>
          <w:p w:rsidR="002769BF" w:rsidRPr="00242020" w:rsidRDefault="002769BF" w:rsidP="002769BF">
            <w:pPr>
              <w:widowControl/>
              <w:ind w:firstLine="0"/>
              <w:rPr>
                <w:rFonts w:eastAsia="Times New Roman" w:cs="Times New Roman"/>
                <w:sz w:val="24"/>
                <w:szCs w:val="24"/>
                <w:lang w:eastAsia="ru-RU"/>
              </w:rPr>
            </w:pPr>
            <w:r w:rsidRPr="00242020">
              <w:rPr>
                <w:rFonts w:eastAsia="Times New Roman" w:cs="Times New Roman"/>
                <w:sz w:val="24"/>
                <w:szCs w:val="24"/>
                <w:lang w:eastAsia="ru-RU"/>
              </w:rPr>
              <w:t>Утримання в належному стані державного майна</w:t>
            </w:r>
          </w:p>
        </w:tc>
        <w:tc>
          <w:tcPr>
            <w:tcW w:w="1898" w:type="dxa"/>
            <w:vAlign w:val="center"/>
          </w:tcPr>
          <w:p w:rsidR="002769BF" w:rsidRPr="00242020" w:rsidRDefault="002769BF" w:rsidP="002769BF">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w:t>
            </w:r>
          </w:p>
        </w:tc>
        <w:tc>
          <w:tcPr>
            <w:tcW w:w="1899" w:type="dxa"/>
            <w:vAlign w:val="center"/>
          </w:tcPr>
          <w:p w:rsidR="002769BF" w:rsidRPr="00242020" w:rsidRDefault="002769BF" w:rsidP="002769BF">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1</w:t>
            </w:r>
          </w:p>
        </w:tc>
      </w:tr>
      <w:tr w:rsidR="002769BF" w:rsidRPr="00242020" w:rsidTr="002769BF">
        <w:tc>
          <w:tcPr>
            <w:tcW w:w="5563" w:type="dxa"/>
          </w:tcPr>
          <w:p w:rsidR="002769BF" w:rsidRPr="00242020" w:rsidRDefault="002769BF" w:rsidP="002769BF">
            <w:pPr>
              <w:widowControl/>
              <w:ind w:firstLine="0"/>
              <w:rPr>
                <w:rFonts w:eastAsia="Times New Roman" w:cs="Times New Roman"/>
                <w:sz w:val="24"/>
                <w:szCs w:val="24"/>
                <w:lang w:eastAsia="ru-RU"/>
              </w:rPr>
            </w:pPr>
            <w:r w:rsidRPr="00242020">
              <w:rPr>
                <w:rFonts w:eastAsia="Times New Roman" w:cs="Times New Roman"/>
                <w:sz w:val="24"/>
                <w:szCs w:val="24"/>
                <w:lang w:eastAsia="ru-RU"/>
              </w:rPr>
              <w:t>Відновлення функціонування об’єкта</w:t>
            </w:r>
          </w:p>
        </w:tc>
        <w:tc>
          <w:tcPr>
            <w:tcW w:w="1898" w:type="dxa"/>
            <w:vAlign w:val="center"/>
          </w:tcPr>
          <w:p w:rsidR="002769BF" w:rsidRPr="00242020" w:rsidRDefault="002769BF" w:rsidP="002769BF">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w:t>
            </w:r>
          </w:p>
        </w:tc>
        <w:tc>
          <w:tcPr>
            <w:tcW w:w="1899" w:type="dxa"/>
            <w:vAlign w:val="center"/>
          </w:tcPr>
          <w:p w:rsidR="002769BF" w:rsidRPr="00242020" w:rsidRDefault="002769BF" w:rsidP="002769BF">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1</w:t>
            </w:r>
          </w:p>
        </w:tc>
      </w:tr>
    </w:tbl>
    <w:p w:rsidR="002769BF" w:rsidRPr="00242020" w:rsidRDefault="002769BF" w:rsidP="002769BF">
      <w:pPr>
        <w:widowControl/>
        <w:ind w:firstLine="720"/>
        <w:jc w:val="both"/>
        <w:rPr>
          <w:rFonts w:eastAsia="Times New Roman" w:cs="Times New Roman"/>
          <w:sz w:val="10"/>
          <w:szCs w:val="10"/>
          <w:lang w:eastAsia="ru-RU"/>
        </w:rPr>
      </w:pPr>
    </w:p>
    <w:p w:rsidR="002769BF" w:rsidRPr="00242020" w:rsidRDefault="002769BF" w:rsidP="002769BF">
      <w:pPr>
        <w:jc w:val="both"/>
        <w:rPr>
          <w:rFonts w:eastAsia="Times New Roman" w:cs="Times New Roman"/>
          <w:b/>
          <w:szCs w:val="28"/>
          <w:lang w:eastAsia="ru-RU"/>
        </w:rPr>
      </w:pPr>
      <w:r w:rsidRPr="00242020">
        <w:rPr>
          <w:rFonts w:eastAsia="Times New Roman" w:cs="Times New Roman"/>
          <w:color w:val="000000"/>
          <w:szCs w:val="28"/>
          <w:lang w:eastAsia="ru-RU"/>
        </w:rPr>
        <w:t xml:space="preserve">Протягом 2016 року </w:t>
      </w:r>
      <w:r w:rsidRPr="00242020">
        <w:rPr>
          <w:rFonts w:eastAsia="Times New Roman" w:cs="Times New Roman"/>
          <w:szCs w:val="28"/>
          <w:lang w:eastAsia="ru-RU"/>
        </w:rPr>
        <w:t xml:space="preserve">за 41 договором (5,6 % перевірених) об’єктів незавершеного будівництва зафіксовано порушення </w:t>
      </w:r>
      <w:r w:rsidRPr="00242020">
        <w:rPr>
          <w:rFonts w:eastAsia="Times New Roman" w:cs="Times New Roman"/>
          <w:b/>
          <w:szCs w:val="28"/>
          <w:lang w:eastAsia="ru-RU"/>
        </w:rPr>
        <w:t>термінів завершення будівництва та введення його в експлуатацію.</w:t>
      </w:r>
    </w:p>
    <w:p w:rsidR="002769BF" w:rsidRPr="00242020" w:rsidRDefault="002769BF" w:rsidP="002769BF">
      <w:pPr>
        <w:jc w:val="both"/>
        <w:rPr>
          <w:rFonts w:eastAsia="Times New Roman" w:cs="Times New Roman"/>
          <w:szCs w:val="28"/>
          <w:lang w:eastAsia="ru-RU"/>
        </w:rPr>
      </w:pPr>
      <w:r w:rsidRPr="00242020">
        <w:rPr>
          <w:rFonts w:eastAsia="Times New Roman" w:cs="Times New Roman"/>
          <w:szCs w:val="28"/>
          <w:lang w:eastAsia="ru-RU"/>
        </w:rPr>
        <w:t>Причинами невиконання цієї умови у більшості випадків є відсутність коштів для завершення будівництва, а також неможливість своєчасного оформлення правовстановлюючих документів на земельну ділянку.</w:t>
      </w:r>
    </w:p>
    <w:p w:rsidR="002769BF" w:rsidRPr="00242020" w:rsidRDefault="002769BF" w:rsidP="002769BF">
      <w:pPr>
        <w:jc w:val="both"/>
        <w:rPr>
          <w:rFonts w:eastAsia="Times New Roman" w:cs="Times New Roman"/>
          <w:szCs w:val="28"/>
          <w:lang w:eastAsia="ru-RU"/>
        </w:rPr>
      </w:pPr>
      <w:r w:rsidRPr="00242020">
        <w:rPr>
          <w:rFonts w:eastAsia="Times New Roman" w:cs="Times New Roman"/>
          <w:szCs w:val="28"/>
          <w:lang w:eastAsia="ru-RU"/>
        </w:rPr>
        <w:t xml:space="preserve">Також за 27 договорами (3,7 % перевірених) зафіксовано порушення в частині </w:t>
      </w:r>
      <w:r w:rsidRPr="00242020">
        <w:rPr>
          <w:rFonts w:eastAsia="Times New Roman" w:cs="Times New Roman"/>
          <w:b/>
          <w:szCs w:val="28"/>
          <w:lang w:eastAsia="ru-RU"/>
        </w:rPr>
        <w:t>ненадання документів, що підтверджують стан виконання умов договорів.</w:t>
      </w:r>
      <w:r w:rsidRPr="00242020">
        <w:rPr>
          <w:rFonts w:eastAsia="Times New Roman" w:cs="Times New Roman"/>
          <w:szCs w:val="28"/>
          <w:lang w:eastAsia="ru-RU"/>
        </w:rPr>
        <w:t xml:space="preserve"> У більшості випадків причиною зазначеного порушення є безвідповідальність покупців.</w:t>
      </w:r>
    </w:p>
    <w:p w:rsidR="002769BF" w:rsidRPr="00242020" w:rsidRDefault="002769BF" w:rsidP="002769BF">
      <w:pPr>
        <w:jc w:val="both"/>
        <w:rPr>
          <w:rFonts w:eastAsia="Times New Roman" w:cs="Times New Roman"/>
          <w:szCs w:val="28"/>
          <w:lang w:eastAsia="ru-RU"/>
        </w:rPr>
      </w:pPr>
      <w:r w:rsidRPr="00242020">
        <w:rPr>
          <w:rFonts w:eastAsia="Times New Roman" w:cs="Times New Roman"/>
          <w:szCs w:val="28"/>
          <w:lang w:eastAsia="ru-RU"/>
        </w:rPr>
        <w:t xml:space="preserve">Крім того, органами приватизації за 19 договорами (2,6 % перевірених) виявлено порушення виконання умов договорів </w:t>
      </w:r>
      <w:r w:rsidRPr="00242020">
        <w:rPr>
          <w:rFonts w:eastAsia="Times New Roman" w:cs="Times New Roman"/>
          <w:b/>
          <w:szCs w:val="28"/>
          <w:lang w:eastAsia="ru-RU"/>
        </w:rPr>
        <w:t xml:space="preserve">у частині переоформлення права забудовника. </w:t>
      </w:r>
      <w:r w:rsidRPr="00242020">
        <w:rPr>
          <w:rFonts w:eastAsia="Times New Roman" w:cs="Times New Roman"/>
          <w:szCs w:val="28"/>
          <w:lang w:eastAsia="ru-RU"/>
        </w:rPr>
        <w:t>Причиною зазначеного порушення є зволікання органів місцевого самоврядування з переоформлення документів.</w:t>
      </w:r>
    </w:p>
    <w:p w:rsidR="002769BF" w:rsidRPr="00242020" w:rsidRDefault="002769BF" w:rsidP="002769BF">
      <w:pPr>
        <w:jc w:val="both"/>
        <w:rPr>
          <w:rFonts w:eastAsia="Times New Roman" w:cs="Times New Roman"/>
          <w:szCs w:val="28"/>
          <w:lang w:eastAsia="ru-RU"/>
        </w:rPr>
      </w:pPr>
      <w:r w:rsidRPr="00242020">
        <w:rPr>
          <w:rFonts w:eastAsia="Times New Roman" w:cs="Times New Roman"/>
          <w:szCs w:val="28"/>
          <w:lang w:eastAsia="ru-RU"/>
        </w:rPr>
        <w:lastRenderedPageBreak/>
        <w:t xml:space="preserve">За 11 договорами </w:t>
      </w:r>
      <w:r w:rsidRPr="00242020">
        <w:rPr>
          <w:rFonts w:eastAsia="Times New Roman" w:cs="Times New Roman"/>
          <w:color w:val="000000"/>
          <w:szCs w:val="28"/>
          <w:lang w:eastAsia="ru-RU"/>
        </w:rPr>
        <w:t>(1,5 % перевірених)</w:t>
      </w:r>
      <w:r w:rsidRPr="00242020">
        <w:rPr>
          <w:rFonts w:eastAsia="Times New Roman" w:cs="Times New Roman"/>
          <w:szCs w:val="28"/>
          <w:lang w:eastAsia="ru-RU"/>
        </w:rPr>
        <w:t xml:space="preserve"> купівлі-продажу об’єктів приватизації</w:t>
      </w:r>
      <w:r w:rsidRPr="00242020">
        <w:rPr>
          <w:rFonts w:eastAsia="Times New Roman" w:cs="Times New Roman"/>
          <w:color w:val="000000"/>
          <w:szCs w:val="28"/>
          <w:lang w:eastAsia="ru-RU"/>
        </w:rPr>
        <w:t xml:space="preserve"> зафіксовано п</w:t>
      </w:r>
      <w:r w:rsidRPr="00242020">
        <w:rPr>
          <w:rFonts w:eastAsia="Times New Roman" w:cs="Times New Roman"/>
          <w:szCs w:val="28"/>
          <w:lang w:eastAsia="ru-RU"/>
        </w:rPr>
        <w:t xml:space="preserve">орушення в частині </w:t>
      </w:r>
      <w:r w:rsidRPr="00242020">
        <w:rPr>
          <w:rFonts w:eastAsia="Times New Roman" w:cs="Times New Roman"/>
          <w:b/>
          <w:szCs w:val="28"/>
          <w:lang w:eastAsia="ru-RU"/>
        </w:rPr>
        <w:t>термінів здачі земельної ділянки місцевим органам влади після розбирання</w:t>
      </w:r>
      <w:r w:rsidRPr="00242020">
        <w:rPr>
          <w:rFonts w:eastAsia="Times New Roman" w:cs="Times New Roman"/>
          <w:szCs w:val="28"/>
          <w:lang w:eastAsia="ru-RU"/>
        </w:rPr>
        <w:t>.</w:t>
      </w:r>
    </w:p>
    <w:p w:rsidR="002769BF" w:rsidRPr="00242020" w:rsidRDefault="002769BF" w:rsidP="002769BF">
      <w:pPr>
        <w:widowControl/>
        <w:jc w:val="both"/>
        <w:rPr>
          <w:rFonts w:eastAsia="Times New Roman" w:cs="Times New Roman"/>
          <w:szCs w:val="28"/>
          <w:lang w:eastAsia="ru-RU"/>
        </w:rPr>
      </w:pPr>
      <w:r w:rsidRPr="00242020">
        <w:rPr>
          <w:rFonts w:eastAsia="Times New Roman" w:cs="Times New Roman"/>
          <w:szCs w:val="28"/>
          <w:lang w:eastAsia="ru-RU"/>
        </w:rPr>
        <w:t xml:space="preserve">Також за 7 договорами </w:t>
      </w:r>
      <w:r w:rsidRPr="00242020">
        <w:rPr>
          <w:rFonts w:eastAsia="Times New Roman" w:cs="Times New Roman"/>
          <w:color w:val="000000"/>
          <w:szCs w:val="28"/>
          <w:lang w:eastAsia="ru-RU"/>
        </w:rPr>
        <w:t>(1 % перевірених)</w:t>
      </w:r>
      <w:r w:rsidRPr="00242020">
        <w:rPr>
          <w:rFonts w:eastAsia="Times New Roman" w:cs="Times New Roman"/>
          <w:i/>
          <w:szCs w:val="28"/>
          <w:lang w:eastAsia="ru-RU"/>
        </w:rPr>
        <w:t xml:space="preserve"> </w:t>
      </w:r>
      <w:r w:rsidRPr="00242020">
        <w:rPr>
          <w:rFonts w:eastAsia="Times New Roman" w:cs="Times New Roman"/>
          <w:szCs w:val="28"/>
          <w:lang w:eastAsia="ru-RU"/>
        </w:rPr>
        <w:t>зафіксовано порушення в</w:t>
      </w:r>
      <w:r w:rsidRPr="00242020">
        <w:rPr>
          <w:rFonts w:eastAsia="Times New Roman" w:cs="Times New Roman"/>
          <w:b/>
          <w:szCs w:val="28"/>
          <w:lang w:eastAsia="ru-RU"/>
        </w:rPr>
        <w:t xml:space="preserve"> </w:t>
      </w:r>
      <w:r w:rsidRPr="00242020">
        <w:rPr>
          <w:rFonts w:eastAsia="Times New Roman" w:cs="Times New Roman"/>
          <w:szCs w:val="28"/>
          <w:lang w:eastAsia="ru-RU"/>
        </w:rPr>
        <w:t xml:space="preserve">частині </w:t>
      </w:r>
      <w:r w:rsidRPr="00242020">
        <w:rPr>
          <w:rFonts w:eastAsia="Times New Roman" w:cs="Times New Roman"/>
          <w:b/>
          <w:szCs w:val="28"/>
          <w:lang w:eastAsia="ru-RU"/>
        </w:rPr>
        <w:t>переоформлення права на земельну ділянку</w:t>
      </w:r>
      <w:r w:rsidRPr="00242020">
        <w:rPr>
          <w:rFonts w:eastAsia="Times New Roman" w:cs="Times New Roman"/>
          <w:szCs w:val="28"/>
          <w:lang w:eastAsia="ru-RU"/>
        </w:rPr>
        <w:t>.</w:t>
      </w:r>
    </w:p>
    <w:p w:rsidR="002769BF" w:rsidRPr="00242020" w:rsidRDefault="002769BF" w:rsidP="002769BF">
      <w:pPr>
        <w:widowControl/>
        <w:jc w:val="both"/>
        <w:rPr>
          <w:rFonts w:eastAsia="Times New Roman" w:cs="Times New Roman"/>
          <w:b/>
          <w:szCs w:val="28"/>
          <w:lang w:eastAsia="ru-RU"/>
        </w:rPr>
      </w:pPr>
      <w:r w:rsidRPr="00242020">
        <w:rPr>
          <w:rFonts w:eastAsia="Times New Roman" w:cs="Times New Roman"/>
          <w:szCs w:val="28"/>
          <w:lang w:eastAsia="ru-RU"/>
        </w:rPr>
        <w:t xml:space="preserve">За 2 договорами (0,3 % перевірених) зафіксовано порушення </w:t>
      </w:r>
      <w:r w:rsidRPr="00242020">
        <w:rPr>
          <w:rFonts w:eastAsia="Times New Roman" w:cs="Times New Roman"/>
          <w:b/>
          <w:szCs w:val="28"/>
          <w:lang w:eastAsia="ru-RU"/>
        </w:rPr>
        <w:t>терміну реєстрації нерухомого майна</w:t>
      </w:r>
      <w:r w:rsidRPr="00242020">
        <w:rPr>
          <w:rFonts w:eastAsia="Times New Roman" w:cs="Times New Roman"/>
          <w:szCs w:val="28"/>
          <w:lang w:eastAsia="ru-RU"/>
        </w:rPr>
        <w:t xml:space="preserve">. </w:t>
      </w:r>
    </w:p>
    <w:p w:rsidR="002769BF" w:rsidRPr="00242020" w:rsidRDefault="002769BF" w:rsidP="002769BF">
      <w:pPr>
        <w:widowControl/>
        <w:tabs>
          <w:tab w:val="left" w:pos="720"/>
          <w:tab w:val="left" w:pos="900"/>
        </w:tabs>
        <w:jc w:val="both"/>
        <w:outlineLvl w:val="0"/>
        <w:rPr>
          <w:rFonts w:eastAsia="Times New Roman" w:cs="Times New Roman"/>
          <w:szCs w:val="28"/>
          <w:lang w:eastAsia="ru-RU"/>
        </w:rPr>
      </w:pPr>
      <w:r w:rsidRPr="00242020">
        <w:rPr>
          <w:rFonts w:eastAsia="Times New Roman" w:cs="Times New Roman"/>
          <w:szCs w:val="28"/>
          <w:lang w:eastAsia="ru-RU"/>
        </w:rPr>
        <w:t>Регіональним відділенням Фонду по Одеській області за договором купівлі-продажу ТОВ «</w:t>
      </w:r>
      <w:proofErr w:type="spellStart"/>
      <w:r w:rsidRPr="00242020">
        <w:rPr>
          <w:rFonts w:eastAsia="Times New Roman" w:cs="Times New Roman"/>
          <w:szCs w:val="28"/>
          <w:lang w:eastAsia="ru-RU"/>
        </w:rPr>
        <w:t>Ейр</w:t>
      </w:r>
      <w:proofErr w:type="spellEnd"/>
      <w:r w:rsidRPr="00242020">
        <w:rPr>
          <w:rFonts w:eastAsia="Times New Roman" w:cs="Times New Roman"/>
          <w:szCs w:val="28"/>
          <w:lang w:eastAsia="ru-RU"/>
        </w:rPr>
        <w:t xml:space="preserve"> Плюс» зафіксовано порушення в частині </w:t>
      </w:r>
      <w:r w:rsidRPr="00242020">
        <w:rPr>
          <w:rFonts w:eastAsia="Times New Roman" w:cs="Times New Roman"/>
          <w:b/>
          <w:szCs w:val="28"/>
          <w:lang w:eastAsia="ru-RU"/>
        </w:rPr>
        <w:t>утримання у належному стані державного майна</w:t>
      </w:r>
      <w:r w:rsidRPr="00242020">
        <w:rPr>
          <w:rFonts w:eastAsia="Times New Roman" w:cs="Times New Roman"/>
          <w:szCs w:val="28"/>
          <w:lang w:eastAsia="ru-RU"/>
        </w:rPr>
        <w:t xml:space="preserve">. </w:t>
      </w:r>
    </w:p>
    <w:p w:rsidR="002769BF" w:rsidRPr="00242020" w:rsidRDefault="002769BF" w:rsidP="002769BF">
      <w:pPr>
        <w:widowControl/>
        <w:jc w:val="both"/>
        <w:rPr>
          <w:rFonts w:eastAsia="Times New Roman" w:cs="Times New Roman"/>
          <w:b/>
          <w:szCs w:val="28"/>
          <w:lang w:eastAsia="ru-RU"/>
        </w:rPr>
      </w:pPr>
      <w:r w:rsidRPr="00242020">
        <w:rPr>
          <w:rFonts w:eastAsia="Times New Roman" w:cs="Times New Roman"/>
          <w:szCs w:val="28"/>
          <w:lang w:eastAsia="ru-RU"/>
        </w:rPr>
        <w:t>Причиною зазначених порушень є безвідповідальність та недобросовісність покупців.</w:t>
      </w:r>
    </w:p>
    <w:p w:rsidR="002769BF" w:rsidRPr="00242020" w:rsidRDefault="002769BF" w:rsidP="002769BF">
      <w:pPr>
        <w:widowControl/>
        <w:jc w:val="both"/>
        <w:rPr>
          <w:rFonts w:eastAsia="Times New Roman" w:cs="Times New Roman"/>
          <w:szCs w:val="28"/>
          <w:lang w:eastAsia="ru-RU"/>
        </w:rPr>
      </w:pPr>
      <w:r w:rsidRPr="00242020">
        <w:rPr>
          <w:rFonts w:eastAsia="Times New Roman" w:cs="Times New Roman"/>
          <w:szCs w:val="28"/>
          <w:lang w:eastAsia="ru-RU"/>
        </w:rPr>
        <w:t xml:space="preserve">Також за результатами перевірки договору купівлі-продажу </w:t>
      </w:r>
      <w:proofErr w:type="spellStart"/>
      <w:r w:rsidRPr="00242020">
        <w:rPr>
          <w:rFonts w:eastAsia="Times New Roman" w:cs="Times New Roman"/>
          <w:szCs w:val="28"/>
          <w:lang w:eastAsia="ru-RU"/>
        </w:rPr>
        <w:t>ЄМК</w:t>
      </w:r>
      <w:proofErr w:type="spellEnd"/>
      <w:r w:rsidRPr="00242020">
        <w:rPr>
          <w:rFonts w:eastAsia="Times New Roman" w:cs="Times New Roman"/>
          <w:szCs w:val="28"/>
          <w:lang w:eastAsia="ru-RU"/>
        </w:rPr>
        <w:t xml:space="preserve"> державного підприємства «Науково-дослідний технологічний інститут «ТЕМП» Регіональним відділенням Фонду по Одеській області зафіксовано неналежне виконання умови щодо </w:t>
      </w:r>
      <w:r w:rsidRPr="00242020">
        <w:rPr>
          <w:rFonts w:eastAsia="Times New Roman" w:cs="Times New Roman"/>
          <w:b/>
          <w:szCs w:val="28"/>
          <w:lang w:eastAsia="ru-RU"/>
        </w:rPr>
        <w:t>фінансування робіт, передбачених договором, з проведення капітального ремонту будівлі та благоустрою території</w:t>
      </w:r>
      <w:r w:rsidRPr="00242020">
        <w:rPr>
          <w:rFonts w:eastAsia="Times New Roman" w:cs="Times New Roman"/>
          <w:szCs w:val="28"/>
          <w:lang w:eastAsia="ru-RU"/>
        </w:rPr>
        <w:t xml:space="preserve">. </w:t>
      </w:r>
    </w:p>
    <w:p w:rsidR="002769BF" w:rsidRPr="00242020" w:rsidRDefault="002769BF" w:rsidP="002769BF">
      <w:pPr>
        <w:widowControl/>
        <w:jc w:val="both"/>
        <w:outlineLvl w:val="0"/>
        <w:rPr>
          <w:rFonts w:eastAsia="Times New Roman" w:cs="Times New Roman"/>
          <w:szCs w:val="28"/>
          <w:lang w:eastAsia="ru-RU"/>
        </w:rPr>
      </w:pPr>
      <w:r w:rsidRPr="00242020">
        <w:rPr>
          <w:rFonts w:eastAsia="Times New Roman" w:cs="Times New Roman"/>
          <w:szCs w:val="28"/>
          <w:lang w:eastAsia="ru-RU"/>
        </w:rPr>
        <w:t xml:space="preserve">Порушення виконання умов договорів у </w:t>
      </w:r>
      <w:r w:rsidRPr="00242020">
        <w:rPr>
          <w:rFonts w:eastAsia="Times New Roman" w:cs="Times New Roman"/>
          <w:b/>
          <w:szCs w:val="28"/>
          <w:lang w:eastAsia="ru-RU"/>
        </w:rPr>
        <w:t>частині забезпечення розбирання об’єкта</w:t>
      </w:r>
      <w:r w:rsidRPr="00242020">
        <w:rPr>
          <w:rFonts w:eastAsia="Times New Roman" w:cs="Times New Roman"/>
          <w:szCs w:val="28"/>
          <w:lang w:eastAsia="ru-RU"/>
        </w:rPr>
        <w:t xml:space="preserve"> зафіксовано за 4 договорами (0,6 % перевірених).</w:t>
      </w:r>
    </w:p>
    <w:p w:rsidR="002769BF" w:rsidRPr="00242020" w:rsidRDefault="002769BF" w:rsidP="002769BF">
      <w:pPr>
        <w:widowControl/>
        <w:jc w:val="both"/>
        <w:outlineLvl w:val="0"/>
        <w:rPr>
          <w:rFonts w:eastAsia="Times New Roman" w:cs="Times New Roman"/>
          <w:szCs w:val="28"/>
          <w:lang w:eastAsia="ru-RU"/>
        </w:rPr>
      </w:pPr>
      <w:r w:rsidRPr="00242020">
        <w:rPr>
          <w:rFonts w:eastAsia="Times New Roman" w:cs="Times New Roman"/>
          <w:szCs w:val="28"/>
          <w:lang w:eastAsia="ru-RU"/>
        </w:rPr>
        <w:t xml:space="preserve">Наприклад, у Харківській області покупець відповідно до договору купівлі-продажу об’єкта </w:t>
      </w:r>
      <w:proofErr w:type="spellStart"/>
      <w:r w:rsidRPr="00242020">
        <w:rPr>
          <w:rFonts w:eastAsia="Times New Roman" w:cs="Times New Roman"/>
          <w:szCs w:val="28"/>
          <w:lang w:eastAsia="ru-RU"/>
        </w:rPr>
        <w:t>незавершенного</w:t>
      </w:r>
      <w:proofErr w:type="spellEnd"/>
      <w:r w:rsidRPr="00242020">
        <w:rPr>
          <w:rFonts w:eastAsia="Times New Roman" w:cs="Times New Roman"/>
          <w:szCs w:val="28"/>
          <w:lang w:eastAsia="ru-RU"/>
        </w:rPr>
        <w:t xml:space="preserve"> будівництва «Житловий будинок ВАТ «</w:t>
      </w:r>
      <w:proofErr w:type="spellStart"/>
      <w:r w:rsidRPr="00242020">
        <w:rPr>
          <w:rFonts w:eastAsia="Times New Roman" w:cs="Times New Roman"/>
          <w:szCs w:val="28"/>
          <w:lang w:eastAsia="ru-RU"/>
        </w:rPr>
        <w:t>Укргіпроруда</w:t>
      </w:r>
      <w:proofErr w:type="spellEnd"/>
      <w:r w:rsidRPr="00242020">
        <w:rPr>
          <w:rFonts w:eastAsia="Times New Roman" w:cs="Times New Roman"/>
          <w:szCs w:val="28"/>
          <w:lang w:eastAsia="ru-RU"/>
        </w:rPr>
        <w:t xml:space="preserve">» не здійснив відселення мешканців та знос житлового будинку. Регіональним відділенням Фонду по Харківській області подано позовну заяву до суду з вимогою розірвання договору купівлі-продажу та повернення об’єкта у державну власність. У ході розгляду судової справи сторони дійшли згоди щодо укладення мирової угоди, у результаті чого термін виконання зобов’язання перенесено до кінця 2017 року. </w:t>
      </w:r>
    </w:p>
    <w:p w:rsidR="002769BF" w:rsidRPr="00242020" w:rsidRDefault="002769BF" w:rsidP="002769BF">
      <w:pPr>
        <w:widowControl/>
        <w:jc w:val="both"/>
        <w:rPr>
          <w:rFonts w:eastAsia="Times New Roman" w:cs="Times New Roman"/>
          <w:b/>
          <w:szCs w:val="28"/>
          <w:lang w:eastAsia="ru-RU"/>
        </w:rPr>
      </w:pPr>
      <w:r w:rsidRPr="00242020">
        <w:rPr>
          <w:rFonts w:eastAsia="Times New Roman" w:cs="Times New Roman"/>
          <w:szCs w:val="28"/>
          <w:lang w:eastAsia="ru-RU"/>
        </w:rPr>
        <w:t xml:space="preserve">На виконання взятих зобов’язань власники приватизованих об’єктів (починаючи з 1995 року) забезпечили інвестування у підприємства України грошових коштів у сумі </w:t>
      </w:r>
      <w:r w:rsidRPr="00242020">
        <w:rPr>
          <w:rFonts w:eastAsia="Times New Roman" w:cs="Times New Roman"/>
          <w:b/>
          <w:szCs w:val="28"/>
          <w:lang w:eastAsia="ru-RU"/>
        </w:rPr>
        <w:t xml:space="preserve">16,73 </w:t>
      </w:r>
      <w:proofErr w:type="spellStart"/>
      <w:r w:rsidRPr="00242020">
        <w:rPr>
          <w:rFonts w:eastAsia="Times New Roman" w:cs="Times New Roman"/>
          <w:b/>
          <w:szCs w:val="28"/>
          <w:lang w:eastAsia="ru-RU"/>
        </w:rPr>
        <w:t>млрд</w:t>
      </w:r>
      <w:proofErr w:type="spellEnd"/>
      <w:r w:rsidRPr="00242020">
        <w:rPr>
          <w:rFonts w:eastAsia="Times New Roman" w:cs="Times New Roman"/>
          <w:b/>
          <w:szCs w:val="28"/>
          <w:lang w:eastAsia="ru-RU"/>
        </w:rPr>
        <w:t xml:space="preserve"> </w:t>
      </w:r>
      <w:proofErr w:type="spellStart"/>
      <w:r w:rsidRPr="00242020">
        <w:rPr>
          <w:rFonts w:eastAsia="Times New Roman" w:cs="Times New Roman"/>
          <w:b/>
          <w:szCs w:val="28"/>
          <w:lang w:eastAsia="ru-RU"/>
        </w:rPr>
        <w:t>грн</w:t>
      </w:r>
      <w:proofErr w:type="spellEnd"/>
      <w:r w:rsidRPr="00242020">
        <w:rPr>
          <w:rFonts w:eastAsia="Times New Roman" w:cs="Times New Roman"/>
          <w:b/>
          <w:szCs w:val="28"/>
          <w:lang w:eastAsia="ru-RU"/>
        </w:rPr>
        <w:t xml:space="preserve">, 2,08 </w:t>
      </w:r>
      <w:proofErr w:type="spellStart"/>
      <w:r w:rsidRPr="00242020">
        <w:rPr>
          <w:rFonts w:eastAsia="Times New Roman" w:cs="Times New Roman"/>
          <w:b/>
          <w:szCs w:val="28"/>
          <w:lang w:eastAsia="ru-RU"/>
        </w:rPr>
        <w:t>млрд</w:t>
      </w:r>
      <w:proofErr w:type="spellEnd"/>
      <w:r w:rsidRPr="00242020">
        <w:rPr>
          <w:rFonts w:eastAsia="Times New Roman" w:cs="Times New Roman"/>
          <w:b/>
          <w:szCs w:val="28"/>
          <w:lang w:eastAsia="ru-RU"/>
        </w:rPr>
        <w:t xml:space="preserve"> дол. США та 72 </w:t>
      </w:r>
      <w:proofErr w:type="spellStart"/>
      <w:r w:rsidRPr="00242020">
        <w:rPr>
          <w:rFonts w:eastAsia="Times New Roman" w:cs="Times New Roman"/>
          <w:b/>
          <w:szCs w:val="28"/>
          <w:lang w:eastAsia="ru-RU"/>
        </w:rPr>
        <w:t>млн</w:t>
      </w:r>
      <w:proofErr w:type="spellEnd"/>
      <w:r w:rsidRPr="00242020">
        <w:rPr>
          <w:rFonts w:eastAsia="Times New Roman" w:cs="Times New Roman"/>
          <w:b/>
          <w:szCs w:val="28"/>
          <w:lang w:eastAsia="ru-RU"/>
        </w:rPr>
        <w:t xml:space="preserve"> євро</w:t>
      </w:r>
      <w:r w:rsidRPr="00242020">
        <w:rPr>
          <w:rFonts w:eastAsia="Times New Roman" w:cs="Times New Roman"/>
          <w:szCs w:val="28"/>
          <w:lang w:eastAsia="ru-RU"/>
        </w:rPr>
        <w:t xml:space="preserve">, що в перерахунку на національну валюту становить </w:t>
      </w:r>
      <w:r w:rsidRPr="00242020">
        <w:rPr>
          <w:rFonts w:eastAsia="Times New Roman" w:cs="Times New Roman"/>
          <w:b/>
          <w:szCs w:val="28"/>
          <w:lang w:eastAsia="ru-RU"/>
        </w:rPr>
        <w:t>3</w:t>
      </w:r>
      <w:r w:rsidR="00085F86">
        <w:rPr>
          <w:rFonts w:eastAsia="Times New Roman" w:cs="Times New Roman"/>
          <w:b/>
          <w:szCs w:val="28"/>
          <w:lang w:eastAsia="ru-RU"/>
        </w:rPr>
        <w:t>1</w:t>
      </w:r>
      <w:r w:rsidRPr="00242020">
        <w:rPr>
          <w:rFonts w:eastAsia="Times New Roman" w:cs="Times New Roman"/>
          <w:b/>
          <w:szCs w:val="28"/>
          <w:lang w:eastAsia="ru-RU"/>
        </w:rPr>
        <w:t>,</w:t>
      </w:r>
      <w:r w:rsidR="00085F86">
        <w:rPr>
          <w:rFonts w:eastAsia="Times New Roman" w:cs="Times New Roman"/>
          <w:b/>
          <w:szCs w:val="28"/>
          <w:lang w:eastAsia="ru-RU"/>
        </w:rPr>
        <w:t>4</w:t>
      </w:r>
      <w:r w:rsidRPr="00242020">
        <w:rPr>
          <w:rFonts w:eastAsia="Times New Roman" w:cs="Times New Roman"/>
          <w:b/>
          <w:szCs w:val="28"/>
          <w:lang w:eastAsia="ru-RU"/>
        </w:rPr>
        <w:t xml:space="preserve">5 </w:t>
      </w:r>
      <w:proofErr w:type="spellStart"/>
      <w:r w:rsidRPr="00242020">
        <w:rPr>
          <w:rFonts w:eastAsia="Times New Roman" w:cs="Times New Roman"/>
          <w:b/>
          <w:szCs w:val="28"/>
          <w:lang w:eastAsia="ru-RU"/>
        </w:rPr>
        <w:t>млрд</w:t>
      </w:r>
      <w:proofErr w:type="spellEnd"/>
      <w:r w:rsidRPr="00242020">
        <w:rPr>
          <w:rFonts w:eastAsia="Times New Roman" w:cs="Times New Roman"/>
          <w:b/>
          <w:szCs w:val="28"/>
          <w:lang w:eastAsia="ru-RU"/>
        </w:rPr>
        <w:t xml:space="preserve"> </w:t>
      </w:r>
      <w:proofErr w:type="spellStart"/>
      <w:r w:rsidRPr="00242020">
        <w:rPr>
          <w:rFonts w:eastAsia="Times New Roman" w:cs="Times New Roman"/>
          <w:b/>
          <w:szCs w:val="28"/>
          <w:lang w:eastAsia="ru-RU"/>
        </w:rPr>
        <w:t>грн</w:t>
      </w:r>
      <w:proofErr w:type="spellEnd"/>
      <w:r w:rsidRPr="00242020">
        <w:rPr>
          <w:rFonts w:eastAsia="Times New Roman" w:cs="Times New Roman"/>
          <w:szCs w:val="28"/>
          <w:lang w:eastAsia="ru-RU"/>
        </w:rPr>
        <w:t xml:space="preserve"> (таблиця 2.2), у тому числі протягом звітного періоду – </w:t>
      </w:r>
      <w:r w:rsidRPr="00242020">
        <w:rPr>
          <w:rFonts w:eastAsia="Times New Roman" w:cs="Times New Roman"/>
          <w:b/>
          <w:color w:val="000000"/>
          <w:szCs w:val="28"/>
          <w:lang w:eastAsia="ru-RU"/>
        </w:rPr>
        <w:t>3,</w:t>
      </w:r>
      <w:r w:rsidR="00085F86">
        <w:rPr>
          <w:rFonts w:eastAsia="Times New Roman" w:cs="Times New Roman"/>
          <w:b/>
          <w:color w:val="000000"/>
          <w:szCs w:val="28"/>
          <w:lang w:eastAsia="ru-RU"/>
        </w:rPr>
        <w:t>616</w:t>
      </w:r>
      <w:r w:rsidRPr="00242020">
        <w:rPr>
          <w:rFonts w:eastAsia="Times New Roman" w:cs="Times New Roman"/>
          <w:b/>
          <w:color w:val="000000"/>
          <w:szCs w:val="28"/>
          <w:lang w:eastAsia="ru-RU"/>
        </w:rPr>
        <w:t xml:space="preserve"> </w:t>
      </w:r>
      <w:proofErr w:type="spellStart"/>
      <w:r w:rsidRPr="00242020">
        <w:rPr>
          <w:rFonts w:eastAsia="Times New Roman" w:cs="Times New Roman"/>
          <w:b/>
          <w:szCs w:val="28"/>
          <w:lang w:eastAsia="ru-RU"/>
        </w:rPr>
        <w:t>млрд</w:t>
      </w:r>
      <w:proofErr w:type="spellEnd"/>
      <w:r w:rsidRPr="00242020">
        <w:rPr>
          <w:rFonts w:eastAsia="Times New Roman" w:cs="Times New Roman"/>
          <w:b/>
          <w:szCs w:val="28"/>
          <w:lang w:eastAsia="ru-RU"/>
        </w:rPr>
        <w:t xml:space="preserve"> грн.</w:t>
      </w:r>
    </w:p>
    <w:p w:rsidR="002769BF" w:rsidRPr="00242020" w:rsidRDefault="002769BF" w:rsidP="002769BF">
      <w:pPr>
        <w:widowControl/>
        <w:jc w:val="both"/>
        <w:rPr>
          <w:rFonts w:eastAsia="Times New Roman" w:cs="Times New Roman"/>
          <w:b/>
          <w:sz w:val="10"/>
          <w:szCs w:val="10"/>
          <w:lang w:eastAsia="ru-RU"/>
        </w:rPr>
      </w:pPr>
    </w:p>
    <w:p w:rsidR="002769BF" w:rsidRPr="00242020" w:rsidRDefault="002769BF" w:rsidP="002769BF">
      <w:pPr>
        <w:ind w:firstLine="720"/>
        <w:jc w:val="right"/>
        <w:rPr>
          <w:rFonts w:eastAsia="Times New Roman" w:cs="Times New Roman"/>
          <w:b/>
          <w:sz w:val="24"/>
          <w:szCs w:val="24"/>
          <w:lang w:eastAsia="ru-RU"/>
        </w:rPr>
      </w:pPr>
      <w:r w:rsidRPr="00242020">
        <w:rPr>
          <w:rFonts w:eastAsia="Times New Roman" w:cs="Times New Roman"/>
          <w:b/>
          <w:sz w:val="24"/>
          <w:szCs w:val="24"/>
          <w:lang w:eastAsia="ru-RU"/>
        </w:rPr>
        <w:t>Таблиця 2.2</w:t>
      </w:r>
    </w:p>
    <w:p w:rsidR="002769BF" w:rsidRPr="00242020" w:rsidRDefault="002769BF" w:rsidP="002769BF">
      <w:pPr>
        <w:ind w:firstLine="0"/>
        <w:jc w:val="center"/>
        <w:rPr>
          <w:rFonts w:eastAsia="Times New Roman" w:cs="Times New Roman"/>
          <w:b/>
          <w:szCs w:val="28"/>
          <w:lang w:eastAsia="ru-RU"/>
        </w:rPr>
      </w:pPr>
      <w:r w:rsidRPr="00242020">
        <w:rPr>
          <w:rFonts w:eastAsia="Times New Roman" w:cs="Times New Roman"/>
          <w:b/>
          <w:szCs w:val="28"/>
          <w:lang w:eastAsia="ru-RU"/>
        </w:rPr>
        <w:t>Результати інвестиційної діяльності в рамках приватизаційних процесів</w:t>
      </w:r>
    </w:p>
    <w:p w:rsidR="002769BF" w:rsidRPr="00242020" w:rsidRDefault="002769BF" w:rsidP="002769BF">
      <w:pPr>
        <w:ind w:firstLine="720"/>
        <w:jc w:val="both"/>
        <w:rPr>
          <w:rFonts w:eastAsia="Times New Roman" w:cs="Times New Roman"/>
          <w:b/>
          <w:sz w:val="10"/>
          <w:szCs w:val="10"/>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3120"/>
        <w:gridCol w:w="3120"/>
      </w:tblGrid>
      <w:tr w:rsidR="002769BF" w:rsidRPr="002769BF" w:rsidTr="00067BE3">
        <w:tc>
          <w:tcPr>
            <w:tcW w:w="9360" w:type="dxa"/>
            <w:gridSpan w:val="3"/>
          </w:tcPr>
          <w:p w:rsidR="002769BF" w:rsidRPr="002769BF" w:rsidRDefault="002769BF" w:rsidP="002769BF">
            <w:pPr>
              <w:ind w:firstLine="0"/>
              <w:jc w:val="center"/>
              <w:rPr>
                <w:rFonts w:eastAsia="Times New Roman" w:cs="Times New Roman"/>
                <w:b/>
                <w:sz w:val="26"/>
                <w:szCs w:val="26"/>
                <w:lang w:eastAsia="ru-RU"/>
              </w:rPr>
            </w:pPr>
            <w:r w:rsidRPr="002769BF">
              <w:rPr>
                <w:rFonts w:eastAsia="Times New Roman" w:cs="Times New Roman"/>
                <w:b/>
                <w:sz w:val="26"/>
                <w:szCs w:val="26"/>
                <w:lang w:eastAsia="ru-RU"/>
              </w:rPr>
              <w:t>За всіма групами договорів купівлі-продажу</w:t>
            </w:r>
          </w:p>
        </w:tc>
      </w:tr>
      <w:tr w:rsidR="002769BF" w:rsidRPr="002769BF" w:rsidTr="00067BE3">
        <w:tc>
          <w:tcPr>
            <w:tcW w:w="3120" w:type="dxa"/>
          </w:tcPr>
          <w:p w:rsidR="002769BF" w:rsidRPr="002769BF" w:rsidRDefault="002769BF" w:rsidP="002769BF">
            <w:pPr>
              <w:ind w:firstLine="0"/>
              <w:jc w:val="center"/>
              <w:rPr>
                <w:rFonts w:eastAsia="Times New Roman" w:cs="Times New Roman"/>
                <w:b/>
                <w:sz w:val="26"/>
                <w:szCs w:val="26"/>
                <w:lang w:eastAsia="ru-RU"/>
              </w:rPr>
            </w:pPr>
            <w:r w:rsidRPr="002769BF">
              <w:rPr>
                <w:rFonts w:eastAsia="Times New Roman" w:cs="Times New Roman"/>
                <w:b/>
                <w:sz w:val="26"/>
                <w:szCs w:val="26"/>
                <w:lang w:eastAsia="ru-RU"/>
              </w:rPr>
              <w:t>План до 2021 року</w:t>
            </w:r>
          </w:p>
        </w:tc>
        <w:tc>
          <w:tcPr>
            <w:tcW w:w="3120" w:type="dxa"/>
          </w:tcPr>
          <w:p w:rsidR="002769BF" w:rsidRPr="002769BF" w:rsidRDefault="002769BF" w:rsidP="002769BF">
            <w:pPr>
              <w:ind w:hanging="22"/>
              <w:jc w:val="center"/>
              <w:rPr>
                <w:rFonts w:eastAsia="Times New Roman" w:cs="Times New Roman"/>
                <w:b/>
                <w:sz w:val="26"/>
                <w:szCs w:val="26"/>
                <w:lang w:eastAsia="ru-RU"/>
              </w:rPr>
            </w:pPr>
            <w:r w:rsidRPr="002769BF">
              <w:rPr>
                <w:rFonts w:eastAsia="Times New Roman" w:cs="Times New Roman"/>
                <w:b/>
                <w:sz w:val="26"/>
                <w:szCs w:val="26"/>
                <w:lang w:eastAsia="ru-RU"/>
              </w:rPr>
              <w:t>План на 01.01.2017</w:t>
            </w:r>
          </w:p>
        </w:tc>
        <w:tc>
          <w:tcPr>
            <w:tcW w:w="3120" w:type="dxa"/>
          </w:tcPr>
          <w:p w:rsidR="002769BF" w:rsidRPr="002769BF" w:rsidRDefault="002769BF" w:rsidP="002769BF">
            <w:pPr>
              <w:ind w:firstLine="0"/>
              <w:jc w:val="center"/>
              <w:rPr>
                <w:rFonts w:eastAsia="Times New Roman" w:cs="Times New Roman"/>
                <w:b/>
                <w:sz w:val="26"/>
                <w:szCs w:val="26"/>
                <w:lang w:eastAsia="ru-RU"/>
              </w:rPr>
            </w:pPr>
            <w:r w:rsidRPr="002769BF">
              <w:rPr>
                <w:rFonts w:eastAsia="Times New Roman" w:cs="Times New Roman"/>
                <w:b/>
                <w:sz w:val="26"/>
                <w:szCs w:val="26"/>
                <w:lang w:eastAsia="ru-RU"/>
              </w:rPr>
              <w:t>Факт на 01.01.2017</w:t>
            </w:r>
          </w:p>
        </w:tc>
      </w:tr>
      <w:tr w:rsidR="002769BF" w:rsidRPr="002769BF" w:rsidTr="00067BE3">
        <w:tc>
          <w:tcPr>
            <w:tcW w:w="3120" w:type="dxa"/>
          </w:tcPr>
          <w:p w:rsidR="002769BF" w:rsidRPr="002769BF" w:rsidRDefault="002769BF" w:rsidP="002769BF">
            <w:pPr>
              <w:widowControl/>
              <w:ind w:firstLine="0"/>
              <w:jc w:val="center"/>
              <w:rPr>
                <w:rFonts w:eastAsia="Times New Roman" w:cs="Times New Roman"/>
                <w:color w:val="000000"/>
                <w:sz w:val="26"/>
                <w:szCs w:val="26"/>
                <w:lang w:eastAsia="ru-RU"/>
              </w:rPr>
            </w:pPr>
            <w:r w:rsidRPr="002769BF">
              <w:rPr>
                <w:rFonts w:eastAsia="Times New Roman" w:cs="Times New Roman"/>
                <w:color w:val="000000"/>
                <w:sz w:val="26"/>
                <w:szCs w:val="26"/>
                <w:lang w:eastAsia="ru-RU"/>
              </w:rPr>
              <w:t xml:space="preserve">17 254,923 </w:t>
            </w:r>
            <w:proofErr w:type="spellStart"/>
            <w:r w:rsidRPr="002769BF">
              <w:rPr>
                <w:rFonts w:eastAsia="Times New Roman" w:cs="Times New Roman"/>
                <w:color w:val="000000"/>
                <w:sz w:val="26"/>
                <w:szCs w:val="26"/>
                <w:lang w:eastAsia="ru-RU"/>
              </w:rPr>
              <w:t>млн</w:t>
            </w:r>
            <w:proofErr w:type="spellEnd"/>
            <w:r w:rsidRPr="002769BF">
              <w:rPr>
                <w:rFonts w:eastAsia="Times New Roman" w:cs="Times New Roman"/>
                <w:color w:val="000000"/>
                <w:sz w:val="26"/>
                <w:szCs w:val="26"/>
                <w:lang w:eastAsia="ru-RU"/>
              </w:rPr>
              <w:t xml:space="preserve"> </w:t>
            </w:r>
            <w:proofErr w:type="spellStart"/>
            <w:r w:rsidRPr="002769BF">
              <w:rPr>
                <w:rFonts w:eastAsia="Times New Roman" w:cs="Times New Roman"/>
                <w:color w:val="000000"/>
                <w:sz w:val="26"/>
                <w:szCs w:val="26"/>
                <w:lang w:eastAsia="ru-RU"/>
              </w:rPr>
              <w:t>грн</w:t>
            </w:r>
            <w:proofErr w:type="spellEnd"/>
          </w:p>
          <w:p w:rsidR="002769BF" w:rsidRPr="002769BF" w:rsidRDefault="002769BF" w:rsidP="002769BF">
            <w:pPr>
              <w:widowControl/>
              <w:ind w:firstLine="0"/>
              <w:jc w:val="center"/>
              <w:rPr>
                <w:rFonts w:eastAsia="Times New Roman" w:cs="Times New Roman"/>
                <w:color w:val="000000"/>
                <w:sz w:val="26"/>
                <w:szCs w:val="26"/>
                <w:lang w:eastAsia="ru-RU"/>
              </w:rPr>
            </w:pPr>
            <w:r w:rsidRPr="002769BF">
              <w:rPr>
                <w:rFonts w:eastAsia="Times New Roman" w:cs="Times New Roman"/>
                <w:color w:val="000000"/>
                <w:sz w:val="26"/>
                <w:szCs w:val="26"/>
                <w:lang w:eastAsia="ru-RU"/>
              </w:rPr>
              <w:t xml:space="preserve">1 947,01 </w:t>
            </w:r>
            <w:proofErr w:type="spellStart"/>
            <w:r w:rsidRPr="002769BF">
              <w:rPr>
                <w:rFonts w:eastAsia="Times New Roman" w:cs="Times New Roman"/>
                <w:color w:val="000000"/>
                <w:sz w:val="26"/>
                <w:szCs w:val="26"/>
                <w:lang w:eastAsia="ru-RU"/>
              </w:rPr>
              <w:t>млн</w:t>
            </w:r>
            <w:proofErr w:type="spellEnd"/>
            <w:r w:rsidRPr="002769BF">
              <w:rPr>
                <w:rFonts w:eastAsia="Times New Roman" w:cs="Times New Roman"/>
                <w:color w:val="000000"/>
                <w:sz w:val="26"/>
                <w:szCs w:val="26"/>
                <w:lang w:eastAsia="ru-RU"/>
              </w:rPr>
              <w:t xml:space="preserve"> дол. США</w:t>
            </w:r>
          </w:p>
          <w:p w:rsidR="002769BF" w:rsidRPr="002769BF" w:rsidRDefault="002769BF" w:rsidP="002769BF">
            <w:pPr>
              <w:widowControl/>
              <w:ind w:firstLine="0"/>
              <w:jc w:val="center"/>
              <w:rPr>
                <w:rFonts w:eastAsia="Times New Roman" w:cs="Times New Roman"/>
                <w:color w:val="000000"/>
                <w:sz w:val="26"/>
                <w:szCs w:val="26"/>
                <w:lang w:eastAsia="ru-RU"/>
              </w:rPr>
            </w:pPr>
            <w:r w:rsidRPr="002769BF">
              <w:rPr>
                <w:rFonts w:eastAsia="Times New Roman" w:cs="Times New Roman"/>
                <w:color w:val="000000"/>
                <w:sz w:val="26"/>
                <w:szCs w:val="26"/>
                <w:lang w:eastAsia="ru-RU"/>
              </w:rPr>
              <w:t xml:space="preserve">19,26 </w:t>
            </w:r>
            <w:proofErr w:type="spellStart"/>
            <w:r w:rsidRPr="002769BF">
              <w:rPr>
                <w:rFonts w:eastAsia="Times New Roman" w:cs="Times New Roman"/>
                <w:color w:val="000000"/>
                <w:sz w:val="26"/>
                <w:szCs w:val="26"/>
                <w:lang w:eastAsia="ru-RU"/>
              </w:rPr>
              <w:t>млн</w:t>
            </w:r>
            <w:proofErr w:type="spellEnd"/>
            <w:r w:rsidRPr="002769BF">
              <w:rPr>
                <w:rFonts w:eastAsia="Times New Roman" w:cs="Times New Roman"/>
                <w:color w:val="000000"/>
                <w:sz w:val="26"/>
                <w:szCs w:val="26"/>
                <w:lang w:eastAsia="ru-RU"/>
              </w:rPr>
              <w:t xml:space="preserve"> євро</w:t>
            </w:r>
          </w:p>
        </w:tc>
        <w:tc>
          <w:tcPr>
            <w:tcW w:w="3120" w:type="dxa"/>
          </w:tcPr>
          <w:p w:rsidR="002769BF" w:rsidRPr="002769BF" w:rsidRDefault="002769BF" w:rsidP="002769BF">
            <w:pPr>
              <w:widowControl/>
              <w:ind w:firstLine="0"/>
              <w:jc w:val="center"/>
              <w:rPr>
                <w:rFonts w:eastAsia="Times New Roman" w:cs="Times New Roman"/>
                <w:color w:val="000000"/>
                <w:sz w:val="26"/>
                <w:szCs w:val="26"/>
                <w:lang w:eastAsia="ru-RU"/>
              </w:rPr>
            </w:pPr>
            <w:r w:rsidRPr="002769BF">
              <w:rPr>
                <w:rFonts w:eastAsia="Times New Roman" w:cs="Times New Roman"/>
                <w:color w:val="000000"/>
                <w:sz w:val="26"/>
                <w:szCs w:val="26"/>
                <w:lang w:eastAsia="ru-RU"/>
              </w:rPr>
              <w:t xml:space="preserve">11 116,936 </w:t>
            </w:r>
            <w:proofErr w:type="spellStart"/>
            <w:r w:rsidRPr="002769BF">
              <w:rPr>
                <w:rFonts w:eastAsia="Times New Roman" w:cs="Times New Roman"/>
                <w:color w:val="000000"/>
                <w:sz w:val="26"/>
                <w:szCs w:val="26"/>
                <w:lang w:eastAsia="ru-RU"/>
              </w:rPr>
              <w:t>млн</w:t>
            </w:r>
            <w:proofErr w:type="spellEnd"/>
            <w:r w:rsidRPr="002769BF">
              <w:rPr>
                <w:rFonts w:eastAsia="Times New Roman" w:cs="Times New Roman"/>
                <w:color w:val="000000"/>
                <w:sz w:val="26"/>
                <w:szCs w:val="26"/>
                <w:lang w:eastAsia="ru-RU"/>
              </w:rPr>
              <w:t xml:space="preserve"> </w:t>
            </w:r>
            <w:proofErr w:type="spellStart"/>
            <w:r w:rsidRPr="002769BF">
              <w:rPr>
                <w:rFonts w:eastAsia="Times New Roman" w:cs="Times New Roman"/>
                <w:color w:val="000000"/>
                <w:sz w:val="26"/>
                <w:szCs w:val="26"/>
                <w:lang w:eastAsia="ru-RU"/>
              </w:rPr>
              <w:t>грн</w:t>
            </w:r>
            <w:proofErr w:type="spellEnd"/>
          </w:p>
          <w:p w:rsidR="002769BF" w:rsidRPr="002769BF" w:rsidRDefault="002769BF" w:rsidP="002769BF">
            <w:pPr>
              <w:widowControl/>
              <w:ind w:firstLine="0"/>
              <w:jc w:val="center"/>
              <w:rPr>
                <w:rFonts w:eastAsia="Times New Roman" w:cs="Times New Roman"/>
                <w:color w:val="000000"/>
                <w:sz w:val="26"/>
                <w:szCs w:val="26"/>
                <w:lang w:eastAsia="ru-RU"/>
              </w:rPr>
            </w:pPr>
            <w:r w:rsidRPr="002769BF">
              <w:rPr>
                <w:rFonts w:eastAsia="Times New Roman" w:cs="Times New Roman"/>
                <w:color w:val="000000"/>
                <w:sz w:val="26"/>
                <w:szCs w:val="26"/>
                <w:lang w:eastAsia="ru-RU"/>
              </w:rPr>
              <w:t xml:space="preserve">1 899,924 </w:t>
            </w:r>
            <w:proofErr w:type="spellStart"/>
            <w:r w:rsidRPr="002769BF">
              <w:rPr>
                <w:rFonts w:eastAsia="Times New Roman" w:cs="Times New Roman"/>
                <w:color w:val="000000"/>
                <w:sz w:val="26"/>
                <w:szCs w:val="26"/>
                <w:lang w:eastAsia="ru-RU"/>
              </w:rPr>
              <w:t>млн</w:t>
            </w:r>
            <w:proofErr w:type="spellEnd"/>
            <w:r w:rsidRPr="002769BF">
              <w:rPr>
                <w:rFonts w:eastAsia="Times New Roman" w:cs="Times New Roman"/>
                <w:color w:val="000000"/>
                <w:sz w:val="26"/>
                <w:szCs w:val="26"/>
                <w:lang w:eastAsia="ru-RU"/>
              </w:rPr>
              <w:t xml:space="preserve"> дол. США</w:t>
            </w:r>
          </w:p>
          <w:p w:rsidR="002769BF" w:rsidRPr="002769BF" w:rsidRDefault="002769BF" w:rsidP="002769BF">
            <w:pPr>
              <w:widowControl/>
              <w:ind w:firstLine="0"/>
              <w:jc w:val="center"/>
              <w:rPr>
                <w:rFonts w:eastAsia="Times New Roman" w:cs="Times New Roman"/>
                <w:color w:val="000000"/>
                <w:sz w:val="26"/>
                <w:szCs w:val="26"/>
                <w:lang w:eastAsia="ru-RU"/>
              </w:rPr>
            </w:pPr>
            <w:r w:rsidRPr="002769BF">
              <w:rPr>
                <w:rFonts w:eastAsia="Times New Roman" w:cs="Times New Roman"/>
                <w:color w:val="000000"/>
                <w:sz w:val="26"/>
                <w:szCs w:val="26"/>
                <w:lang w:eastAsia="ru-RU"/>
              </w:rPr>
              <w:t xml:space="preserve">19,26 </w:t>
            </w:r>
            <w:proofErr w:type="spellStart"/>
            <w:r w:rsidRPr="002769BF">
              <w:rPr>
                <w:rFonts w:eastAsia="Times New Roman" w:cs="Times New Roman"/>
                <w:color w:val="000000"/>
                <w:sz w:val="26"/>
                <w:szCs w:val="26"/>
                <w:lang w:eastAsia="ru-RU"/>
              </w:rPr>
              <w:t>млн</w:t>
            </w:r>
            <w:proofErr w:type="spellEnd"/>
            <w:r w:rsidRPr="002769BF">
              <w:rPr>
                <w:rFonts w:eastAsia="Times New Roman" w:cs="Times New Roman"/>
                <w:color w:val="000000"/>
                <w:sz w:val="26"/>
                <w:szCs w:val="26"/>
                <w:lang w:eastAsia="ru-RU"/>
              </w:rPr>
              <w:t xml:space="preserve"> євро</w:t>
            </w:r>
          </w:p>
        </w:tc>
        <w:tc>
          <w:tcPr>
            <w:tcW w:w="3120" w:type="dxa"/>
          </w:tcPr>
          <w:p w:rsidR="002769BF" w:rsidRPr="002769BF" w:rsidRDefault="002769BF" w:rsidP="002769BF">
            <w:pPr>
              <w:widowControl/>
              <w:ind w:firstLine="0"/>
              <w:jc w:val="center"/>
              <w:rPr>
                <w:rFonts w:eastAsia="Times New Roman" w:cs="Times New Roman"/>
                <w:color w:val="000000"/>
                <w:sz w:val="26"/>
                <w:szCs w:val="26"/>
                <w:lang w:eastAsia="ru-RU"/>
              </w:rPr>
            </w:pPr>
            <w:r w:rsidRPr="002769BF">
              <w:rPr>
                <w:rFonts w:eastAsia="Times New Roman" w:cs="Times New Roman"/>
                <w:color w:val="000000"/>
                <w:sz w:val="26"/>
                <w:szCs w:val="26"/>
                <w:lang w:eastAsia="ru-RU"/>
              </w:rPr>
              <w:t xml:space="preserve">16 732,128 </w:t>
            </w:r>
            <w:proofErr w:type="spellStart"/>
            <w:r w:rsidRPr="002769BF">
              <w:rPr>
                <w:rFonts w:eastAsia="Times New Roman" w:cs="Times New Roman"/>
                <w:color w:val="000000"/>
                <w:sz w:val="26"/>
                <w:szCs w:val="26"/>
                <w:lang w:eastAsia="ru-RU"/>
              </w:rPr>
              <w:t>млн</w:t>
            </w:r>
            <w:proofErr w:type="spellEnd"/>
            <w:r w:rsidRPr="002769BF">
              <w:rPr>
                <w:rFonts w:eastAsia="Times New Roman" w:cs="Times New Roman"/>
                <w:color w:val="000000"/>
                <w:sz w:val="26"/>
                <w:szCs w:val="26"/>
                <w:lang w:eastAsia="ru-RU"/>
              </w:rPr>
              <w:t xml:space="preserve"> </w:t>
            </w:r>
            <w:proofErr w:type="spellStart"/>
            <w:r w:rsidRPr="002769BF">
              <w:rPr>
                <w:rFonts w:eastAsia="Times New Roman" w:cs="Times New Roman"/>
                <w:color w:val="000000"/>
                <w:sz w:val="26"/>
                <w:szCs w:val="26"/>
                <w:lang w:eastAsia="ru-RU"/>
              </w:rPr>
              <w:t>грн</w:t>
            </w:r>
            <w:proofErr w:type="spellEnd"/>
          </w:p>
          <w:p w:rsidR="002769BF" w:rsidRPr="002769BF" w:rsidRDefault="002769BF" w:rsidP="002769BF">
            <w:pPr>
              <w:widowControl/>
              <w:ind w:firstLine="0"/>
              <w:jc w:val="center"/>
              <w:rPr>
                <w:rFonts w:eastAsia="Times New Roman" w:cs="Times New Roman"/>
                <w:color w:val="000000"/>
                <w:sz w:val="26"/>
                <w:szCs w:val="26"/>
                <w:lang w:eastAsia="ru-RU"/>
              </w:rPr>
            </w:pPr>
            <w:r w:rsidRPr="002769BF">
              <w:rPr>
                <w:rFonts w:eastAsia="Times New Roman" w:cs="Times New Roman"/>
                <w:color w:val="000000"/>
                <w:sz w:val="26"/>
                <w:szCs w:val="26"/>
                <w:lang w:eastAsia="ru-RU"/>
              </w:rPr>
              <w:t xml:space="preserve">2 079,744 </w:t>
            </w:r>
            <w:proofErr w:type="spellStart"/>
            <w:r w:rsidRPr="002769BF">
              <w:rPr>
                <w:rFonts w:eastAsia="Times New Roman" w:cs="Times New Roman"/>
                <w:color w:val="000000"/>
                <w:sz w:val="26"/>
                <w:szCs w:val="26"/>
                <w:lang w:eastAsia="ru-RU"/>
              </w:rPr>
              <w:t>млн</w:t>
            </w:r>
            <w:proofErr w:type="spellEnd"/>
            <w:r w:rsidRPr="002769BF">
              <w:rPr>
                <w:rFonts w:eastAsia="Times New Roman" w:cs="Times New Roman"/>
                <w:color w:val="000000"/>
                <w:sz w:val="26"/>
                <w:szCs w:val="26"/>
                <w:lang w:eastAsia="ru-RU"/>
              </w:rPr>
              <w:t xml:space="preserve"> дол. США</w:t>
            </w:r>
          </w:p>
          <w:p w:rsidR="002769BF" w:rsidRPr="002769BF" w:rsidRDefault="002769BF" w:rsidP="002769BF">
            <w:pPr>
              <w:widowControl/>
              <w:ind w:firstLine="0"/>
              <w:jc w:val="center"/>
              <w:rPr>
                <w:rFonts w:eastAsia="Times New Roman" w:cs="Times New Roman"/>
                <w:color w:val="000000"/>
                <w:sz w:val="26"/>
                <w:szCs w:val="26"/>
                <w:lang w:eastAsia="ru-RU"/>
              </w:rPr>
            </w:pPr>
            <w:r w:rsidRPr="002769BF">
              <w:rPr>
                <w:rFonts w:eastAsia="Times New Roman" w:cs="Times New Roman"/>
                <w:color w:val="000000"/>
                <w:sz w:val="26"/>
                <w:szCs w:val="26"/>
                <w:lang w:eastAsia="ru-RU"/>
              </w:rPr>
              <w:t xml:space="preserve">72 </w:t>
            </w:r>
            <w:proofErr w:type="spellStart"/>
            <w:r w:rsidRPr="002769BF">
              <w:rPr>
                <w:rFonts w:eastAsia="Times New Roman" w:cs="Times New Roman"/>
                <w:color w:val="000000"/>
                <w:sz w:val="26"/>
                <w:szCs w:val="26"/>
                <w:lang w:eastAsia="ru-RU"/>
              </w:rPr>
              <w:t>млн</w:t>
            </w:r>
            <w:proofErr w:type="spellEnd"/>
            <w:r w:rsidRPr="002769BF">
              <w:rPr>
                <w:rFonts w:eastAsia="Times New Roman" w:cs="Times New Roman"/>
                <w:color w:val="000000"/>
                <w:sz w:val="26"/>
                <w:szCs w:val="26"/>
                <w:lang w:eastAsia="ru-RU"/>
              </w:rPr>
              <w:t xml:space="preserve"> євро</w:t>
            </w:r>
          </w:p>
        </w:tc>
      </w:tr>
      <w:tr w:rsidR="002769BF" w:rsidRPr="002769BF" w:rsidTr="00067BE3">
        <w:tc>
          <w:tcPr>
            <w:tcW w:w="9360" w:type="dxa"/>
            <w:gridSpan w:val="3"/>
          </w:tcPr>
          <w:p w:rsidR="002769BF" w:rsidRPr="002769BF" w:rsidRDefault="002769BF" w:rsidP="002769BF">
            <w:pPr>
              <w:ind w:firstLine="0"/>
              <w:jc w:val="center"/>
              <w:rPr>
                <w:rFonts w:eastAsia="Times New Roman" w:cs="Times New Roman"/>
                <w:b/>
                <w:sz w:val="26"/>
                <w:szCs w:val="26"/>
                <w:lang w:eastAsia="ru-RU"/>
              </w:rPr>
            </w:pPr>
            <w:r w:rsidRPr="002769BF">
              <w:rPr>
                <w:rFonts w:eastAsia="Times New Roman" w:cs="Times New Roman"/>
                <w:b/>
                <w:sz w:val="26"/>
                <w:szCs w:val="26"/>
                <w:lang w:eastAsia="ru-RU"/>
              </w:rPr>
              <w:t>За договорами купівлі-продажу пакетів акцій</w:t>
            </w:r>
          </w:p>
        </w:tc>
      </w:tr>
      <w:tr w:rsidR="002769BF" w:rsidRPr="002769BF" w:rsidTr="00067BE3">
        <w:tc>
          <w:tcPr>
            <w:tcW w:w="3120" w:type="dxa"/>
          </w:tcPr>
          <w:p w:rsidR="002769BF" w:rsidRPr="002769BF" w:rsidRDefault="002769BF" w:rsidP="002769BF">
            <w:pPr>
              <w:widowControl/>
              <w:ind w:firstLine="0"/>
              <w:jc w:val="center"/>
              <w:rPr>
                <w:rFonts w:eastAsia="Times New Roman" w:cs="Times New Roman"/>
                <w:color w:val="000000"/>
                <w:sz w:val="26"/>
                <w:szCs w:val="26"/>
                <w:lang w:eastAsia="ru-RU"/>
              </w:rPr>
            </w:pPr>
            <w:r w:rsidRPr="002769BF">
              <w:rPr>
                <w:rFonts w:eastAsia="Times New Roman" w:cs="Times New Roman"/>
                <w:color w:val="000000"/>
                <w:sz w:val="26"/>
                <w:szCs w:val="26"/>
                <w:lang w:eastAsia="ru-RU"/>
              </w:rPr>
              <w:t xml:space="preserve">15 527,735 </w:t>
            </w:r>
            <w:proofErr w:type="spellStart"/>
            <w:r w:rsidRPr="002769BF">
              <w:rPr>
                <w:rFonts w:eastAsia="Times New Roman" w:cs="Times New Roman"/>
                <w:color w:val="000000"/>
                <w:sz w:val="26"/>
                <w:szCs w:val="26"/>
                <w:lang w:eastAsia="ru-RU"/>
              </w:rPr>
              <w:t>млн</w:t>
            </w:r>
            <w:proofErr w:type="spellEnd"/>
            <w:r w:rsidRPr="002769BF">
              <w:rPr>
                <w:rFonts w:eastAsia="Times New Roman" w:cs="Times New Roman"/>
                <w:color w:val="000000"/>
                <w:sz w:val="26"/>
                <w:szCs w:val="26"/>
                <w:lang w:eastAsia="ru-RU"/>
              </w:rPr>
              <w:t xml:space="preserve"> </w:t>
            </w:r>
            <w:proofErr w:type="spellStart"/>
            <w:r w:rsidRPr="002769BF">
              <w:rPr>
                <w:rFonts w:eastAsia="Times New Roman" w:cs="Times New Roman"/>
                <w:color w:val="000000"/>
                <w:sz w:val="26"/>
                <w:szCs w:val="26"/>
                <w:lang w:eastAsia="ru-RU"/>
              </w:rPr>
              <w:t>грн</w:t>
            </w:r>
            <w:proofErr w:type="spellEnd"/>
          </w:p>
          <w:p w:rsidR="002769BF" w:rsidRPr="002769BF" w:rsidRDefault="002769BF" w:rsidP="002769BF">
            <w:pPr>
              <w:widowControl/>
              <w:ind w:firstLine="0"/>
              <w:jc w:val="center"/>
              <w:rPr>
                <w:rFonts w:eastAsia="Times New Roman" w:cs="Times New Roman"/>
                <w:color w:val="000000"/>
                <w:sz w:val="26"/>
                <w:szCs w:val="26"/>
                <w:lang w:eastAsia="ru-RU"/>
              </w:rPr>
            </w:pPr>
            <w:r w:rsidRPr="002769BF">
              <w:rPr>
                <w:rFonts w:eastAsia="Times New Roman" w:cs="Times New Roman"/>
                <w:color w:val="000000"/>
                <w:sz w:val="26"/>
                <w:szCs w:val="26"/>
                <w:lang w:eastAsia="ru-RU"/>
              </w:rPr>
              <w:t xml:space="preserve">1 872, 956 </w:t>
            </w:r>
            <w:proofErr w:type="spellStart"/>
            <w:r w:rsidRPr="002769BF">
              <w:rPr>
                <w:rFonts w:eastAsia="Times New Roman" w:cs="Times New Roman"/>
                <w:color w:val="000000"/>
                <w:sz w:val="26"/>
                <w:szCs w:val="26"/>
                <w:lang w:eastAsia="ru-RU"/>
              </w:rPr>
              <w:t>млн</w:t>
            </w:r>
            <w:proofErr w:type="spellEnd"/>
            <w:r w:rsidRPr="002769BF">
              <w:rPr>
                <w:rFonts w:eastAsia="Times New Roman" w:cs="Times New Roman"/>
                <w:color w:val="000000"/>
                <w:sz w:val="26"/>
                <w:szCs w:val="26"/>
                <w:lang w:eastAsia="ru-RU"/>
              </w:rPr>
              <w:t xml:space="preserve"> дол. США</w:t>
            </w:r>
          </w:p>
          <w:p w:rsidR="002769BF" w:rsidRPr="002769BF" w:rsidRDefault="002769BF" w:rsidP="002769BF">
            <w:pPr>
              <w:widowControl/>
              <w:ind w:firstLine="0"/>
              <w:jc w:val="center"/>
              <w:rPr>
                <w:rFonts w:eastAsia="Times New Roman" w:cs="Times New Roman"/>
                <w:color w:val="000000"/>
                <w:sz w:val="26"/>
                <w:szCs w:val="26"/>
                <w:lang w:eastAsia="ru-RU"/>
              </w:rPr>
            </w:pPr>
            <w:r w:rsidRPr="002769BF">
              <w:rPr>
                <w:rFonts w:eastAsia="Times New Roman" w:cs="Times New Roman"/>
                <w:color w:val="000000"/>
                <w:sz w:val="26"/>
                <w:szCs w:val="26"/>
                <w:lang w:eastAsia="ru-RU"/>
              </w:rPr>
              <w:t xml:space="preserve">19,26 </w:t>
            </w:r>
            <w:proofErr w:type="spellStart"/>
            <w:r w:rsidRPr="002769BF">
              <w:rPr>
                <w:rFonts w:eastAsia="Times New Roman" w:cs="Times New Roman"/>
                <w:color w:val="000000"/>
                <w:sz w:val="26"/>
                <w:szCs w:val="26"/>
                <w:lang w:eastAsia="ru-RU"/>
              </w:rPr>
              <w:t>млн</w:t>
            </w:r>
            <w:proofErr w:type="spellEnd"/>
            <w:r w:rsidRPr="002769BF">
              <w:rPr>
                <w:rFonts w:eastAsia="Times New Roman" w:cs="Times New Roman"/>
                <w:color w:val="000000"/>
                <w:sz w:val="26"/>
                <w:szCs w:val="26"/>
                <w:lang w:eastAsia="ru-RU"/>
              </w:rPr>
              <w:t xml:space="preserve"> євро</w:t>
            </w:r>
          </w:p>
        </w:tc>
        <w:tc>
          <w:tcPr>
            <w:tcW w:w="3120" w:type="dxa"/>
          </w:tcPr>
          <w:p w:rsidR="002769BF" w:rsidRPr="002769BF" w:rsidRDefault="002769BF" w:rsidP="002769BF">
            <w:pPr>
              <w:widowControl/>
              <w:ind w:firstLine="0"/>
              <w:jc w:val="center"/>
              <w:rPr>
                <w:rFonts w:eastAsia="Times New Roman" w:cs="Times New Roman"/>
                <w:color w:val="000000"/>
                <w:sz w:val="26"/>
                <w:szCs w:val="26"/>
                <w:lang w:eastAsia="ru-RU"/>
              </w:rPr>
            </w:pPr>
            <w:r w:rsidRPr="002769BF">
              <w:rPr>
                <w:rFonts w:eastAsia="Times New Roman" w:cs="Times New Roman"/>
                <w:color w:val="000000"/>
                <w:sz w:val="26"/>
                <w:szCs w:val="26"/>
                <w:lang w:eastAsia="ru-RU"/>
              </w:rPr>
              <w:t xml:space="preserve">9 824 146,0 </w:t>
            </w:r>
            <w:proofErr w:type="spellStart"/>
            <w:r w:rsidRPr="002769BF">
              <w:rPr>
                <w:rFonts w:eastAsia="Times New Roman" w:cs="Times New Roman"/>
                <w:color w:val="000000"/>
                <w:sz w:val="26"/>
                <w:szCs w:val="26"/>
                <w:lang w:eastAsia="ru-RU"/>
              </w:rPr>
              <w:t>млн</w:t>
            </w:r>
            <w:proofErr w:type="spellEnd"/>
            <w:r w:rsidRPr="002769BF">
              <w:rPr>
                <w:rFonts w:eastAsia="Times New Roman" w:cs="Times New Roman"/>
                <w:color w:val="000000"/>
                <w:sz w:val="26"/>
                <w:szCs w:val="26"/>
                <w:lang w:eastAsia="ru-RU"/>
              </w:rPr>
              <w:t xml:space="preserve"> </w:t>
            </w:r>
            <w:proofErr w:type="spellStart"/>
            <w:r w:rsidRPr="002769BF">
              <w:rPr>
                <w:rFonts w:eastAsia="Times New Roman" w:cs="Times New Roman"/>
                <w:color w:val="000000"/>
                <w:sz w:val="26"/>
                <w:szCs w:val="26"/>
                <w:lang w:eastAsia="ru-RU"/>
              </w:rPr>
              <w:t>грн</w:t>
            </w:r>
            <w:proofErr w:type="spellEnd"/>
          </w:p>
          <w:p w:rsidR="002769BF" w:rsidRPr="002769BF" w:rsidRDefault="002769BF" w:rsidP="002769BF">
            <w:pPr>
              <w:widowControl/>
              <w:ind w:firstLine="0"/>
              <w:jc w:val="center"/>
              <w:rPr>
                <w:rFonts w:eastAsia="Times New Roman" w:cs="Times New Roman"/>
                <w:color w:val="000000"/>
                <w:sz w:val="26"/>
                <w:szCs w:val="26"/>
                <w:lang w:eastAsia="ru-RU"/>
              </w:rPr>
            </w:pPr>
            <w:r w:rsidRPr="002769BF">
              <w:rPr>
                <w:rFonts w:eastAsia="Times New Roman" w:cs="Times New Roman"/>
                <w:color w:val="000000"/>
                <w:sz w:val="26"/>
                <w:szCs w:val="26"/>
                <w:lang w:eastAsia="ru-RU"/>
              </w:rPr>
              <w:t xml:space="preserve">1 899 842,4 </w:t>
            </w:r>
            <w:proofErr w:type="spellStart"/>
            <w:r w:rsidRPr="002769BF">
              <w:rPr>
                <w:rFonts w:eastAsia="Times New Roman" w:cs="Times New Roman"/>
                <w:color w:val="000000"/>
                <w:sz w:val="26"/>
                <w:szCs w:val="26"/>
                <w:lang w:eastAsia="ru-RU"/>
              </w:rPr>
              <w:t>млн</w:t>
            </w:r>
            <w:proofErr w:type="spellEnd"/>
            <w:r w:rsidRPr="002769BF">
              <w:rPr>
                <w:rFonts w:eastAsia="Times New Roman" w:cs="Times New Roman"/>
                <w:color w:val="000000"/>
                <w:sz w:val="26"/>
                <w:szCs w:val="26"/>
                <w:lang w:eastAsia="ru-RU"/>
              </w:rPr>
              <w:t xml:space="preserve"> дол. США</w:t>
            </w:r>
          </w:p>
          <w:p w:rsidR="002769BF" w:rsidRPr="002769BF" w:rsidRDefault="002769BF" w:rsidP="002769BF">
            <w:pPr>
              <w:widowControl/>
              <w:ind w:firstLine="0"/>
              <w:jc w:val="center"/>
              <w:rPr>
                <w:rFonts w:eastAsia="Times New Roman" w:cs="Times New Roman"/>
                <w:color w:val="000000"/>
                <w:sz w:val="26"/>
                <w:szCs w:val="26"/>
                <w:lang w:eastAsia="ru-RU"/>
              </w:rPr>
            </w:pPr>
            <w:r w:rsidRPr="002769BF">
              <w:rPr>
                <w:rFonts w:eastAsia="Times New Roman" w:cs="Times New Roman"/>
                <w:color w:val="000000"/>
                <w:sz w:val="26"/>
                <w:szCs w:val="26"/>
                <w:lang w:eastAsia="ru-RU"/>
              </w:rPr>
              <w:t xml:space="preserve">19,26 </w:t>
            </w:r>
            <w:proofErr w:type="spellStart"/>
            <w:r w:rsidRPr="002769BF">
              <w:rPr>
                <w:rFonts w:eastAsia="Times New Roman" w:cs="Times New Roman"/>
                <w:color w:val="000000"/>
                <w:sz w:val="26"/>
                <w:szCs w:val="26"/>
                <w:lang w:eastAsia="ru-RU"/>
              </w:rPr>
              <w:t>млн</w:t>
            </w:r>
            <w:proofErr w:type="spellEnd"/>
            <w:r w:rsidRPr="002769BF">
              <w:rPr>
                <w:rFonts w:eastAsia="Times New Roman" w:cs="Times New Roman"/>
                <w:color w:val="000000"/>
                <w:sz w:val="26"/>
                <w:szCs w:val="26"/>
                <w:lang w:eastAsia="ru-RU"/>
              </w:rPr>
              <w:t xml:space="preserve"> євро</w:t>
            </w:r>
          </w:p>
        </w:tc>
        <w:tc>
          <w:tcPr>
            <w:tcW w:w="3120" w:type="dxa"/>
          </w:tcPr>
          <w:p w:rsidR="002769BF" w:rsidRPr="002769BF" w:rsidRDefault="002769BF" w:rsidP="002769BF">
            <w:pPr>
              <w:widowControl/>
              <w:ind w:firstLine="0"/>
              <w:jc w:val="center"/>
              <w:rPr>
                <w:rFonts w:eastAsia="Times New Roman" w:cs="Times New Roman"/>
                <w:color w:val="000000"/>
                <w:sz w:val="26"/>
                <w:szCs w:val="26"/>
                <w:lang w:eastAsia="ru-RU"/>
              </w:rPr>
            </w:pPr>
            <w:r w:rsidRPr="002769BF">
              <w:rPr>
                <w:rFonts w:eastAsia="Times New Roman" w:cs="Times New Roman"/>
                <w:color w:val="000000"/>
                <w:sz w:val="26"/>
                <w:szCs w:val="26"/>
                <w:lang w:eastAsia="ru-RU"/>
              </w:rPr>
              <w:t xml:space="preserve">15 082 182,0 </w:t>
            </w:r>
            <w:proofErr w:type="spellStart"/>
            <w:r w:rsidRPr="002769BF">
              <w:rPr>
                <w:rFonts w:eastAsia="Times New Roman" w:cs="Times New Roman"/>
                <w:color w:val="000000"/>
                <w:sz w:val="26"/>
                <w:szCs w:val="26"/>
                <w:lang w:eastAsia="ru-RU"/>
              </w:rPr>
              <w:t>млн</w:t>
            </w:r>
            <w:proofErr w:type="spellEnd"/>
            <w:r w:rsidRPr="002769BF">
              <w:rPr>
                <w:rFonts w:eastAsia="Times New Roman" w:cs="Times New Roman"/>
                <w:color w:val="000000"/>
                <w:sz w:val="26"/>
                <w:szCs w:val="26"/>
                <w:lang w:eastAsia="ru-RU"/>
              </w:rPr>
              <w:t xml:space="preserve"> </w:t>
            </w:r>
            <w:proofErr w:type="spellStart"/>
            <w:r w:rsidRPr="002769BF">
              <w:rPr>
                <w:rFonts w:eastAsia="Times New Roman" w:cs="Times New Roman"/>
                <w:color w:val="000000"/>
                <w:sz w:val="26"/>
                <w:szCs w:val="26"/>
                <w:lang w:eastAsia="ru-RU"/>
              </w:rPr>
              <w:t>грн</w:t>
            </w:r>
            <w:proofErr w:type="spellEnd"/>
          </w:p>
          <w:p w:rsidR="002769BF" w:rsidRPr="002769BF" w:rsidRDefault="002769BF" w:rsidP="002769BF">
            <w:pPr>
              <w:widowControl/>
              <w:ind w:firstLine="0"/>
              <w:jc w:val="center"/>
              <w:rPr>
                <w:rFonts w:eastAsia="Times New Roman" w:cs="Times New Roman"/>
                <w:color w:val="000000"/>
                <w:sz w:val="26"/>
                <w:szCs w:val="26"/>
                <w:lang w:eastAsia="ru-RU"/>
              </w:rPr>
            </w:pPr>
            <w:r w:rsidRPr="002769BF">
              <w:rPr>
                <w:rFonts w:eastAsia="Times New Roman" w:cs="Times New Roman"/>
                <w:color w:val="000000"/>
                <w:sz w:val="26"/>
                <w:szCs w:val="26"/>
                <w:lang w:eastAsia="ru-RU"/>
              </w:rPr>
              <w:t xml:space="preserve">2 025,568 </w:t>
            </w:r>
            <w:proofErr w:type="spellStart"/>
            <w:r w:rsidRPr="002769BF">
              <w:rPr>
                <w:rFonts w:eastAsia="Times New Roman" w:cs="Times New Roman"/>
                <w:color w:val="000000"/>
                <w:sz w:val="26"/>
                <w:szCs w:val="26"/>
                <w:lang w:eastAsia="ru-RU"/>
              </w:rPr>
              <w:t>млн</w:t>
            </w:r>
            <w:proofErr w:type="spellEnd"/>
            <w:r w:rsidRPr="002769BF">
              <w:rPr>
                <w:rFonts w:eastAsia="Times New Roman" w:cs="Times New Roman"/>
                <w:color w:val="000000"/>
                <w:sz w:val="26"/>
                <w:szCs w:val="26"/>
                <w:lang w:eastAsia="ru-RU"/>
              </w:rPr>
              <w:t xml:space="preserve"> дол. США</w:t>
            </w:r>
          </w:p>
          <w:p w:rsidR="002769BF" w:rsidRPr="002769BF" w:rsidRDefault="002769BF" w:rsidP="002769BF">
            <w:pPr>
              <w:widowControl/>
              <w:ind w:firstLine="0"/>
              <w:jc w:val="center"/>
              <w:rPr>
                <w:rFonts w:eastAsia="Times New Roman" w:cs="Times New Roman"/>
                <w:color w:val="000000"/>
                <w:sz w:val="26"/>
                <w:szCs w:val="26"/>
                <w:lang w:eastAsia="ru-RU"/>
              </w:rPr>
            </w:pPr>
            <w:r w:rsidRPr="002769BF">
              <w:rPr>
                <w:rFonts w:eastAsia="Times New Roman" w:cs="Times New Roman"/>
                <w:color w:val="000000"/>
                <w:sz w:val="26"/>
                <w:szCs w:val="26"/>
                <w:lang w:eastAsia="ru-RU"/>
              </w:rPr>
              <w:t xml:space="preserve">72 </w:t>
            </w:r>
            <w:proofErr w:type="spellStart"/>
            <w:r w:rsidRPr="002769BF">
              <w:rPr>
                <w:rFonts w:eastAsia="Times New Roman" w:cs="Times New Roman"/>
                <w:color w:val="000000"/>
                <w:sz w:val="26"/>
                <w:szCs w:val="26"/>
                <w:lang w:eastAsia="ru-RU"/>
              </w:rPr>
              <w:t>млн</w:t>
            </w:r>
            <w:proofErr w:type="spellEnd"/>
            <w:r w:rsidRPr="002769BF">
              <w:rPr>
                <w:rFonts w:eastAsia="Times New Roman" w:cs="Times New Roman"/>
                <w:color w:val="000000"/>
                <w:sz w:val="26"/>
                <w:szCs w:val="26"/>
                <w:lang w:eastAsia="ru-RU"/>
              </w:rPr>
              <w:t xml:space="preserve"> євро</w:t>
            </w:r>
          </w:p>
        </w:tc>
      </w:tr>
      <w:tr w:rsidR="002769BF" w:rsidRPr="002769BF" w:rsidTr="00067BE3">
        <w:tc>
          <w:tcPr>
            <w:tcW w:w="9360" w:type="dxa"/>
            <w:gridSpan w:val="3"/>
          </w:tcPr>
          <w:p w:rsidR="002769BF" w:rsidRPr="002769BF" w:rsidRDefault="002769BF" w:rsidP="002769BF">
            <w:pPr>
              <w:ind w:firstLine="0"/>
              <w:jc w:val="center"/>
              <w:rPr>
                <w:rFonts w:eastAsia="Times New Roman" w:cs="Times New Roman"/>
                <w:b/>
                <w:sz w:val="26"/>
                <w:szCs w:val="26"/>
                <w:lang w:eastAsia="ru-RU"/>
              </w:rPr>
            </w:pPr>
            <w:r w:rsidRPr="002769BF">
              <w:rPr>
                <w:rFonts w:eastAsia="Times New Roman" w:cs="Times New Roman"/>
                <w:b/>
                <w:sz w:val="26"/>
                <w:szCs w:val="26"/>
                <w:lang w:eastAsia="ru-RU"/>
              </w:rPr>
              <w:lastRenderedPageBreak/>
              <w:t>За договорами купівлі-продажу об’єктів незавершеного будівництва</w:t>
            </w:r>
          </w:p>
        </w:tc>
      </w:tr>
      <w:tr w:rsidR="002769BF" w:rsidRPr="002769BF" w:rsidTr="00067BE3">
        <w:tc>
          <w:tcPr>
            <w:tcW w:w="3120" w:type="dxa"/>
          </w:tcPr>
          <w:p w:rsidR="002769BF" w:rsidRPr="002769BF" w:rsidRDefault="002769BF" w:rsidP="002769BF">
            <w:pPr>
              <w:widowControl/>
              <w:ind w:firstLine="0"/>
              <w:jc w:val="center"/>
              <w:rPr>
                <w:rFonts w:eastAsia="Times New Roman" w:cs="Times New Roman"/>
                <w:color w:val="000000"/>
                <w:sz w:val="26"/>
                <w:szCs w:val="26"/>
                <w:lang w:eastAsia="ru-RU"/>
              </w:rPr>
            </w:pPr>
            <w:r w:rsidRPr="002769BF">
              <w:rPr>
                <w:rFonts w:eastAsia="Times New Roman" w:cs="Times New Roman"/>
                <w:color w:val="000000"/>
                <w:sz w:val="26"/>
                <w:szCs w:val="26"/>
                <w:lang w:eastAsia="ru-RU"/>
              </w:rPr>
              <w:t xml:space="preserve">1 083,668 </w:t>
            </w:r>
            <w:proofErr w:type="spellStart"/>
            <w:r w:rsidRPr="002769BF">
              <w:rPr>
                <w:rFonts w:eastAsia="Times New Roman" w:cs="Times New Roman"/>
                <w:color w:val="000000"/>
                <w:sz w:val="26"/>
                <w:szCs w:val="26"/>
                <w:lang w:eastAsia="ru-RU"/>
              </w:rPr>
              <w:t>млн</w:t>
            </w:r>
            <w:proofErr w:type="spellEnd"/>
            <w:r w:rsidRPr="002769BF">
              <w:rPr>
                <w:rFonts w:eastAsia="Times New Roman" w:cs="Times New Roman"/>
                <w:color w:val="000000"/>
                <w:sz w:val="26"/>
                <w:szCs w:val="26"/>
                <w:lang w:eastAsia="ru-RU"/>
              </w:rPr>
              <w:t xml:space="preserve"> </w:t>
            </w:r>
            <w:proofErr w:type="spellStart"/>
            <w:r w:rsidRPr="002769BF">
              <w:rPr>
                <w:rFonts w:eastAsia="Times New Roman" w:cs="Times New Roman"/>
                <w:color w:val="000000"/>
                <w:sz w:val="26"/>
                <w:szCs w:val="26"/>
                <w:lang w:eastAsia="ru-RU"/>
              </w:rPr>
              <w:t>грн</w:t>
            </w:r>
            <w:proofErr w:type="spellEnd"/>
          </w:p>
          <w:p w:rsidR="002769BF" w:rsidRPr="002769BF" w:rsidRDefault="002769BF" w:rsidP="002769BF">
            <w:pPr>
              <w:widowControl/>
              <w:ind w:firstLine="0"/>
              <w:jc w:val="center"/>
              <w:rPr>
                <w:rFonts w:eastAsia="Times New Roman" w:cs="Times New Roman"/>
                <w:color w:val="000000"/>
                <w:sz w:val="26"/>
                <w:szCs w:val="26"/>
                <w:lang w:eastAsia="ru-RU"/>
              </w:rPr>
            </w:pPr>
            <w:r w:rsidRPr="002769BF">
              <w:rPr>
                <w:rFonts w:eastAsia="Times New Roman" w:cs="Times New Roman"/>
                <w:color w:val="000000"/>
                <w:sz w:val="26"/>
                <w:szCs w:val="26"/>
                <w:lang w:eastAsia="ru-RU"/>
              </w:rPr>
              <w:t>10 тис. дол. США</w:t>
            </w:r>
          </w:p>
        </w:tc>
        <w:tc>
          <w:tcPr>
            <w:tcW w:w="3120" w:type="dxa"/>
          </w:tcPr>
          <w:p w:rsidR="002769BF" w:rsidRPr="002769BF" w:rsidRDefault="002769BF" w:rsidP="002769BF">
            <w:pPr>
              <w:widowControl/>
              <w:ind w:firstLine="0"/>
              <w:jc w:val="center"/>
              <w:rPr>
                <w:rFonts w:eastAsia="Times New Roman" w:cs="Times New Roman"/>
                <w:color w:val="000000"/>
                <w:sz w:val="26"/>
                <w:szCs w:val="26"/>
                <w:lang w:eastAsia="ru-RU"/>
              </w:rPr>
            </w:pPr>
            <w:r w:rsidRPr="002769BF">
              <w:rPr>
                <w:rFonts w:eastAsia="Times New Roman" w:cs="Times New Roman"/>
                <w:color w:val="000000"/>
                <w:sz w:val="26"/>
                <w:szCs w:val="26"/>
                <w:lang w:eastAsia="ru-RU"/>
              </w:rPr>
              <w:t xml:space="preserve">1 037 733,262 </w:t>
            </w:r>
            <w:proofErr w:type="spellStart"/>
            <w:r w:rsidRPr="002769BF">
              <w:rPr>
                <w:rFonts w:eastAsia="Times New Roman" w:cs="Times New Roman"/>
                <w:color w:val="000000"/>
                <w:sz w:val="26"/>
                <w:szCs w:val="26"/>
                <w:lang w:eastAsia="ru-RU"/>
              </w:rPr>
              <w:t>млн</w:t>
            </w:r>
            <w:proofErr w:type="spellEnd"/>
            <w:r w:rsidRPr="002769BF">
              <w:rPr>
                <w:rFonts w:eastAsia="Times New Roman" w:cs="Times New Roman"/>
                <w:color w:val="000000"/>
                <w:sz w:val="26"/>
                <w:szCs w:val="26"/>
                <w:lang w:eastAsia="ru-RU"/>
              </w:rPr>
              <w:t xml:space="preserve"> </w:t>
            </w:r>
            <w:proofErr w:type="spellStart"/>
            <w:r w:rsidRPr="002769BF">
              <w:rPr>
                <w:rFonts w:eastAsia="Times New Roman" w:cs="Times New Roman"/>
                <w:color w:val="000000"/>
                <w:sz w:val="26"/>
                <w:szCs w:val="26"/>
                <w:lang w:eastAsia="ru-RU"/>
              </w:rPr>
              <w:t>грн</w:t>
            </w:r>
            <w:proofErr w:type="spellEnd"/>
          </w:p>
          <w:p w:rsidR="002769BF" w:rsidRPr="002769BF" w:rsidRDefault="002769BF" w:rsidP="002769BF">
            <w:pPr>
              <w:widowControl/>
              <w:ind w:firstLine="0"/>
              <w:jc w:val="center"/>
              <w:rPr>
                <w:rFonts w:eastAsia="Times New Roman" w:cs="Times New Roman"/>
                <w:color w:val="000000"/>
                <w:sz w:val="26"/>
                <w:szCs w:val="26"/>
                <w:lang w:eastAsia="ru-RU"/>
              </w:rPr>
            </w:pPr>
            <w:r w:rsidRPr="002769BF">
              <w:rPr>
                <w:rFonts w:eastAsia="Times New Roman" w:cs="Times New Roman"/>
                <w:color w:val="000000"/>
                <w:sz w:val="26"/>
                <w:szCs w:val="26"/>
                <w:lang w:eastAsia="ru-RU"/>
              </w:rPr>
              <w:t>10 тис. дол. США</w:t>
            </w:r>
          </w:p>
        </w:tc>
        <w:tc>
          <w:tcPr>
            <w:tcW w:w="3120" w:type="dxa"/>
          </w:tcPr>
          <w:p w:rsidR="002769BF" w:rsidRPr="002769BF" w:rsidRDefault="002769BF" w:rsidP="002769BF">
            <w:pPr>
              <w:widowControl/>
              <w:ind w:firstLine="0"/>
              <w:jc w:val="center"/>
              <w:rPr>
                <w:rFonts w:eastAsia="Times New Roman" w:cs="Times New Roman"/>
                <w:color w:val="000000"/>
                <w:sz w:val="26"/>
                <w:szCs w:val="26"/>
                <w:lang w:eastAsia="ru-RU"/>
              </w:rPr>
            </w:pPr>
            <w:r w:rsidRPr="002769BF">
              <w:rPr>
                <w:rFonts w:eastAsia="Times New Roman" w:cs="Times New Roman"/>
                <w:color w:val="000000"/>
                <w:sz w:val="26"/>
                <w:szCs w:val="26"/>
                <w:lang w:eastAsia="ru-RU"/>
              </w:rPr>
              <w:t xml:space="preserve">1 037 733,262 </w:t>
            </w:r>
            <w:proofErr w:type="spellStart"/>
            <w:r w:rsidRPr="002769BF">
              <w:rPr>
                <w:rFonts w:eastAsia="Times New Roman" w:cs="Times New Roman"/>
                <w:color w:val="000000"/>
                <w:sz w:val="26"/>
                <w:szCs w:val="26"/>
                <w:lang w:eastAsia="ru-RU"/>
              </w:rPr>
              <w:t>млн</w:t>
            </w:r>
            <w:proofErr w:type="spellEnd"/>
            <w:r w:rsidRPr="002769BF">
              <w:rPr>
                <w:rFonts w:eastAsia="Times New Roman" w:cs="Times New Roman"/>
                <w:color w:val="000000"/>
                <w:sz w:val="26"/>
                <w:szCs w:val="26"/>
                <w:lang w:eastAsia="ru-RU"/>
              </w:rPr>
              <w:t xml:space="preserve"> </w:t>
            </w:r>
            <w:proofErr w:type="spellStart"/>
            <w:r w:rsidRPr="002769BF">
              <w:rPr>
                <w:rFonts w:eastAsia="Times New Roman" w:cs="Times New Roman"/>
                <w:color w:val="000000"/>
                <w:sz w:val="26"/>
                <w:szCs w:val="26"/>
                <w:lang w:eastAsia="ru-RU"/>
              </w:rPr>
              <w:t>грн</w:t>
            </w:r>
            <w:proofErr w:type="spellEnd"/>
          </w:p>
          <w:p w:rsidR="002769BF" w:rsidRPr="002769BF" w:rsidRDefault="002769BF" w:rsidP="002769BF">
            <w:pPr>
              <w:widowControl/>
              <w:ind w:firstLine="0"/>
              <w:jc w:val="center"/>
              <w:rPr>
                <w:rFonts w:eastAsia="Times New Roman" w:cs="Times New Roman"/>
                <w:color w:val="000000"/>
                <w:sz w:val="26"/>
                <w:szCs w:val="26"/>
                <w:lang w:eastAsia="ru-RU"/>
              </w:rPr>
            </w:pPr>
            <w:r w:rsidRPr="002769BF">
              <w:rPr>
                <w:rFonts w:eastAsia="Times New Roman" w:cs="Times New Roman"/>
                <w:color w:val="000000"/>
                <w:sz w:val="26"/>
                <w:szCs w:val="26"/>
                <w:lang w:eastAsia="ru-RU"/>
              </w:rPr>
              <w:t>27,756 тис. дол. США</w:t>
            </w:r>
          </w:p>
        </w:tc>
      </w:tr>
      <w:tr w:rsidR="002769BF" w:rsidRPr="002769BF" w:rsidTr="00067BE3">
        <w:tc>
          <w:tcPr>
            <w:tcW w:w="9360" w:type="dxa"/>
            <w:gridSpan w:val="3"/>
          </w:tcPr>
          <w:p w:rsidR="002769BF" w:rsidRPr="002769BF" w:rsidRDefault="002769BF" w:rsidP="002769BF">
            <w:pPr>
              <w:ind w:firstLine="0"/>
              <w:jc w:val="center"/>
              <w:rPr>
                <w:rFonts w:eastAsia="Times New Roman" w:cs="Times New Roman"/>
                <w:sz w:val="26"/>
                <w:szCs w:val="26"/>
                <w:lang w:eastAsia="ru-RU"/>
              </w:rPr>
            </w:pPr>
            <w:r w:rsidRPr="002769BF">
              <w:rPr>
                <w:rFonts w:eastAsia="Times New Roman" w:cs="Times New Roman"/>
                <w:b/>
                <w:sz w:val="26"/>
                <w:szCs w:val="26"/>
                <w:lang w:eastAsia="ru-RU"/>
              </w:rPr>
              <w:t>За договорами купівлі-продажу об’єктів малої приватизації</w:t>
            </w:r>
          </w:p>
        </w:tc>
      </w:tr>
      <w:tr w:rsidR="002769BF" w:rsidRPr="002769BF" w:rsidTr="00067BE3">
        <w:tc>
          <w:tcPr>
            <w:tcW w:w="3120" w:type="dxa"/>
          </w:tcPr>
          <w:p w:rsidR="002769BF" w:rsidRPr="002769BF" w:rsidRDefault="002769BF" w:rsidP="002769BF">
            <w:pPr>
              <w:widowControl/>
              <w:ind w:firstLine="0"/>
              <w:jc w:val="center"/>
              <w:rPr>
                <w:rFonts w:eastAsia="Times New Roman" w:cs="Times New Roman"/>
                <w:color w:val="000000"/>
                <w:sz w:val="26"/>
                <w:szCs w:val="26"/>
                <w:lang w:eastAsia="ru-RU"/>
              </w:rPr>
            </w:pPr>
            <w:r w:rsidRPr="002769BF">
              <w:rPr>
                <w:rFonts w:eastAsia="Times New Roman" w:cs="Times New Roman"/>
                <w:color w:val="000000"/>
                <w:sz w:val="26"/>
                <w:szCs w:val="26"/>
                <w:lang w:eastAsia="ru-RU"/>
              </w:rPr>
              <w:t xml:space="preserve">643,520 </w:t>
            </w:r>
            <w:proofErr w:type="spellStart"/>
            <w:r w:rsidRPr="002769BF">
              <w:rPr>
                <w:rFonts w:eastAsia="Times New Roman" w:cs="Times New Roman"/>
                <w:color w:val="000000"/>
                <w:sz w:val="26"/>
                <w:szCs w:val="26"/>
                <w:lang w:eastAsia="ru-RU"/>
              </w:rPr>
              <w:t>млн</w:t>
            </w:r>
            <w:proofErr w:type="spellEnd"/>
            <w:r w:rsidRPr="002769BF">
              <w:rPr>
                <w:rFonts w:eastAsia="Times New Roman" w:cs="Times New Roman"/>
                <w:color w:val="000000"/>
                <w:sz w:val="26"/>
                <w:szCs w:val="26"/>
                <w:lang w:eastAsia="ru-RU"/>
              </w:rPr>
              <w:t xml:space="preserve"> </w:t>
            </w:r>
            <w:proofErr w:type="spellStart"/>
            <w:r w:rsidRPr="002769BF">
              <w:rPr>
                <w:rFonts w:eastAsia="Times New Roman" w:cs="Times New Roman"/>
                <w:color w:val="000000"/>
                <w:sz w:val="26"/>
                <w:szCs w:val="26"/>
                <w:lang w:eastAsia="ru-RU"/>
              </w:rPr>
              <w:t>грн</w:t>
            </w:r>
            <w:proofErr w:type="spellEnd"/>
          </w:p>
          <w:p w:rsidR="002769BF" w:rsidRPr="002769BF" w:rsidRDefault="002769BF" w:rsidP="002769BF">
            <w:pPr>
              <w:widowControl/>
              <w:ind w:firstLine="0"/>
              <w:jc w:val="center"/>
              <w:rPr>
                <w:rFonts w:eastAsia="Times New Roman" w:cs="Times New Roman"/>
                <w:color w:val="000000"/>
                <w:sz w:val="26"/>
                <w:szCs w:val="26"/>
                <w:lang w:eastAsia="ru-RU"/>
              </w:rPr>
            </w:pPr>
            <w:r w:rsidRPr="002769BF">
              <w:rPr>
                <w:rFonts w:eastAsia="Times New Roman" w:cs="Times New Roman"/>
                <w:color w:val="000000"/>
                <w:sz w:val="26"/>
                <w:szCs w:val="26"/>
                <w:lang w:eastAsia="ru-RU"/>
              </w:rPr>
              <w:t xml:space="preserve">74,044 </w:t>
            </w:r>
            <w:proofErr w:type="spellStart"/>
            <w:r w:rsidRPr="002769BF">
              <w:rPr>
                <w:rFonts w:eastAsia="Times New Roman" w:cs="Times New Roman"/>
                <w:color w:val="000000"/>
                <w:sz w:val="26"/>
                <w:szCs w:val="26"/>
                <w:lang w:eastAsia="ru-RU"/>
              </w:rPr>
              <w:t>млн</w:t>
            </w:r>
            <w:proofErr w:type="spellEnd"/>
            <w:r w:rsidRPr="002769BF">
              <w:rPr>
                <w:rFonts w:eastAsia="Times New Roman" w:cs="Times New Roman"/>
                <w:color w:val="000000"/>
                <w:sz w:val="26"/>
                <w:szCs w:val="26"/>
                <w:lang w:eastAsia="ru-RU"/>
              </w:rPr>
              <w:t xml:space="preserve"> дол. США</w:t>
            </w:r>
          </w:p>
        </w:tc>
        <w:tc>
          <w:tcPr>
            <w:tcW w:w="3120" w:type="dxa"/>
          </w:tcPr>
          <w:p w:rsidR="002769BF" w:rsidRPr="002769BF" w:rsidRDefault="002769BF" w:rsidP="002769BF">
            <w:pPr>
              <w:widowControl/>
              <w:ind w:firstLine="0"/>
              <w:jc w:val="center"/>
              <w:rPr>
                <w:rFonts w:eastAsia="Times New Roman" w:cs="Times New Roman"/>
                <w:color w:val="000000"/>
                <w:sz w:val="26"/>
                <w:szCs w:val="26"/>
                <w:lang w:eastAsia="ru-RU"/>
              </w:rPr>
            </w:pPr>
            <w:r w:rsidRPr="002769BF">
              <w:rPr>
                <w:rFonts w:eastAsia="Times New Roman" w:cs="Times New Roman"/>
                <w:color w:val="000000"/>
                <w:sz w:val="26"/>
                <w:szCs w:val="26"/>
                <w:lang w:eastAsia="ru-RU"/>
              </w:rPr>
              <w:t xml:space="preserve">255, 056 </w:t>
            </w:r>
            <w:proofErr w:type="spellStart"/>
            <w:r w:rsidRPr="002769BF">
              <w:rPr>
                <w:rFonts w:eastAsia="Times New Roman" w:cs="Times New Roman"/>
                <w:color w:val="000000"/>
                <w:sz w:val="26"/>
                <w:szCs w:val="26"/>
                <w:lang w:eastAsia="ru-RU"/>
              </w:rPr>
              <w:t>млн</w:t>
            </w:r>
            <w:proofErr w:type="spellEnd"/>
            <w:r w:rsidRPr="002769BF">
              <w:rPr>
                <w:rFonts w:eastAsia="Times New Roman" w:cs="Times New Roman"/>
                <w:color w:val="000000"/>
                <w:sz w:val="26"/>
                <w:szCs w:val="26"/>
                <w:lang w:eastAsia="ru-RU"/>
              </w:rPr>
              <w:t xml:space="preserve"> </w:t>
            </w:r>
            <w:proofErr w:type="spellStart"/>
            <w:r w:rsidRPr="002769BF">
              <w:rPr>
                <w:rFonts w:eastAsia="Times New Roman" w:cs="Times New Roman"/>
                <w:color w:val="000000"/>
                <w:sz w:val="26"/>
                <w:szCs w:val="26"/>
                <w:lang w:eastAsia="ru-RU"/>
              </w:rPr>
              <w:t>грн</w:t>
            </w:r>
            <w:proofErr w:type="spellEnd"/>
          </w:p>
          <w:p w:rsidR="002769BF" w:rsidRPr="002769BF" w:rsidRDefault="002769BF" w:rsidP="002769BF">
            <w:pPr>
              <w:widowControl/>
              <w:ind w:firstLine="0"/>
              <w:jc w:val="center"/>
              <w:rPr>
                <w:rFonts w:eastAsia="Times New Roman" w:cs="Times New Roman"/>
                <w:color w:val="000000"/>
                <w:sz w:val="26"/>
                <w:szCs w:val="26"/>
                <w:lang w:eastAsia="ru-RU"/>
              </w:rPr>
            </w:pPr>
            <w:r w:rsidRPr="002769BF">
              <w:rPr>
                <w:rFonts w:eastAsia="Times New Roman" w:cs="Times New Roman"/>
                <w:color w:val="000000"/>
                <w:sz w:val="26"/>
                <w:szCs w:val="26"/>
                <w:lang w:eastAsia="ru-RU"/>
              </w:rPr>
              <w:t xml:space="preserve">71, 294 </w:t>
            </w:r>
            <w:proofErr w:type="spellStart"/>
            <w:r w:rsidRPr="002769BF">
              <w:rPr>
                <w:rFonts w:eastAsia="Times New Roman" w:cs="Times New Roman"/>
                <w:color w:val="000000"/>
                <w:sz w:val="26"/>
                <w:szCs w:val="26"/>
                <w:lang w:eastAsia="ru-RU"/>
              </w:rPr>
              <w:t>млн</w:t>
            </w:r>
            <w:proofErr w:type="spellEnd"/>
            <w:r w:rsidRPr="002769BF">
              <w:rPr>
                <w:rFonts w:eastAsia="Times New Roman" w:cs="Times New Roman"/>
                <w:color w:val="000000"/>
                <w:sz w:val="26"/>
                <w:szCs w:val="26"/>
                <w:lang w:eastAsia="ru-RU"/>
              </w:rPr>
              <w:t xml:space="preserve"> дол. США</w:t>
            </w:r>
          </w:p>
        </w:tc>
        <w:tc>
          <w:tcPr>
            <w:tcW w:w="3120" w:type="dxa"/>
          </w:tcPr>
          <w:p w:rsidR="002769BF" w:rsidRPr="002769BF" w:rsidRDefault="002769BF" w:rsidP="002769BF">
            <w:pPr>
              <w:widowControl/>
              <w:ind w:firstLine="0"/>
              <w:jc w:val="center"/>
              <w:rPr>
                <w:rFonts w:eastAsia="Times New Roman" w:cs="Times New Roman"/>
                <w:color w:val="000000"/>
                <w:sz w:val="26"/>
                <w:szCs w:val="26"/>
                <w:lang w:eastAsia="ru-RU"/>
              </w:rPr>
            </w:pPr>
            <w:r w:rsidRPr="002769BF">
              <w:rPr>
                <w:rFonts w:eastAsia="Times New Roman" w:cs="Times New Roman"/>
                <w:color w:val="000000"/>
                <w:sz w:val="26"/>
                <w:szCs w:val="26"/>
                <w:lang w:eastAsia="ru-RU"/>
              </w:rPr>
              <w:t xml:space="preserve">612,212 </w:t>
            </w:r>
            <w:proofErr w:type="spellStart"/>
            <w:r w:rsidRPr="002769BF">
              <w:rPr>
                <w:rFonts w:eastAsia="Times New Roman" w:cs="Times New Roman"/>
                <w:color w:val="000000"/>
                <w:sz w:val="26"/>
                <w:szCs w:val="26"/>
                <w:lang w:eastAsia="ru-RU"/>
              </w:rPr>
              <w:t>млн</w:t>
            </w:r>
            <w:proofErr w:type="spellEnd"/>
            <w:r w:rsidRPr="002769BF">
              <w:rPr>
                <w:rFonts w:eastAsia="Times New Roman" w:cs="Times New Roman"/>
                <w:color w:val="000000"/>
                <w:sz w:val="26"/>
                <w:szCs w:val="26"/>
                <w:lang w:eastAsia="ru-RU"/>
              </w:rPr>
              <w:t xml:space="preserve"> </w:t>
            </w:r>
            <w:proofErr w:type="spellStart"/>
            <w:r w:rsidRPr="002769BF">
              <w:rPr>
                <w:rFonts w:eastAsia="Times New Roman" w:cs="Times New Roman"/>
                <w:color w:val="000000"/>
                <w:sz w:val="26"/>
                <w:szCs w:val="26"/>
                <w:lang w:eastAsia="ru-RU"/>
              </w:rPr>
              <w:t>грн</w:t>
            </w:r>
            <w:proofErr w:type="spellEnd"/>
          </w:p>
          <w:p w:rsidR="002769BF" w:rsidRPr="002769BF" w:rsidRDefault="002769BF" w:rsidP="002769BF">
            <w:pPr>
              <w:widowControl/>
              <w:ind w:firstLine="0"/>
              <w:jc w:val="center"/>
              <w:rPr>
                <w:rFonts w:eastAsia="Times New Roman" w:cs="Times New Roman"/>
                <w:color w:val="000000"/>
                <w:sz w:val="26"/>
                <w:szCs w:val="26"/>
                <w:lang w:eastAsia="ru-RU"/>
              </w:rPr>
            </w:pPr>
            <w:r w:rsidRPr="002769BF">
              <w:rPr>
                <w:rFonts w:eastAsia="Times New Roman" w:cs="Times New Roman"/>
                <w:color w:val="000000"/>
                <w:sz w:val="26"/>
                <w:szCs w:val="26"/>
                <w:lang w:eastAsia="ru-RU"/>
              </w:rPr>
              <w:t xml:space="preserve">26,420 </w:t>
            </w:r>
            <w:proofErr w:type="spellStart"/>
            <w:r w:rsidRPr="002769BF">
              <w:rPr>
                <w:rFonts w:eastAsia="Times New Roman" w:cs="Times New Roman"/>
                <w:color w:val="000000"/>
                <w:sz w:val="26"/>
                <w:szCs w:val="26"/>
                <w:lang w:eastAsia="ru-RU"/>
              </w:rPr>
              <w:t>млн</w:t>
            </w:r>
            <w:proofErr w:type="spellEnd"/>
            <w:r w:rsidRPr="002769BF">
              <w:rPr>
                <w:rFonts w:eastAsia="Times New Roman" w:cs="Times New Roman"/>
                <w:color w:val="000000"/>
                <w:sz w:val="26"/>
                <w:szCs w:val="26"/>
                <w:lang w:eastAsia="ru-RU"/>
              </w:rPr>
              <w:t xml:space="preserve"> дол. США</w:t>
            </w:r>
          </w:p>
        </w:tc>
      </w:tr>
    </w:tbl>
    <w:p w:rsidR="002769BF" w:rsidRPr="00242020" w:rsidRDefault="002769BF" w:rsidP="002769BF">
      <w:pPr>
        <w:ind w:left="284" w:firstLine="0"/>
        <w:rPr>
          <w:rFonts w:eastAsia="Times New Roman" w:cs="Times New Roman"/>
          <w:sz w:val="10"/>
          <w:szCs w:val="10"/>
          <w:lang w:eastAsia="ru-RU"/>
        </w:rPr>
      </w:pPr>
    </w:p>
    <w:p w:rsidR="002769BF" w:rsidRPr="00242020" w:rsidRDefault="002769BF" w:rsidP="00102753">
      <w:pPr>
        <w:jc w:val="both"/>
        <w:rPr>
          <w:rFonts w:eastAsia="Times New Roman" w:cs="Times New Roman"/>
          <w:szCs w:val="28"/>
          <w:lang w:eastAsia="ru-RU"/>
        </w:rPr>
      </w:pPr>
      <w:r w:rsidRPr="00242020">
        <w:rPr>
          <w:rFonts w:eastAsia="Times New Roman" w:cs="Times New Roman"/>
          <w:szCs w:val="28"/>
          <w:lang w:eastAsia="ru-RU"/>
        </w:rPr>
        <w:t xml:space="preserve">Результати перевірок стану виконання покупцями зобов’язань щодо </w:t>
      </w:r>
      <w:r w:rsidRPr="00242020">
        <w:rPr>
          <w:rFonts w:eastAsia="Times New Roman" w:cs="Times New Roman"/>
          <w:b/>
          <w:szCs w:val="28"/>
          <w:lang w:eastAsia="ru-RU"/>
        </w:rPr>
        <w:t xml:space="preserve">збереження </w:t>
      </w:r>
      <w:r w:rsidRPr="00242020">
        <w:rPr>
          <w:rFonts w:eastAsia="Times New Roman" w:cs="Times New Roman"/>
          <w:szCs w:val="28"/>
          <w:lang w:eastAsia="ru-RU"/>
        </w:rPr>
        <w:t xml:space="preserve">існуючої на момент приватизації кількості </w:t>
      </w:r>
      <w:r w:rsidRPr="00242020">
        <w:rPr>
          <w:rFonts w:eastAsia="Times New Roman" w:cs="Times New Roman"/>
          <w:b/>
          <w:szCs w:val="28"/>
          <w:lang w:eastAsia="ru-RU"/>
        </w:rPr>
        <w:t xml:space="preserve">робочих місць та створення нових </w:t>
      </w:r>
      <w:r w:rsidRPr="00242020">
        <w:rPr>
          <w:rFonts w:eastAsia="Times New Roman" w:cs="Times New Roman"/>
          <w:szCs w:val="28"/>
          <w:lang w:eastAsia="ru-RU"/>
        </w:rPr>
        <w:t xml:space="preserve">такі. </w:t>
      </w:r>
    </w:p>
    <w:p w:rsidR="002769BF" w:rsidRPr="00242020" w:rsidRDefault="002769BF" w:rsidP="00102753">
      <w:pPr>
        <w:jc w:val="both"/>
        <w:rPr>
          <w:rFonts w:eastAsia="Times New Roman" w:cs="Times New Roman"/>
          <w:szCs w:val="28"/>
          <w:lang w:eastAsia="ru-RU"/>
        </w:rPr>
      </w:pPr>
      <w:r w:rsidRPr="00242020">
        <w:rPr>
          <w:rFonts w:eastAsia="Times New Roman" w:cs="Times New Roman"/>
          <w:szCs w:val="28"/>
          <w:lang w:eastAsia="ru-RU"/>
        </w:rPr>
        <w:t xml:space="preserve">На контролі органів приватизації перебувають 36 договорів, що містять умову щодо </w:t>
      </w:r>
      <w:r w:rsidRPr="00242020">
        <w:rPr>
          <w:rFonts w:eastAsia="Times New Roman" w:cs="Times New Roman"/>
          <w:b/>
          <w:szCs w:val="28"/>
          <w:lang w:eastAsia="ru-RU"/>
        </w:rPr>
        <w:t>збереження кількості робочих місць,</w:t>
      </w:r>
      <w:r w:rsidRPr="00242020">
        <w:rPr>
          <w:rFonts w:eastAsia="Times New Roman" w:cs="Times New Roman"/>
          <w:szCs w:val="28"/>
          <w:lang w:eastAsia="ru-RU"/>
        </w:rPr>
        <w:t xml:space="preserve"> які існували на об’єктах на момент їх приватизації, та 35 договорів – щодо </w:t>
      </w:r>
      <w:r w:rsidRPr="00242020">
        <w:rPr>
          <w:rFonts w:eastAsia="Times New Roman" w:cs="Times New Roman"/>
          <w:b/>
          <w:szCs w:val="28"/>
          <w:lang w:eastAsia="ru-RU"/>
        </w:rPr>
        <w:t>створення нових</w:t>
      </w:r>
      <w:r w:rsidRPr="00242020">
        <w:rPr>
          <w:rFonts w:eastAsia="Times New Roman" w:cs="Times New Roman"/>
          <w:szCs w:val="28"/>
          <w:lang w:eastAsia="ru-RU"/>
        </w:rPr>
        <w:t>.</w:t>
      </w:r>
    </w:p>
    <w:p w:rsidR="002769BF" w:rsidRPr="00242020" w:rsidRDefault="002769BF" w:rsidP="00102753">
      <w:pPr>
        <w:widowControl/>
        <w:jc w:val="both"/>
        <w:rPr>
          <w:rFonts w:eastAsia="Times New Roman" w:cs="Times New Roman"/>
          <w:szCs w:val="28"/>
          <w:lang w:eastAsia="ru-RU"/>
        </w:rPr>
      </w:pPr>
      <w:r w:rsidRPr="00242020">
        <w:rPr>
          <w:rFonts w:eastAsia="Times New Roman" w:cs="Times New Roman"/>
          <w:szCs w:val="28"/>
          <w:lang w:eastAsia="ru-RU"/>
        </w:rPr>
        <w:t xml:space="preserve">У звітному періоді було перевірено </w:t>
      </w:r>
      <w:r w:rsidRPr="00242020">
        <w:rPr>
          <w:rFonts w:eastAsia="Times New Roman" w:cs="Times New Roman"/>
          <w:b/>
          <w:szCs w:val="28"/>
          <w:lang w:eastAsia="ru-RU"/>
        </w:rPr>
        <w:t>29 договорів</w:t>
      </w:r>
      <w:r w:rsidRPr="00242020">
        <w:rPr>
          <w:rFonts w:eastAsia="Times New Roman" w:cs="Times New Roman"/>
          <w:szCs w:val="28"/>
          <w:lang w:eastAsia="ru-RU"/>
        </w:rPr>
        <w:t xml:space="preserve"> купівлі-продажу, що містять умову щодо збереження кількості робочих місць.</w:t>
      </w:r>
    </w:p>
    <w:p w:rsidR="002769BF" w:rsidRPr="00242020" w:rsidRDefault="002769BF" w:rsidP="00102753">
      <w:pPr>
        <w:widowControl/>
        <w:jc w:val="both"/>
        <w:outlineLvl w:val="0"/>
        <w:rPr>
          <w:rFonts w:eastAsia="Times New Roman" w:cs="Times New Roman"/>
          <w:szCs w:val="28"/>
          <w:lang w:eastAsia="ru-RU"/>
        </w:rPr>
      </w:pPr>
      <w:r w:rsidRPr="00242020">
        <w:rPr>
          <w:rFonts w:eastAsia="Times New Roman" w:cs="Times New Roman"/>
          <w:szCs w:val="28"/>
          <w:lang w:eastAsia="ru-RU"/>
        </w:rPr>
        <w:t xml:space="preserve">Результати перевірки засвідчили, що наявна на момент приватизації кількість робочих місць на підприємствах за цими договорами становила </w:t>
      </w:r>
      <w:r w:rsidRPr="00242020">
        <w:rPr>
          <w:rFonts w:eastAsia="Times New Roman" w:cs="Times New Roman"/>
          <w:b/>
          <w:szCs w:val="28"/>
          <w:lang w:eastAsia="ru-RU"/>
        </w:rPr>
        <w:t>2 278 одиниць</w:t>
      </w:r>
      <w:r w:rsidRPr="00242020">
        <w:rPr>
          <w:rFonts w:eastAsia="Times New Roman" w:cs="Times New Roman"/>
          <w:szCs w:val="28"/>
          <w:lang w:eastAsia="ru-RU"/>
        </w:rPr>
        <w:t xml:space="preserve">. Станом на 01.01.2017 їх кількість становить </w:t>
      </w:r>
      <w:r w:rsidRPr="00242020">
        <w:rPr>
          <w:rFonts w:eastAsia="Times New Roman" w:cs="Times New Roman"/>
          <w:b/>
          <w:szCs w:val="28"/>
          <w:lang w:eastAsia="ru-RU"/>
        </w:rPr>
        <w:t>2 320 одиниць</w:t>
      </w:r>
      <w:r w:rsidRPr="00242020">
        <w:rPr>
          <w:rFonts w:eastAsia="Times New Roman" w:cs="Times New Roman"/>
          <w:szCs w:val="28"/>
          <w:lang w:eastAsia="ru-RU"/>
        </w:rPr>
        <w:t xml:space="preserve">. </w:t>
      </w:r>
    </w:p>
    <w:p w:rsidR="002769BF" w:rsidRPr="00242020" w:rsidRDefault="002769BF" w:rsidP="00102753">
      <w:pPr>
        <w:jc w:val="both"/>
        <w:rPr>
          <w:rFonts w:eastAsia="Times New Roman" w:cs="Times New Roman"/>
          <w:szCs w:val="28"/>
          <w:lang w:eastAsia="ru-RU"/>
        </w:rPr>
      </w:pPr>
      <w:r w:rsidRPr="00242020">
        <w:rPr>
          <w:rFonts w:eastAsia="Times New Roman" w:cs="Times New Roman"/>
          <w:szCs w:val="28"/>
          <w:lang w:eastAsia="ru-RU"/>
        </w:rPr>
        <w:t xml:space="preserve">Зокрема, перевірено договір купівлі-продажу </w:t>
      </w:r>
      <w:proofErr w:type="spellStart"/>
      <w:r w:rsidRPr="00242020">
        <w:rPr>
          <w:rFonts w:eastAsia="Times New Roman" w:cs="Times New Roman"/>
          <w:szCs w:val="28"/>
          <w:lang w:eastAsia="ru-RU"/>
        </w:rPr>
        <w:t>ЄМК</w:t>
      </w:r>
      <w:proofErr w:type="spellEnd"/>
      <w:r w:rsidRPr="00242020">
        <w:rPr>
          <w:rFonts w:eastAsia="Times New Roman" w:cs="Times New Roman"/>
          <w:szCs w:val="28"/>
          <w:lang w:eastAsia="ru-RU"/>
        </w:rPr>
        <w:t xml:space="preserve"> державного підприємства ветеринарної медицини «</w:t>
      </w:r>
      <w:proofErr w:type="spellStart"/>
      <w:r w:rsidRPr="00242020">
        <w:rPr>
          <w:rFonts w:eastAsia="Times New Roman" w:cs="Times New Roman"/>
          <w:szCs w:val="28"/>
          <w:lang w:eastAsia="ru-RU"/>
        </w:rPr>
        <w:t>Агроветсервіс</w:t>
      </w:r>
      <w:proofErr w:type="spellEnd"/>
      <w:r w:rsidRPr="00242020">
        <w:rPr>
          <w:rFonts w:eastAsia="Times New Roman" w:cs="Times New Roman"/>
          <w:szCs w:val="28"/>
          <w:lang w:eastAsia="ru-RU"/>
        </w:rPr>
        <w:t>», який містить умову щодо збереження покупцем 18 робочих місць, що існували на момент приватизації. Результати перевірки засвідчили, що їх кількість становить 23</w:t>
      </w:r>
      <w:r w:rsidR="00291076">
        <w:rPr>
          <w:rFonts w:eastAsia="Times New Roman" w:cs="Times New Roman"/>
          <w:szCs w:val="28"/>
          <w:lang w:eastAsia="ru-RU"/>
        </w:rPr>
        <w:t> </w:t>
      </w:r>
      <w:r w:rsidRPr="00242020">
        <w:rPr>
          <w:rFonts w:eastAsia="Times New Roman" w:cs="Times New Roman"/>
          <w:szCs w:val="28"/>
          <w:lang w:eastAsia="ru-RU"/>
        </w:rPr>
        <w:t xml:space="preserve">одиниці. </w:t>
      </w:r>
    </w:p>
    <w:p w:rsidR="002769BF" w:rsidRPr="00242020" w:rsidRDefault="002769BF" w:rsidP="00102753">
      <w:pPr>
        <w:jc w:val="both"/>
        <w:rPr>
          <w:rFonts w:eastAsia="Times New Roman" w:cs="Times New Roman"/>
          <w:szCs w:val="28"/>
          <w:lang w:eastAsia="ru-RU"/>
        </w:rPr>
      </w:pPr>
      <w:r w:rsidRPr="00242020">
        <w:rPr>
          <w:rFonts w:eastAsia="Times New Roman" w:cs="Times New Roman"/>
          <w:szCs w:val="28"/>
          <w:lang w:eastAsia="ru-RU"/>
        </w:rPr>
        <w:t xml:space="preserve">Також перевірено </w:t>
      </w:r>
      <w:r w:rsidRPr="00242020">
        <w:rPr>
          <w:rFonts w:eastAsia="Times New Roman" w:cs="Times New Roman"/>
          <w:b/>
          <w:szCs w:val="28"/>
          <w:lang w:eastAsia="ru-RU"/>
        </w:rPr>
        <w:t>35 договорів</w:t>
      </w:r>
      <w:r w:rsidRPr="00242020">
        <w:rPr>
          <w:rFonts w:eastAsia="Times New Roman" w:cs="Times New Roman"/>
          <w:szCs w:val="28"/>
          <w:lang w:eastAsia="ru-RU"/>
        </w:rPr>
        <w:t xml:space="preserve">, які містять умову зі створення нових робочих місць. Результати перевірок засвідчили створення </w:t>
      </w:r>
      <w:r w:rsidRPr="00242020">
        <w:rPr>
          <w:rFonts w:eastAsia="Times New Roman" w:cs="Times New Roman"/>
          <w:b/>
          <w:szCs w:val="28"/>
          <w:lang w:eastAsia="ru-RU"/>
        </w:rPr>
        <w:t>246 робочих місць.</w:t>
      </w:r>
      <w:r w:rsidRPr="00242020">
        <w:rPr>
          <w:rFonts w:eastAsia="Times New Roman" w:cs="Times New Roman"/>
          <w:szCs w:val="28"/>
          <w:lang w:eastAsia="ru-RU"/>
        </w:rPr>
        <w:t xml:space="preserve"> </w:t>
      </w:r>
    </w:p>
    <w:p w:rsidR="002769BF" w:rsidRPr="00242020" w:rsidRDefault="002769BF" w:rsidP="00102753">
      <w:pPr>
        <w:widowControl/>
        <w:jc w:val="both"/>
        <w:rPr>
          <w:rFonts w:eastAsia="Times New Roman" w:cs="Times New Roman"/>
          <w:szCs w:val="28"/>
          <w:lang w:eastAsia="ru-RU"/>
        </w:rPr>
      </w:pPr>
      <w:r w:rsidRPr="00242020">
        <w:rPr>
          <w:rFonts w:eastAsia="Times New Roman" w:cs="Times New Roman"/>
          <w:szCs w:val="28"/>
          <w:lang w:eastAsia="ru-RU"/>
        </w:rPr>
        <w:t xml:space="preserve">Наприклад, у </w:t>
      </w:r>
      <w:r w:rsidRPr="00242020">
        <w:rPr>
          <w:rFonts w:eastAsia="Times New Roman" w:cs="Times New Roman"/>
          <w:color w:val="000000"/>
          <w:szCs w:val="28"/>
          <w:lang w:eastAsia="ru-RU"/>
        </w:rPr>
        <w:t>Закарпатській області</w:t>
      </w:r>
      <w:r w:rsidRPr="00242020">
        <w:rPr>
          <w:rFonts w:eastAsia="Times New Roman" w:cs="Times New Roman"/>
          <w:szCs w:val="28"/>
          <w:lang w:eastAsia="ru-RU"/>
        </w:rPr>
        <w:t xml:space="preserve"> за договором купівлі-продажу </w:t>
      </w:r>
      <w:proofErr w:type="spellStart"/>
      <w:r w:rsidRPr="00242020">
        <w:rPr>
          <w:rFonts w:eastAsia="Times New Roman" w:cs="Times New Roman"/>
          <w:szCs w:val="28"/>
          <w:lang w:eastAsia="ru-RU"/>
        </w:rPr>
        <w:t>ЄМК</w:t>
      </w:r>
      <w:proofErr w:type="spellEnd"/>
      <w:r w:rsidRPr="00242020">
        <w:rPr>
          <w:rFonts w:eastAsia="Times New Roman" w:cs="Times New Roman"/>
          <w:color w:val="000000"/>
          <w:szCs w:val="28"/>
          <w:lang w:eastAsia="ru-RU"/>
        </w:rPr>
        <w:t xml:space="preserve"> Закарпатського туристичного центру «Верховина»</w:t>
      </w:r>
      <w:r w:rsidRPr="00242020">
        <w:rPr>
          <w:rFonts w:eastAsia="Times New Roman" w:cs="Times New Roman"/>
          <w:szCs w:val="28"/>
          <w:lang w:eastAsia="ru-RU"/>
        </w:rPr>
        <w:t xml:space="preserve"> покупцем створено 21</w:t>
      </w:r>
      <w:r w:rsidR="00291076">
        <w:rPr>
          <w:rFonts w:eastAsia="Times New Roman" w:cs="Times New Roman"/>
          <w:szCs w:val="28"/>
          <w:lang w:eastAsia="ru-RU"/>
        </w:rPr>
        <w:t> </w:t>
      </w:r>
      <w:r w:rsidRPr="00242020">
        <w:rPr>
          <w:rFonts w:eastAsia="Times New Roman" w:cs="Times New Roman"/>
          <w:szCs w:val="28"/>
          <w:lang w:eastAsia="ru-RU"/>
        </w:rPr>
        <w:t>робоче місце.</w:t>
      </w:r>
    </w:p>
    <w:p w:rsidR="002769BF" w:rsidRPr="00242020" w:rsidRDefault="002769BF" w:rsidP="00102753">
      <w:pPr>
        <w:widowControl/>
        <w:jc w:val="both"/>
        <w:outlineLvl w:val="0"/>
        <w:rPr>
          <w:rFonts w:eastAsia="Times New Roman" w:cs="Times New Roman"/>
          <w:szCs w:val="28"/>
          <w:lang w:eastAsia="ru-RU"/>
        </w:rPr>
      </w:pPr>
      <w:r w:rsidRPr="00242020">
        <w:rPr>
          <w:rFonts w:eastAsia="Times New Roman" w:cs="Times New Roman"/>
          <w:szCs w:val="28"/>
          <w:lang w:eastAsia="ru-RU"/>
        </w:rPr>
        <w:t>У всіх встановлених випадках порушення покупцями взятих ними зобов’язань органами приватизації протягом звітного періоду здійснювалася необхідна претензійно-позовна робота щодо застосування до них передбачених договорами та законодавством санкцій.</w:t>
      </w:r>
    </w:p>
    <w:p w:rsidR="002769BF" w:rsidRPr="00242020" w:rsidRDefault="002769BF" w:rsidP="00102753">
      <w:pPr>
        <w:widowControl/>
        <w:jc w:val="both"/>
        <w:outlineLvl w:val="0"/>
        <w:rPr>
          <w:rFonts w:eastAsia="Times New Roman" w:cs="Times New Roman"/>
          <w:szCs w:val="28"/>
          <w:lang w:eastAsia="ru-RU"/>
        </w:rPr>
      </w:pPr>
      <w:r w:rsidRPr="00242020">
        <w:rPr>
          <w:rFonts w:eastAsia="Times New Roman" w:cs="Times New Roman"/>
          <w:szCs w:val="28"/>
          <w:lang w:eastAsia="ru-RU"/>
        </w:rPr>
        <w:t>У 2016 році сума штрафних санкцій, сплачених до державного бюджету, становить 490,733 тис. грн.</w:t>
      </w:r>
    </w:p>
    <w:p w:rsidR="002769BF" w:rsidRPr="00242020" w:rsidRDefault="002769BF" w:rsidP="00102753">
      <w:pPr>
        <w:widowControl/>
        <w:jc w:val="both"/>
        <w:outlineLvl w:val="0"/>
        <w:rPr>
          <w:rFonts w:eastAsia="Times New Roman" w:cs="Times New Roman"/>
          <w:szCs w:val="28"/>
          <w:lang w:eastAsia="ru-RU"/>
        </w:rPr>
      </w:pPr>
      <w:r w:rsidRPr="00242020">
        <w:rPr>
          <w:rFonts w:eastAsia="Times New Roman" w:cs="Times New Roman"/>
          <w:szCs w:val="28"/>
          <w:lang w:eastAsia="ru-RU"/>
        </w:rPr>
        <w:t xml:space="preserve">Сума нарахованих штрафних санкцій за рішенням судів, за якими проводиться стягнення, на початок 2017 року становить 73,38 </w:t>
      </w:r>
      <w:proofErr w:type="spellStart"/>
      <w:r w:rsidRPr="00242020">
        <w:rPr>
          <w:rFonts w:eastAsia="Times New Roman" w:cs="Times New Roman"/>
          <w:szCs w:val="28"/>
          <w:lang w:eastAsia="ru-RU"/>
        </w:rPr>
        <w:t>млн</w:t>
      </w:r>
      <w:proofErr w:type="spellEnd"/>
      <w:r w:rsidRPr="00242020">
        <w:rPr>
          <w:rFonts w:eastAsia="Times New Roman" w:cs="Times New Roman"/>
          <w:szCs w:val="28"/>
          <w:lang w:eastAsia="ru-RU"/>
        </w:rPr>
        <w:t xml:space="preserve"> </w:t>
      </w:r>
      <w:proofErr w:type="spellStart"/>
      <w:r w:rsidRPr="00242020">
        <w:rPr>
          <w:rFonts w:eastAsia="Times New Roman" w:cs="Times New Roman"/>
          <w:szCs w:val="28"/>
          <w:lang w:eastAsia="ru-RU"/>
        </w:rPr>
        <w:t>грн</w:t>
      </w:r>
      <w:proofErr w:type="spellEnd"/>
      <w:r w:rsidRPr="00242020">
        <w:rPr>
          <w:rFonts w:eastAsia="Times New Roman" w:cs="Times New Roman"/>
          <w:szCs w:val="28"/>
          <w:lang w:eastAsia="ru-RU"/>
        </w:rPr>
        <w:t>, тобто це – різниця між сумами нарахованих та сплачених штрафів.</w:t>
      </w:r>
    </w:p>
    <w:p w:rsidR="002769BF" w:rsidRPr="00242020" w:rsidRDefault="002769BF" w:rsidP="00102753">
      <w:pPr>
        <w:widowControl/>
        <w:jc w:val="both"/>
        <w:rPr>
          <w:rFonts w:eastAsia="Times New Roman" w:cs="Times New Roman"/>
          <w:i/>
          <w:szCs w:val="28"/>
          <w:lang w:eastAsia="ru-RU"/>
        </w:rPr>
      </w:pPr>
      <w:r w:rsidRPr="00242020">
        <w:rPr>
          <w:rFonts w:eastAsia="Times New Roman" w:cs="Times New Roman"/>
          <w:i/>
          <w:szCs w:val="28"/>
          <w:lang w:eastAsia="ru-RU"/>
        </w:rPr>
        <w:t>У 2015 році сума штрафних санкцій, сплачених до державного бюджету, становить 598,</w:t>
      </w:r>
      <w:r w:rsidR="00085F86">
        <w:rPr>
          <w:rFonts w:eastAsia="Times New Roman" w:cs="Times New Roman"/>
          <w:i/>
          <w:szCs w:val="28"/>
          <w:lang w:eastAsia="ru-RU"/>
        </w:rPr>
        <w:t>146</w:t>
      </w:r>
      <w:r w:rsidRPr="00242020">
        <w:rPr>
          <w:rFonts w:eastAsia="Times New Roman" w:cs="Times New Roman"/>
          <w:i/>
          <w:szCs w:val="28"/>
          <w:lang w:eastAsia="ru-RU"/>
        </w:rPr>
        <w:t xml:space="preserve"> тис. грн. Р</w:t>
      </w:r>
      <w:r w:rsidRPr="00242020">
        <w:rPr>
          <w:rFonts w:eastAsia="Times New Roman" w:cs="Times New Roman"/>
          <w:i/>
          <w:color w:val="000000"/>
          <w:szCs w:val="28"/>
          <w:lang w:eastAsia="ru-RU"/>
        </w:rPr>
        <w:t xml:space="preserve">ізниця між сумами нарахованих та сплачених штрафів на початок 2016 року становить 15,02 </w:t>
      </w:r>
      <w:proofErr w:type="spellStart"/>
      <w:r w:rsidRPr="00242020">
        <w:rPr>
          <w:rFonts w:eastAsia="Times New Roman" w:cs="Times New Roman"/>
          <w:i/>
          <w:color w:val="000000"/>
          <w:szCs w:val="28"/>
          <w:lang w:eastAsia="ru-RU"/>
        </w:rPr>
        <w:t>млн</w:t>
      </w:r>
      <w:proofErr w:type="spellEnd"/>
      <w:r w:rsidRPr="00242020">
        <w:rPr>
          <w:rFonts w:eastAsia="Times New Roman" w:cs="Times New Roman"/>
          <w:i/>
          <w:color w:val="000000"/>
          <w:szCs w:val="28"/>
          <w:lang w:eastAsia="ru-RU"/>
        </w:rPr>
        <w:t xml:space="preserve"> грн.</w:t>
      </w:r>
    </w:p>
    <w:p w:rsidR="002769BF" w:rsidRPr="00242020" w:rsidRDefault="002769BF" w:rsidP="00102753">
      <w:pPr>
        <w:widowControl/>
        <w:jc w:val="both"/>
        <w:outlineLvl w:val="0"/>
        <w:rPr>
          <w:rFonts w:eastAsia="Times New Roman" w:cs="Times New Roman"/>
          <w:szCs w:val="28"/>
          <w:lang w:eastAsia="ru-RU"/>
        </w:rPr>
      </w:pPr>
      <w:r w:rsidRPr="00242020">
        <w:rPr>
          <w:rFonts w:eastAsia="Times New Roman" w:cs="Times New Roman"/>
          <w:szCs w:val="28"/>
          <w:lang w:eastAsia="ru-RU"/>
        </w:rPr>
        <w:t xml:space="preserve">Загальна сума штрафів, пені та неустойок, яка була нарахована (наростаючим підсумком) за рішеннями судів за попередні роки, становить 91,69 </w:t>
      </w:r>
      <w:proofErr w:type="spellStart"/>
      <w:r w:rsidRPr="00242020">
        <w:rPr>
          <w:rFonts w:eastAsia="Times New Roman" w:cs="Times New Roman"/>
          <w:szCs w:val="28"/>
          <w:lang w:eastAsia="ru-RU"/>
        </w:rPr>
        <w:t>млн</w:t>
      </w:r>
      <w:proofErr w:type="spellEnd"/>
      <w:r w:rsidRPr="00242020">
        <w:rPr>
          <w:rFonts w:eastAsia="Times New Roman" w:cs="Times New Roman"/>
          <w:szCs w:val="28"/>
          <w:lang w:eastAsia="ru-RU"/>
        </w:rPr>
        <w:t xml:space="preserve"> </w:t>
      </w:r>
      <w:proofErr w:type="spellStart"/>
      <w:r w:rsidRPr="00242020">
        <w:rPr>
          <w:rFonts w:eastAsia="Times New Roman" w:cs="Times New Roman"/>
          <w:szCs w:val="28"/>
          <w:lang w:eastAsia="ru-RU"/>
        </w:rPr>
        <w:t>грн</w:t>
      </w:r>
      <w:proofErr w:type="spellEnd"/>
      <w:r w:rsidRPr="00242020">
        <w:rPr>
          <w:rFonts w:eastAsia="Times New Roman" w:cs="Times New Roman"/>
          <w:szCs w:val="28"/>
          <w:lang w:eastAsia="ru-RU"/>
        </w:rPr>
        <w:t xml:space="preserve"> та 119,3 тис. дол. США. Фактично було сплачено 18,3 </w:t>
      </w:r>
      <w:proofErr w:type="spellStart"/>
      <w:r w:rsidRPr="00242020">
        <w:rPr>
          <w:rFonts w:eastAsia="Times New Roman" w:cs="Times New Roman"/>
          <w:szCs w:val="28"/>
          <w:lang w:eastAsia="ru-RU"/>
        </w:rPr>
        <w:t>млн</w:t>
      </w:r>
      <w:proofErr w:type="spellEnd"/>
      <w:r w:rsidRPr="00242020">
        <w:rPr>
          <w:rFonts w:eastAsia="Times New Roman" w:cs="Times New Roman"/>
          <w:szCs w:val="28"/>
          <w:lang w:eastAsia="ru-RU"/>
        </w:rPr>
        <w:t xml:space="preserve"> </w:t>
      </w:r>
      <w:proofErr w:type="spellStart"/>
      <w:r w:rsidRPr="00242020">
        <w:rPr>
          <w:rFonts w:eastAsia="Times New Roman" w:cs="Times New Roman"/>
          <w:szCs w:val="28"/>
          <w:lang w:eastAsia="ru-RU"/>
        </w:rPr>
        <w:t>грн</w:t>
      </w:r>
      <w:proofErr w:type="spellEnd"/>
      <w:r w:rsidRPr="00242020">
        <w:rPr>
          <w:rFonts w:eastAsia="Times New Roman" w:cs="Times New Roman"/>
          <w:szCs w:val="28"/>
          <w:lang w:eastAsia="ru-RU"/>
        </w:rPr>
        <w:t xml:space="preserve"> та 106,4 тис. дол. США. </w:t>
      </w:r>
    </w:p>
    <w:p w:rsidR="002769BF" w:rsidRPr="00242020" w:rsidRDefault="002769BF" w:rsidP="00102753">
      <w:pPr>
        <w:jc w:val="both"/>
        <w:outlineLvl w:val="0"/>
        <w:rPr>
          <w:rFonts w:eastAsia="Times New Roman" w:cs="Times New Roman"/>
          <w:szCs w:val="28"/>
          <w:lang w:eastAsia="ru-RU"/>
        </w:rPr>
      </w:pPr>
      <w:r w:rsidRPr="00242020">
        <w:rPr>
          <w:rFonts w:eastAsia="Times New Roman" w:cs="Times New Roman"/>
          <w:szCs w:val="28"/>
          <w:lang w:eastAsia="ru-RU"/>
        </w:rPr>
        <w:t xml:space="preserve">Після використання всіх можливостей досудового врегулювання спорів Фондом здійснювалися дії щодо розірвання таких договорів та повернення </w:t>
      </w:r>
      <w:r w:rsidRPr="00242020">
        <w:rPr>
          <w:rFonts w:eastAsia="Times New Roman" w:cs="Times New Roman"/>
          <w:szCs w:val="28"/>
          <w:lang w:eastAsia="ru-RU"/>
        </w:rPr>
        <w:lastRenderedPageBreak/>
        <w:t>відчужених за ними об’єктів у державну власність.</w:t>
      </w:r>
    </w:p>
    <w:p w:rsidR="002769BF" w:rsidRPr="00242020" w:rsidRDefault="002769BF" w:rsidP="00102753">
      <w:pPr>
        <w:widowControl/>
        <w:jc w:val="both"/>
        <w:rPr>
          <w:rFonts w:eastAsia="Times New Roman" w:cs="Times New Roman"/>
          <w:szCs w:val="28"/>
          <w:lang w:eastAsia="ru-RU"/>
        </w:rPr>
      </w:pPr>
      <w:r w:rsidRPr="00242020">
        <w:rPr>
          <w:rFonts w:eastAsia="Times New Roman" w:cs="Times New Roman"/>
          <w:szCs w:val="28"/>
          <w:lang w:eastAsia="ru-RU"/>
        </w:rPr>
        <w:t>За результатами перевірок виконання умов договорів купівлі-продажу, проведених органами приватизації у 2016</w:t>
      </w:r>
      <w:r w:rsidRPr="00242020">
        <w:rPr>
          <w:rFonts w:eastAsia="Times New Roman" w:cs="Times New Roman"/>
          <w:b/>
          <w:szCs w:val="28"/>
          <w:lang w:eastAsia="ru-RU"/>
        </w:rPr>
        <w:t xml:space="preserve"> </w:t>
      </w:r>
      <w:r w:rsidRPr="00242020">
        <w:rPr>
          <w:rFonts w:eastAsia="Times New Roman" w:cs="Times New Roman"/>
          <w:szCs w:val="28"/>
          <w:lang w:eastAsia="ru-RU"/>
        </w:rPr>
        <w:t>році, розпочато претензійно-позовну роботу з розірвання 2 договорів купівлі-продажу пакетів акцій, 21 договору купівлі-продажу об’єктів незавершеного будівництва та 6 договорів купівлі-продажу єдиних майнових комплексів та повернення проданих за ними об’єктів у державну власність. Крім того, за 1</w:t>
      </w:r>
      <w:r w:rsidRPr="00085F86">
        <w:rPr>
          <w:rFonts w:eastAsia="Times New Roman" w:cs="Times New Roman"/>
          <w:szCs w:val="28"/>
          <w:lang w:eastAsia="ru-RU"/>
        </w:rPr>
        <w:t xml:space="preserve"> </w:t>
      </w:r>
      <w:r w:rsidRPr="00242020">
        <w:rPr>
          <w:rFonts w:eastAsia="Times New Roman" w:cs="Times New Roman"/>
          <w:szCs w:val="28"/>
          <w:lang w:eastAsia="ru-RU"/>
        </w:rPr>
        <w:t xml:space="preserve">договором купівлі-продажу об’єкта незавершеного будівництва претензійно-позовна робота з розірвання припинена у зв’язку з вичерпанням усіх можливостей з повернення об’єкта у державну власність, ще за 2 договорами купівлі-продажу об’єктів незавершеного будівництва – у зв’язку з укладанням додаткової угоди, якою продовжено термін виконання умов та у зв’язку з затвердженням сторонами мирової угоди у судовому засіданні. </w:t>
      </w:r>
    </w:p>
    <w:p w:rsidR="002769BF" w:rsidRPr="00242020" w:rsidRDefault="002769BF" w:rsidP="00102753">
      <w:pPr>
        <w:widowControl/>
        <w:jc w:val="both"/>
        <w:outlineLvl w:val="0"/>
        <w:rPr>
          <w:rFonts w:eastAsia="Times New Roman" w:cs="Times New Roman"/>
          <w:szCs w:val="28"/>
          <w:lang w:eastAsia="ru-RU"/>
        </w:rPr>
      </w:pPr>
      <w:r w:rsidRPr="00242020">
        <w:rPr>
          <w:rFonts w:eastAsia="Times New Roman" w:cs="Times New Roman"/>
          <w:szCs w:val="28"/>
          <w:lang w:eastAsia="ru-RU"/>
        </w:rPr>
        <w:t>За 114 договорами триває претензійно-позовна робота щодо їх розірвання та повернення відчужених об’єктів у державну власність (з них: 13 – пакети акцій, 24 – єдині майнові комплекси та 77 – об’єкти незавершеного будівництва).</w:t>
      </w:r>
    </w:p>
    <w:p w:rsidR="002769BF" w:rsidRPr="00242020" w:rsidRDefault="002769BF" w:rsidP="00102753">
      <w:pPr>
        <w:widowControl/>
        <w:jc w:val="both"/>
        <w:outlineLvl w:val="0"/>
        <w:rPr>
          <w:rFonts w:eastAsia="Times New Roman" w:cs="Times New Roman"/>
          <w:szCs w:val="28"/>
          <w:lang w:eastAsia="ru-RU"/>
        </w:rPr>
      </w:pPr>
      <w:r w:rsidRPr="00242020">
        <w:rPr>
          <w:rFonts w:eastAsia="Times New Roman" w:cs="Times New Roman"/>
          <w:szCs w:val="28"/>
          <w:lang w:eastAsia="ru-RU"/>
        </w:rPr>
        <w:t xml:space="preserve">Станом на 01.01.2017 у власність держави повернено </w:t>
      </w:r>
      <w:r w:rsidR="00085F86">
        <w:rPr>
          <w:rFonts w:eastAsia="Times New Roman" w:cs="Times New Roman"/>
          <w:szCs w:val="28"/>
          <w:lang w:eastAsia="ru-RU"/>
        </w:rPr>
        <w:t>361</w:t>
      </w:r>
      <w:r w:rsidRPr="00242020">
        <w:rPr>
          <w:rFonts w:eastAsia="Times New Roman" w:cs="Times New Roman"/>
          <w:szCs w:val="28"/>
          <w:lang w:eastAsia="ru-RU"/>
        </w:rPr>
        <w:t xml:space="preserve"> (накопичувальним підсумком) об’єкт приватизації (з яких: 8</w:t>
      </w:r>
      <w:r w:rsidR="00E216A3">
        <w:rPr>
          <w:rFonts w:eastAsia="Times New Roman" w:cs="Times New Roman"/>
          <w:szCs w:val="28"/>
          <w:lang w:eastAsia="ru-RU"/>
        </w:rPr>
        <w:t>7</w:t>
      </w:r>
      <w:r w:rsidRPr="00242020">
        <w:rPr>
          <w:rFonts w:eastAsia="Times New Roman" w:cs="Times New Roman"/>
          <w:szCs w:val="28"/>
          <w:lang w:eastAsia="ru-RU"/>
        </w:rPr>
        <w:t xml:space="preserve"> – пакети акцій,</w:t>
      </w:r>
      <w:r w:rsidR="00EE1045">
        <w:rPr>
          <w:rFonts w:eastAsia="Times New Roman" w:cs="Times New Roman"/>
          <w:szCs w:val="28"/>
          <w:lang w:eastAsia="ru-RU"/>
        </w:rPr>
        <w:br/>
      </w:r>
      <w:r w:rsidRPr="00242020">
        <w:rPr>
          <w:rFonts w:eastAsia="Times New Roman" w:cs="Times New Roman"/>
          <w:szCs w:val="28"/>
          <w:lang w:eastAsia="ru-RU"/>
        </w:rPr>
        <w:t>60 – єдині майнові комплекси і 2</w:t>
      </w:r>
      <w:r w:rsidR="00E216A3">
        <w:rPr>
          <w:rFonts w:eastAsia="Times New Roman" w:cs="Times New Roman"/>
          <w:szCs w:val="28"/>
          <w:lang w:eastAsia="ru-RU"/>
        </w:rPr>
        <w:t>14</w:t>
      </w:r>
      <w:r w:rsidRPr="00242020">
        <w:rPr>
          <w:rFonts w:eastAsia="Times New Roman" w:cs="Times New Roman"/>
          <w:szCs w:val="28"/>
          <w:lang w:eastAsia="ru-RU"/>
        </w:rPr>
        <w:t xml:space="preserve"> – об’єкти незавершеного будівництва). </w:t>
      </w:r>
    </w:p>
    <w:p w:rsidR="002769BF" w:rsidRPr="00242020" w:rsidRDefault="002769BF" w:rsidP="00102753">
      <w:pPr>
        <w:widowControl/>
        <w:jc w:val="both"/>
        <w:outlineLvl w:val="0"/>
        <w:rPr>
          <w:rFonts w:eastAsia="Times New Roman" w:cs="Times New Roman"/>
          <w:szCs w:val="28"/>
          <w:lang w:eastAsia="ru-RU"/>
        </w:rPr>
      </w:pPr>
      <w:r w:rsidRPr="00242020">
        <w:rPr>
          <w:rFonts w:eastAsia="Times New Roman" w:cs="Times New Roman"/>
          <w:szCs w:val="28"/>
          <w:lang w:eastAsia="ru-RU"/>
        </w:rPr>
        <w:t>У звітному періоді у державну власність повернено 8 об’єктів незавершеного будівництва та 1 пакет акцій підприємства.</w:t>
      </w:r>
    </w:p>
    <w:p w:rsidR="002769BF" w:rsidRPr="00242020" w:rsidRDefault="002769BF" w:rsidP="00102753">
      <w:pPr>
        <w:widowControl/>
        <w:jc w:val="both"/>
        <w:outlineLvl w:val="0"/>
        <w:rPr>
          <w:rFonts w:eastAsia="Times New Roman" w:cs="Times New Roman"/>
          <w:szCs w:val="28"/>
          <w:lang w:eastAsia="ru-RU"/>
        </w:rPr>
      </w:pPr>
      <w:r w:rsidRPr="00242020">
        <w:rPr>
          <w:rFonts w:eastAsia="Times New Roman" w:cs="Times New Roman"/>
          <w:szCs w:val="28"/>
          <w:lang w:eastAsia="ru-RU"/>
        </w:rPr>
        <w:t xml:space="preserve">Загальна сума коштів, отриманих від продажу повернених державі об’єктів за рішеннями судів, накопичувальним підсумком становить </w:t>
      </w:r>
      <w:r w:rsidRPr="00242020">
        <w:rPr>
          <w:rFonts w:eastAsia="Times New Roman" w:cs="Times New Roman"/>
          <w:szCs w:val="28"/>
          <w:lang w:eastAsia="ru-RU"/>
        </w:rPr>
        <w:br/>
        <w:t xml:space="preserve">105,7 </w:t>
      </w:r>
      <w:proofErr w:type="spellStart"/>
      <w:r w:rsidRPr="00242020">
        <w:rPr>
          <w:rFonts w:eastAsia="Times New Roman" w:cs="Times New Roman"/>
          <w:szCs w:val="28"/>
          <w:lang w:eastAsia="ru-RU"/>
        </w:rPr>
        <w:t>млн</w:t>
      </w:r>
      <w:proofErr w:type="spellEnd"/>
      <w:r w:rsidRPr="00242020">
        <w:rPr>
          <w:rFonts w:eastAsia="Times New Roman" w:cs="Times New Roman"/>
          <w:szCs w:val="28"/>
          <w:lang w:eastAsia="ru-RU"/>
        </w:rPr>
        <w:t xml:space="preserve"> грн. У 2016 році повторно продано 4 об’єкти незавершеного будівництва. Сума коштів, отримана за повторний продаж у звітному періоді, становить 1,569 </w:t>
      </w:r>
      <w:proofErr w:type="spellStart"/>
      <w:r w:rsidRPr="00242020">
        <w:rPr>
          <w:rFonts w:eastAsia="Times New Roman" w:cs="Times New Roman"/>
          <w:szCs w:val="28"/>
          <w:lang w:eastAsia="ru-RU"/>
        </w:rPr>
        <w:t>млн</w:t>
      </w:r>
      <w:proofErr w:type="spellEnd"/>
      <w:r w:rsidRPr="00242020">
        <w:rPr>
          <w:rFonts w:eastAsia="Times New Roman" w:cs="Times New Roman"/>
          <w:szCs w:val="28"/>
          <w:lang w:eastAsia="ru-RU"/>
        </w:rPr>
        <w:t xml:space="preserve"> грн.</w:t>
      </w:r>
    </w:p>
    <w:p w:rsidR="00D226C3" w:rsidRPr="00242020" w:rsidRDefault="00D226C3"/>
    <w:p w:rsidR="00D226C3" w:rsidRPr="00242020" w:rsidRDefault="00D226C3"/>
    <w:p w:rsidR="00CB29B1" w:rsidRPr="00242020" w:rsidRDefault="00CB29B1">
      <w:pPr>
        <w:sectPr w:rsidR="00CB29B1" w:rsidRPr="00242020" w:rsidSect="00BE4231">
          <w:pgSz w:w="11906" w:h="16838"/>
          <w:pgMar w:top="1134" w:right="851" w:bottom="1134" w:left="1418" w:header="709" w:footer="709" w:gutter="0"/>
          <w:cols w:space="708"/>
          <w:docGrid w:linePitch="381"/>
        </w:sectPr>
      </w:pPr>
    </w:p>
    <w:p w:rsidR="00805AB4" w:rsidRPr="00242020" w:rsidRDefault="00805AB4" w:rsidP="00805AB4">
      <w:pPr>
        <w:pStyle w:val="1"/>
      </w:pPr>
      <w:r w:rsidRPr="00242020">
        <w:lastRenderedPageBreak/>
        <w:t>3. Управління державною власністю</w:t>
      </w:r>
    </w:p>
    <w:p w:rsidR="00805AB4" w:rsidRPr="00242020" w:rsidRDefault="00805AB4" w:rsidP="00805AB4">
      <w:pPr>
        <w:pStyle w:val="2"/>
      </w:pPr>
      <w:r w:rsidRPr="00242020">
        <w:t>3.1. Ведення Єдиного реєстру об’єктів державної власності</w:t>
      </w:r>
    </w:p>
    <w:p w:rsidR="006F4201" w:rsidRPr="00242020" w:rsidRDefault="006F4201" w:rsidP="002039E8">
      <w:pPr>
        <w:jc w:val="both"/>
        <w:rPr>
          <w:rFonts w:eastAsia="Times New Roman" w:cs="Times New Roman"/>
          <w:sz w:val="12"/>
          <w:szCs w:val="12"/>
          <w:lang w:eastAsia="ru-RU"/>
        </w:rPr>
      </w:pPr>
    </w:p>
    <w:p w:rsidR="002039E8" w:rsidRPr="00242020" w:rsidRDefault="002039E8" w:rsidP="002039E8">
      <w:pPr>
        <w:jc w:val="both"/>
        <w:rPr>
          <w:rFonts w:eastAsia="Times New Roman" w:cs="Times New Roman"/>
          <w:szCs w:val="28"/>
          <w:lang w:eastAsia="ru-RU"/>
        </w:rPr>
      </w:pPr>
      <w:r w:rsidRPr="00242020">
        <w:rPr>
          <w:rFonts w:eastAsia="Times New Roman" w:cs="Times New Roman"/>
          <w:szCs w:val="28"/>
          <w:lang w:eastAsia="ru-RU"/>
        </w:rPr>
        <w:t xml:space="preserve">Формування та ведення Єдиного реєстру об’єктів державної власності (далі – Реєстр) здійснюється Фондом відповідно до Закону України «Про управління об’єктами державної власності», постанов Уряду від 14 квітня 2004 року № 467 «Про затвердження Положення про Єдиний реєстр об’єктів державної власності» (із змінами та доповненнями) та від 30 листопада 2005 року № 1121 «Про затвердження Методики проведення інвентаризації об’єктів державної власності» та інших нормативно-правових актів. </w:t>
      </w:r>
    </w:p>
    <w:p w:rsidR="002039E8" w:rsidRPr="00242020" w:rsidRDefault="002039E8" w:rsidP="002039E8">
      <w:pPr>
        <w:jc w:val="both"/>
        <w:rPr>
          <w:rFonts w:eastAsia="Times New Roman" w:cs="Times New Roman"/>
          <w:szCs w:val="28"/>
          <w:lang w:eastAsia="ru-RU"/>
        </w:rPr>
      </w:pPr>
      <w:r w:rsidRPr="00242020">
        <w:rPr>
          <w:rFonts w:eastAsia="Times New Roman" w:cs="Times New Roman"/>
          <w:szCs w:val="28"/>
          <w:lang w:eastAsia="ru-RU"/>
        </w:rPr>
        <w:t>Відповідно до статті 6 Закону України «Про управління об’єктами державної власності» суб’єкти управління уповноважені вести облік об’єктів державної власності, які перебувають в їх управлінні, здійснювати контроль за ефективним використанням та збереженням таких об’єктів, забезпечувати надання в електронному та паперовому вигляді розпоряднику Реєстру відомостей про об’єкти державної власності для формування і ведення Реєстру</w:t>
      </w:r>
      <w:r w:rsidR="00CC7727" w:rsidRPr="00242020">
        <w:rPr>
          <w:rFonts w:eastAsia="Times New Roman" w:cs="Times New Roman"/>
          <w:szCs w:val="28"/>
          <w:lang w:eastAsia="ru-RU"/>
        </w:rPr>
        <w:t>.</w:t>
      </w:r>
    </w:p>
    <w:p w:rsidR="002039E8" w:rsidRPr="00242020" w:rsidRDefault="002039E8" w:rsidP="002039E8">
      <w:pPr>
        <w:jc w:val="both"/>
        <w:rPr>
          <w:rFonts w:eastAsia="Times New Roman" w:cs="Times New Roman"/>
          <w:szCs w:val="28"/>
          <w:lang w:eastAsia="ru-RU"/>
        </w:rPr>
      </w:pPr>
      <w:r w:rsidRPr="00242020">
        <w:rPr>
          <w:rFonts w:eastAsia="Times New Roman" w:cs="Times New Roman"/>
          <w:spacing w:val="-6"/>
          <w:szCs w:val="28"/>
          <w:lang w:eastAsia="ru-RU"/>
        </w:rPr>
        <w:t>Здійснюючи функції розпорядника</w:t>
      </w:r>
      <w:r w:rsidRPr="00242020">
        <w:rPr>
          <w:rFonts w:eastAsia="Times New Roman" w:cs="Times New Roman"/>
          <w:szCs w:val="28"/>
          <w:lang w:eastAsia="ru-RU"/>
        </w:rPr>
        <w:t xml:space="preserve"> Реєстру, Фондом організовано співпрацю із 149 суб’єктами управління (у тому числі з 66 центральними органами виконавчої влади, 25 державними місцевими адміністраціями, 6 академіями наук, 5 господарськими структурами тощо).</w:t>
      </w:r>
    </w:p>
    <w:p w:rsidR="002039E8" w:rsidRPr="00242020" w:rsidRDefault="002039E8" w:rsidP="002039E8">
      <w:pPr>
        <w:jc w:val="both"/>
        <w:rPr>
          <w:rFonts w:eastAsia="Times New Roman" w:cs="Times New Roman"/>
          <w:szCs w:val="28"/>
          <w:lang w:eastAsia="ru-RU"/>
        </w:rPr>
      </w:pPr>
      <w:r w:rsidRPr="00242020">
        <w:rPr>
          <w:rFonts w:eastAsia="Times New Roman" w:cs="Times New Roman"/>
          <w:szCs w:val="28"/>
          <w:lang w:eastAsia="ru-RU"/>
        </w:rPr>
        <w:t>У рамках взаємодії з суб’єктами управління об’єктами державної власності з метою забезпечення належного ведення обліку об’єктів державної власності Фонд надає суб’єктам управління роз’яснення щодо порядку подання відомостей про об’єкти державної власності.</w:t>
      </w:r>
    </w:p>
    <w:p w:rsidR="002039E8" w:rsidRPr="00242020" w:rsidRDefault="002039E8" w:rsidP="002039E8">
      <w:pPr>
        <w:jc w:val="both"/>
        <w:rPr>
          <w:rFonts w:eastAsia="Times New Roman" w:cs="Times New Roman"/>
          <w:szCs w:val="28"/>
          <w:lang w:eastAsia="ru-RU"/>
        </w:rPr>
      </w:pPr>
      <w:r w:rsidRPr="00242020">
        <w:rPr>
          <w:rFonts w:eastAsia="Times New Roman" w:cs="Times New Roman"/>
          <w:szCs w:val="28"/>
          <w:lang w:eastAsia="ru-RU"/>
        </w:rPr>
        <w:t>Станом на 01 січня 2017 року</w:t>
      </w:r>
      <w:r w:rsidR="009413C1" w:rsidRPr="00242020">
        <w:rPr>
          <w:rFonts w:eastAsia="Times New Roman" w:cs="Times New Roman"/>
          <w:szCs w:val="28"/>
          <w:lang w:eastAsia="ru-RU"/>
        </w:rPr>
        <w:t>,</w:t>
      </w:r>
      <w:r w:rsidRPr="00242020">
        <w:rPr>
          <w:rFonts w:eastAsia="Times New Roman" w:cs="Times New Roman"/>
          <w:szCs w:val="28"/>
          <w:lang w:eastAsia="ru-RU"/>
        </w:rPr>
        <w:t xml:space="preserve"> за інформацією, наданою суб’єктами управління (за підсумками проведеної інвентаризації об’єктів державної власності), в Реєстрі обліковуються:</w:t>
      </w:r>
    </w:p>
    <w:p w:rsidR="002039E8" w:rsidRPr="00242020" w:rsidRDefault="002039E8" w:rsidP="002039E8">
      <w:pPr>
        <w:widowControl/>
        <w:numPr>
          <w:ilvl w:val="0"/>
          <w:numId w:val="6"/>
        </w:numPr>
        <w:tabs>
          <w:tab w:val="left" w:pos="993"/>
        </w:tabs>
        <w:ind w:left="0" w:firstLine="709"/>
        <w:jc w:val="both"/>
        <w:rPr>
          <w:rFonts w:eastAsia="Times New Roman" w:cs="Times New Roman"/>
          <w:szCs w:val="28"/>
          <w:lang w:eastAsia="ru-RU"/>
        </w:rPr>
      </w:pPr>
      <w:r w:rsidRPr="00242020">
        <w:rPr>
          <w:rFonts w:eastAsia="Times New Roman" w:cs="Times New Roman"/>
          <w:b/>
          <w:szCs w:val="28"/>
          <w:lang w:eastAsia="ru-RU"/>
        </w:rPr>
        <w:t>23,9 тис. юридичних осіб</w:t>
      </w:r>
      <w:r w:rsidRPr="00242020">
        <w:rPr>
          <w:rFonts w:eastAsia="Times New Roman" w:cs="Times New Roman"/>
          <w:szCs w:val="28"/>
          <w:lang w:eastAsia="ru-RU"/>
        </w:rPr>
        <w:t>, які діють на основі лише державної власності і належать до сфери управління відповідного суб’єкта управління;</w:t>
      </w:r>
    </w:p>
    <w:p w:rsidR="002039E8" w:rsidRPr="00242020" w:rsidRDefault="002039E8" w:rsidP="002039E8">
      <w:pPr>
        <w:widowControl/>
        <w:numPr>
          <w:ilvl w:val="0"/>
          <w:numId w:val="6"/>
        </w:numPr>
        <w:tabs>
          <w:tab w:val="left" w:pos="993"/>
        </w:tabs>
        <w:ind w:left="0" w:firstLine="709"/>
        <w:jc w:val="both"/>
        <w:rPr>
          <w:rFonts w:eastAsia="Times New Roman" w:cs="Times New Roman"/>
          <w:szCs w:val="28"/>
          <w:lang w:eastAsia="ru-RU"/>
        </w:rPr>
      </w:pPr>
      <w:r w:rsidRPr="00242020">
        <w:rPr>
          <w:rFonts w:eastAsia="Times New Roman" w:cs="Times New Roman"/>
          <w:b/>
          <w:szCs w:val="28"/>
          <w:lang w:eastAsia="ru-RU"/>
        </w:rPr>
        <w:t>526 господарських організацій з корпоративними правами держави</w:t>
      </w:r>
      <w:r w:rsidRPr="00242020">
        <w:rPr>
          <w:rFonts w:eastAsia="Times New Roman" w:cs="Times New Roman"/>
          <w:szCs w:val="28"/>
          <w:lang w:eastAsia="ru-RU"/>
        </w:rPr>
        <w:t>;</w:t>
      </w:r>
    </w:p>
    <w:p w:rsidR="002039E8" w:rsidRPr="00242020" w:rsidRDefault="002039E8" w:rsidP="002039E8">
      <w:pPr>
        <w:widowControl/>
        <w:numPr>
          <w:ilvl w:val="0"/>
          <w:numId w:val="6"/>
        </w:numPr>
        <w:tabs>
          <w:tab w:val="left" w:pos="993"/>
        </w:tabs>
        <w:ind w:left="0" w:firstLine="709"/>
        <w:jc w:val="both"/>
        <w:rPr>
          <w:rFonts w:eastAsia="Times New Roman" w:cs="Times New Roman"/>
          <w:szCs w:val="28"/>
          <w:lang w:eastAsia="ru-RU"/>
        </w:rPr>
      </w:pPr>
      <w:r w:rsidRPr="00242020">
        <w:rPr>
          <w:rFonts w:eastAsia="Times New Roman" w:cs="Times New Roman"/>
          <w:szCs w:val="28"/>
          <w:lang w:eastAsia="ru-RU"/>
        </w:rPr>
        <w:t xml:space="preserve">більше </w:t>
      </w:r>
      <w:r w:rsidRPr="00242020">
        <w:rPr>
          <w:rFonts w:eastAsia="Times New Roman" w:cs="Times New Roman"/>
          <w:b/>
          <w:szCs w:val="28"/>
          <w:lang w:eastAsia="ru-RU"/>
        </w:rPr>
        <w:t xml:space="preserve">1 </w:t>
      </w:r>
      <w:proofErr w:type="spellStart"/>
      <w:r w:rsidRPr="00242020">
        <w:rPr>
          <w:rFonts w:eastAsia="Times New Roman" w:cs="Times New Roman"/>
          <w:b/>
          <w:szCs w:val="28"/>
          <w:lang w:eastAsia="ru-RU"/>
        </w:rPr>
        <w:t>млн</w:t>
      </w:r>
      <w:proofErr w:type="spellEnd"/>
      <w:r w:rsidRPr="00242020">
        <w:rPr>
          <w:rFonts w:eastAsia="Times New Roman" w:cs="Times New Roman"/>
          <w:b/>
          <w:szCs w:val="28"/>
          <w:lang w:eastAsia="ru-RU"/>
        </w:rPr>
        <w:t xml:space="preserve"> об’єктів державного майна</w:t>
      </w:r>
      <w:r w:rsidRPr="00242020">
        <w:rPr>
          <w:rFonts w:eastAsia="Times New Roman" w:cs="Times New Roman"/>
          <w:szCs w:val="28"/>
          <w:lang w:eastAsia="ru-RU"/>
        </w:rPr>
        <w:t>, з яких:</w:t>
      </w:r>
    </w:p>
    <w:p w:rsidR="002039E8" w:rsidRPr="00242020" w:rsidRDefault="002039E8" w:rsidP="002039E8">
      <w:pPr>
        <w:widowControl/>
        <w:numPr>
          <w:ilvl w:val="0"/>
          <w:numId w:val="8"/>
        </w:numPr>
        <w:tabs>
          <w:tab w:val="left" w:pos="1276"/>
        </w:tabs>
        <w:ind w:left="0" w:firstLine="993"/>
        <w:jc w:val="both"/>
        <w:rPr>
          <w:rFonts w:eastAsia="Times New Roman" w:cs="Times New Roman"/>
          <w:szCs w:val="28"/>
          <w:lang w:eastAsia="ru-RU"/>
        </w:rPr>
      </w:pPr>
      <w:r w:rsidRPr="00242020">
        <w:rPr>
          <w:rFonts w:eastAsia="Times New Roman" w:cs="Times New Roman"/>
          <w:b/>
          <w:szCs w:val="28"/>
          <w:lang w:eastAsia="ru-RU"/>
        </w:rPr>
        <w:t>595,0 тис. об’єктів нерухомого майна державних підприємств, установ, організацій</w:t>
      </w:r>
      <w:r w:rsidRPr="00242020">
        <w:rPr>
          <w:rFonts w:eastAsia="Times New Roman" w:cs="Times New Roman"/>
          <w:szCs w:val="28"/>
          <w:lang w:eastAsia="ru-RU"/>
        </w:rPr>
        <w:t>;</w:t>
      </w:r>
    </w:p>
    <w:p w:rsidR="002039E8" w:rsidRPr="00242020" w:rsidRDefault="002039E8" w:rsidP="002039E8">
      <w:pPr>
        <w:widowControl/>
        <w:numPr>
          <w:ilvl w:val="0"/>
          <w:numId w:val="8"/>
        </w:numPr>
        <w:tabs>
          <w:tab w:val="left" w:pos="1276"/>
        </w:tabs>
        <w:ind w:left="0" w:firstLine="993"/>
        <w:jc w:val="both"/>
        <w:rPr>
          <w:rFonts w:eastAsia="Times New Roman" w:cs="Times New Roman"/>
          <w:szCs w:val="28"/>
          <w:lang w:eastAsia="ru-RU"/>
        </w:rPr>
      </w:pPr>
      <w:r w:rsidRPr="00242020">
        <w:rPr>
          <w:rFonts w:eastAsia="Times New Roman" w:cs="Times New Roman"/>
          <w:b/>
          <w:szCs w:val="28"/>
          <w:lang w:eastAsia="ru-RU"/>
        </w:rPr>
        <w:t>505,7 тис. об’єктів державного майна</w:t>
      </w:r>
      <w:r w:rsidRPr="00242020">
        <w:rPr>
          <w:rFonts w:eastAsia="Times New Roman" w:cs="Times New Roman"/>
          <w:szCs w:val="28"/>
          <w:lang w:eastAsia="ru-RU"/>
        </w:rPr>
        <w:t xml:space="preserve">, яке не увійшло до статутних капіталів господарських товариств </w:t>
      </w:r>
      <w:r w:rsidRPr="00242020">
        <w:rPr>
          <w:rFonts w:eastAsia="Times New Roman" w:cs="Times New Roman"/>
          <w:b/>
          <w:szCs w:val="28"/>
          <w:lang w:eastAsia="ru-RU"/>
        </w:rPr>
        <w:t>у процесі корпоратизації</w:t>
      </w:r>
      <w:r w:rsidRPr="00242020">
        <w:rPr>
          <w:rFonts w:eastAsia="Times New Roman" w:cs="Times New Roman"/>
          <w:szCs w:val="28"/>
          <w:lang w:eastAsia="ru-RU"/>
        </w:rPr>
        <w:t>, але залишилося на їх балансі;</w:t>
      </w:r>
    </w:p>
    <w:p w:rsidR="002039E8" w:rsidRPr="00242020" w:rsidRDefault="002039E8" w:rsidP="002039E8">
      <w:pPr>
        <w:widowControl/>
        <w:numPr>
          <w:ilvl w:val="0"/>
          <w:numId w:val="8"/>
        </w:numPr>
        <w:tabs>
          <w:tab w:val="left" w:pos="1276"/>
        </w:tabs>
        <w:ind w:left="0" w:firstLine="993"/>
        <w:jc w:val="both"/>
        <w:rPr>
          <w:rFonts w:eastAsia="Times New Roman" w:cs="Times New Roman"/>
          <w:szCs w:val="28"/>
          <w:lang w:eastAsia="ru-RU"/>
        </w:rPr>
      </w:pPr>
      <w:r w:rsidRPr="00242020">
        <w:rPr>
          <w:rFonts w:eastAsia="Times New Roman" w:cs="Times New Roman"/>
          <w:b/>
          <w:szCs w:val="28"/>
          <w:lang w:eastAsia="ru-RU"/>
        </w:rPr>
        <w:t>29,1 тис. об’єктів державного майна</w:t>
      </w:r>
      <w:r w:rsidRPr="00242020">
        <w:rPr>
          <w:rFonts w:eastAsia="Times New Roman" w:cs="Times New Roman"/>
          <w:szCs w:val="28"/>
          <w:lang w:eastAsia="ru-RU"/>
        </w:rPr>
        <w:t xml:space="preserve">, яке не увійшло до статутних капіталів господарських товариств </w:t>
      </w:r>
      <w:r w:rsidRPr="00242020">
        <w:rPr>
          <w:rFonts w:eastAsia="Times New Roman" w:cs="Times New Roman"/>
          <w:b/>
          <w:szCs w:val="28"/>
          <w:lang w:eastAsia="ru-RU"/>
        </w:rPr>
        <w:t>у процесі приватизації</w:t>
      </w:r>
      <w:r w:rsidRPr="00242020">
        <w:rPr>
          <w:rFonts w:eastAsia="Times New Roman" w:cs="Times New Roman"/>
          <w:szCs w:val="28"/>
          <w:lang w:eastAsia="ru-RU"/>
        </w:rPr>
        <w:t>, але залишилося на їх балансі.</w:t>
      </w:r>
    </w:p>
    <w:p w:rsidR="002039E8" w:rsidRPr="00242020" w:rsidRDefault="002039E8" w:rsidP="002039E8">
      <w:pPr>
        <w:jc w:val="both"/>
        <w:rPr>
          <w:rFonts w:eastAsia="Times New Roman" w:cs="Times New Roman"/>
          <w:szCs w:val="28"/>
          <w:lang w:eastAsia="ru-RU"/>
        </w:rPr>
      </w:pPr>
      <w:r w:rsidRPr="00242020">
        <w:rPr>
          <w:rFonts w:eastAsia="Times New Roman" w:cs="Times New Roman"/>
          <w:szCs w:val="28"/>
          <w:lang w:eastAsia="ru-RU"/>
        </w:rPr>
        <w:t>Суб’єкти управління надали інформацію про нерухоме майно державних підприємств, установ та організацій щодо майже 10,7 тис. юридичних осіб (</w:t>
      </w:r>
      <w:proofErr w:type="spellStart"/>
      <w:r w:rsidRPr="00242020">
        <w:rPr>
          <w:rFonts w:eastAsia="Times New Roman" w:cs="Times New Roman"/>
          <w:szCs w:val="28"/>
          <w:lang w:eastAsia="ru-RU"/>
        </w:rPr>
        <w:t>балансоутримувачів</w:t>
      </w:r>
      <w:proofErr w:type="spellEnd"/>
      <w:r w:rsidRPr="00242020">
        <w:rPr>
          <w:rFonts w:eastAsia="Times New Roman" w:cs="Times New Roman"/>
          <w:szCs w:val="28"/>
          <w:lang w:eastAsia="ru-RU"/>
        </w:rPr>
        <w:t xml:space="preserve">) та повідомили, що на балансах 12,8 тис. юридичних осіб нерухоме державне майно не обліковується. </w:t>
      </w:r>
    </w:p>
    <w:p w:rsidR="002039E8" w:rsidRPr="00242020" w:rsidRDefault="002039E8" w:rsidP="002039E8">
      <w:pPr>
        <w:jc w:val="both"/>
        <w:rPr>
          <w:rFonts w:eastAsia="Times New Roman" w:cs="Times New Roman"/>
          <w:szCs w:val="28"/>
          <w:lang w:eastAsia="ru-RU"/>
        </w:rPr>
      </w:pPr>
      <w:r w:rsidRPr="00242020">
        <w:rPr>
          <w:rFonts w:eastAsia="Times New Roman" w:cs="Times New Roman"/>
          <w:szCs w:val="28"/>
          <w:lang w:eastAsia="ru-RU"/>
        </w:rPr>
        <w:t xml:space="preserve">Загальна кількість юридичних осіб, що діють на основі лише державної </w:t>
      </w:r>
      <w:r w:rsidRPr="00242020">
        <w:rPr>
          <w:rFonts w:eastAsia="Times New Roman" w:cs="Times New Roman"/>
          <w:szCs w:val="28"/>
          <w:lang w:eastAsia="ru-RU"/>
        </w:rPr>
        <w:lastRenderedPageBreak/>
        <w:t>власності і належать до сфери управління відповідного суб’єкта управління, станом на 01 січня 2017 року порівняно з двома відповідними періодами 2015 та 2016 років наведена у таблиці 3.1.</w:t>
      </w:r>
    </w:p>
    <w:p w:rsidR="002039E8" w:rsidRPr="00242020" w:rsidRDefault="002039E8" w:rsidP="002039E8">
      <w:pPr>
        <w:jc w:val="right"/>
        <w:rPr>
          <w:rFonts w:eastAsia="Times New Roman" w:cs="Times New Roman"/>
          <w:b/>
          <w:sz w:val="24"/>
          <w:szCs w:val="24"/>
          <w:lang w:eastAsia="ru-RU"/>
        </w:rPr>
      </w:pPr>
      <w:r w:rsidRPr="00242020">
        <w:rPr>
          <w:rFonts w:eastAsia="Times New Roman" w:cs="Times New Roman"/>
          <w:b/>
          <w:sz w:val="24"/>
          <w:szCs w:val="24"/>
          <w:lang w:eastAsia="ru-RU"/>
        </w:rPr>
        <w:t>Таблиця 3.1</w:t>
      </w:r>
    </w:p>
    <w:p w:rsidR="002039E8" w:rsidRPr="00242020" w:rsidRDefault="002039E8" w:rsidP="002039E8">
      <w:pPr>
        <w:ind w:firstLine="0"/>
        <w:jc w:val="center"/>
        <w:rPr>
          <w:rFonts w:eastAsia="Times New Roman" w:cs="Times New Roman"/>
          <w:b/>
          <w:szCs w:val="28"/>
          <w:lang w:eastAsia="ru-RU"/>
        </w:rPr>
      </w:pPr>
      <w:r w:rsidRPr="00242020">
        <w:rPr>
          <w:rFonts w:eastAsia="Times New Roman" w:cs="Times New Roman"/>
          <w:b/>
          <w:szCs w:val="28"/>
          <w:lang w:eastAsia="ru-RU"/>
        </w:rPr>
        <w:t>Загальна кількість юридичних осіб,</w:t>
      </w:r>
      <w:r w:rsidRPr="00242020">
        <w:rPr>
          <w:rFonts w:eastAsia="Times New Roman" w:cs="Times New Roman"/>
          <w:b/>
          <w:szCs w:val="28"/>
          <w:lang w:eastAsia="ru-RU"/>
        </w:rPr>
        <w:br/>
        <w:t>які діють на основі лише державної власності</w:t>
      </w:r>
    </w:p>
    <w:p w:rsidR="002039E8" w:rsidRPr="00242020" w:rsidRDefault="002039E8" w:rsidP="002039E8">
      <w:pPr>
        <w:jc w:val="right"/>
        <w:rPr>
          <w:rFonts w:eastAsia="Times New Roman" w:cs="Times New Roman"/>
          <w:b/>
          <w:sz w:val="6"/>
          <w:szCs w:val="6"/>
          <w:lang w:eastAsia="ru-RU"/>
        </w:rPr>
      </w:pPr>
    </w:p>
    <w:tbl>
      <w:tblPr>
        <w:tblW w:w="9602" w:type="dxa"/>
        <w:jc w:val="center"/>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53"/>
        <w:gridCol w:w="1316"/>
        <w:gridCol w:w="1316"/>
        <w:gridCol w:w="1317"/>
      </w:tblGrid>
      <w:tr w:rsidR="002039E8" w:rsidRPr="00242020" w:rsidTr="00CC7727">
        <w:trPr>
          <w:trHeight w:val="194"/>
          <w:jc w:val="center"/>
        </w:trPr>
        <w:tc>
          <w:tcPr>
            <w:tcW w:w="5653" w:type="dxa"/>
            <w:shd w:val="clear" w:color="auto" w:fill="auto"/>
          </w:tcPr>
          <w:p w:rsidR="002039E8" w:rsidRPr="00242020" w:rsidRDefault="002039E8" w:rsidP="002039E8">
            <w:pPr>
              <w:widowControl/>
              <w:ind w:firstLine="0"/>
              <w:rPr>
                <w:rFonts w:eastAsia="Times New Roman" w:cs="Times New Roman"/>
                <w:sz w:val="24"/>
                <w:szCs w:val="24"/>
                <w:lang w:eastAsia="ru-RU"/>
              </w:rPr>
            </w:pPr>
          </w:p>
        </w:tc>
        <w:tc>
          <w:tcPr>
            <w:tcW w:w="1316" w:type="dxa"/>
            <w:shd w:val="clear" w:color="auto" w:fill="auto"/>
            <w:noWrap/>
            <w:vAlign w:val="center"/>
          </w:tcPr>
          <w:p w:rsidR="002039E8" w:rsidRPr="00242020" w:rsidRDefault="002039E8" w:rsidP="002039E8">
            <w:pPr>
              <w:widowControl/>
              <w:ind w:left="-53" w:right="-59" w:firstLine="0"/>
              <w:jc w:val="center"/>
              <w:rPr>
                <w:rFonts w:eastAsia="Times New Roman" w:cs="Times New Roman"/>
                <w:b/>
                <w:sz w:val="24"/>
                <w:szCs w:val="24"/>
                <w:lang w:eastAsia="ru-RU"/>
              </w:rPr>
            </w:pPr>
            <w:r w:rsidRPr="00242020">
              <w:rPr>
                <w:rFonts w:eastAsia="Times New Roman" w:cs="Times New Roman"/>
                <w:b/>
                <w:bCs/>
                <w:sz w:val="24"/>
                <w:szCs w:val="24"/>
                <w:lang w:eastAsia="ru-RU"/>
              </w:rPr>
              <w:t xml:space="preserve">01 </w:t>
            </w:r>
            <w:r w:rsidRPr="00242020">
              <w:rPr>
                <w:rFonts w:eastAsia="Times New Roman" w:cs="Times New Roman"/>
                <w:b/>
                <w:sz w:val="24"/>
                <w:szCs w:val="24"/>
                <w:lang w:eastAsia="ru-RU"/>
              </w:rPr>
              <w:t>січня</w:t>
            </w:r>
            <w:r w:rsidRPr="00242020">
              <w:rPr>
                <w:rFonts w:eastAsia="Times New Roman" w:cs="Times New Roman"/>
                <w:b/>
                <w:bCs/>
                <w:sz w:val="24"/>
                <w:szCs w:val="24"/>
                <w:lang w:eastAsia="ru-RU"/>
              </w:rPr>
              <w:t xml:space="preserve"> 2015</w:t>
            </w:r>
            <w:r w:rsidRPr="00242020">
              <w:rPr>
                <w:rFonts w:eastAsia="Times New Roman" w:cs="Times New Roman"/>
                <w:b/>
                <w:sz w:val="24"/>
                <w:szCs w:val="24"/>
                <w:lang w:eastAsia="ru-RU"/>
              </w:rPr>
              <w:t xml:space="preserve"> р.</w:t>
            </w:r>
          </w:p>
        </w:tc>
        <w:tc>
          <w:tcPr>
            <w:tcW w:w="1316" w:type="dxa"/>
            <w:shd w:val="clear" w:color="auto" w:fill="auto"/>
            <w:noWrap/>
            <w:vAlign w:val="center"/>
          </w:tcPr>
          <w:p w:rsidR="002039E8" w:rsidRPr="00242020" w:rsidRDefault="002039E8" w:rsidP="002039E8">
            <w:pPr>
              <w:widowControl/>
              <w:ind w:left="-53" w:right="-59" w:firstLine="0"/>
              <w:jc w:val="center"/>
              <w:rPr>
                <w:rFonts w:eastAsia="Times New Roman" w:cs="Times New Roman"/>
                <w:b/>
                <w:sz w:val="24"/>
                <w:szCs w:val="24"/>
                <w:lang w:eastAsia="ru-RU"/>
              </w:rPr>
            </w:pPr>
            <w:r w:rsidRPr="00242020">
              <w:rPr>
                <w:rFonts w:eastAsia="Times New Roman" w:cs="Times New Roman"/>
                <w:b/>
                <w:bCs/>
                <w:sz w:val="24"/>
                <w:szCs w:val="24"/>
                <w:lang w:eastAsia="ru-RU"/>
              </w:rPr>
              <w:t xml:space="preserve">01 </w:t>
            </w:r>
            <w:r w:rsidRPr="00242020">
              <w:rPr>
                <w:rFonts w:eastAsia="Times New Roman" w:cs="Times New Roman"/>
                <w:b/>
                <w:sz w:val="24"/>
                <w:szCs w:val="24"/>
                <w:lang w:eastAsia="ru-RU"/>
              </w:rPr>
              <w:t>січня</w:t>
            </w:r>
            <w:r w:rsidRPr="00242020">
              <w:rPr>
                <w:rFonts w:eastAsia="Times New Roman" w:cs="Times New Roman"/>
                <w:b/>
                <w:bCs/>
                <w:sz w:val="24"/>
                <w:szCs w:val="24"/>
                <w:lang w:eastAsia="ru-RU"/>
              </w:rPr>
              <w:t xml:space="preserve"> 2016</w:t>
            </w:r>
            <w:r w:rsidRPr="00242020">
              <w:rPr>
                <w:rFonts w:eastAsia="Times New Roman" w:cs="Times New Roman"/>
                <w:b/>
                <w:sz w:val="24"/>
                <w:szCs w:val="24"/>
                <w:lang w:eastAsia="ru-RU"/>
              </w:rPr>
              <w:t xml:space="preserve"> р.</w:t>
            </w:r>
          </w:p>
        </w:tc>
        <w:tc>
          <w:tcPr>
            <w:tcW w:w="1317" w:type="dxa"/>
            <w:shd w:val="clear" w:color="auto" w:fill="auto"/>
            <w:noWrap/>
            <w:vAlign w:val="center"/>
          </w:tcPr>
          <w:p w:rsidR="002039E8" w:rsidRPr="00242020" w:rsidRDefault="002039E8" w:rsidP="002039E8">
            <w:pPr>
              <w:widowControl/>
              <w:ind w:left="-53" w:right="-59" w:firstLine="0"/>
              <w:jc w:val="center"/>
              <w:rPr>
                <w:rFonts w:eastAsia="Times New Roman" w:cs="Times New Roman"/>
                <w:b/>
                <w:sz w:val="24"/>
                <w:szCs w:val="24"/>
                <w:lang w:eastAsia="ru-RU"/>
              </w:rPr>
            </w:pPr>
            <w:r w:rsidRPr="00242020">
              <w:rPr>
                <w:rFonts w:eastAsia="Times New Roman" w:cs="Times New Roman"/>
                <w:b/>
                <w:bCs/>
                <w:sz w:val="24"/>
                <w:szCs w:val="24"/>
                <w:lang w:eastAsia="ru-RU"/>
              </w:rPr>
              <w:t xml:space="preserve">01 </w:t>
            </w:r>
            <w:r w:rsidRPr="00242020">
              <w:rPr>
                <w:rFonts w:eastAsia="Times New Roman" w:cs="Times New Roman"/>
                <w:b/>
                <w:sz w:val="24"/>
                <w:szCs w:val="24"/>
                <w:lang w:eastAsia="ru-RU"/>
              </w:rPr>
              <w:t>січня</w:t>
            </w:r>
            <w:r w:rsidRPr="00242020">
              <w:rPr>
                <w:rFonts w:eastAsia="Times New Roman" w:cs="Times New Roman"/>
                <w:b/>
                <w:bCs/>
                <w:sz w:val="24"/>
                <w:szCs w:val="24"/>
                <w:lang w:eastAsia="ru-RU"/>
              </w:rPr>
              <w:t xml:space="preserve"> 2017</w:t>
            </w:r>
            <w:r w:rsidRPr="00242020">
              <w:rPr>
                <w:rFonts w:eastAsia="Times New Roman" w:cs="Times New Roman"/>
                <w:b/>
                <w:sz w:val="24"/>
                <w:szCs w:val="24"/>
                <w:lang w:eastAsia="ru-RU"/>
              </w:rPr>
              <w:t xml:space="preserve"> р.</w:t>
            </w:r>
          </w:p>
        </w:tc>
      </w:tr>
      <w:tr w:rsidR="002039E8" w:rsidRPr="00242020" w:rsidTr="00CC7727">
        <w:trPr>
          <w:trHeight w:val="350"/>
          <w:jc w:val="center"/>
        </w:trPr>
        <w:tc>
          <w:tcPr>
            <w:tcW w:w="5653" w:type="dxa"/>
            <w:shd w:val="clear" w:color="auto" w:fill="auto"/>
          </w:tcPr>
          <w:p w:rsidR="002039E8" w:rsidRPr="00242020" w:rsidRDefault="002039E8" w:rsidP="002039E8">
            <w:pPr>
              <w:widowControl/>
              <w:ind w:firstLine="0"/>
              <w:rPr>
                <w:rFonts w:eastAsia="Times New Roman" w:cs="Times New Roman"/>
                <w:sz w:val="24"/>
                <w:szCs w:val="24"/>
                <w:lang w:eastAsia="ru-RU"/>
              </w:rPr>
            </w:pPr>
            <w:r w:rsidRPr="00242020">
              <w:rPr>
                <w:rFonts w:eastAsia="Times New Roman" w:cs="Times New Roman"/>
                <w:sz w:val="24"/>
                <w:szCs w:val="24"/>
                <w:lang w:eastAsia="ru-RU"/>
              </w:rPr>
              <w:t>Кількість юридичних осіб, які діють на основі лише державної власності і належать до сфери управління відповідного суб’єкта управління (тис.)</w:t>
            </w:r>
          </w:p>
        </w:tc>
        <w:tc>
          <w:tcPr>
            <w:tcW w:w="1316" w:type="dxa"/>
            <w:shd w:val="clear" w:color="auto" w:fill="auto"/>
            <w:noWrap/>
            <w:vAlign w:val="center"/>
          </w:tcPr>
          <w:p w:rsidR="002039E8" w:rsidRPr="00242020" w:rsidRDefault="002039E8" w:rsidP="002039E8">
            <w:pPr>
              <w:widowControl/>
              <w:ind w:left="-53" w:right="-59" w:firstLine="0"/>
              <w:jc w:val="center"/>
              <w:rPr>
                <w:rFonts w:eastAsia="Times New Roman" w:cs="Times New Roman"/>
                <w:sz w:val="24"/>
                <w:szCs w:val="28"/>
                <w:lang w:eastAsia="ru-RU"/>
              </w:rPr>
            </w:pPr>
            <w:r w:rsidRPr="00242020">
              <w:rPr>
                <w:rFonts w:eastAsia="Times New Roman" w:cs="Times New Roman"/>
                <w:sz w:val="24"/>
                <w:szCs w:val="28"/>
                <w:lang w:eastAsia="ru-RU"/>
              </w:rPr>
              <w:t>24,9</w:t>
            </w:r>
          </w:p>
        </w:tc>
        <w:tc>
          <w:tcPr>
            <w:tcW w:w="1316" w:type="dxa"/>
            <w:shd w:val="clear" w:color="auto" w:fill="auto"/>
            <w:noWrap/>
            <w:vAlign w:val="center"/>
          </w:tcPr>
          <w:p w:rsidR="002039E8" w:rsidRPr="00242020" w:rsidRDefault="002039E8" w:rsidP="002039E8">
            <w:pPr>
              <w:widowControl/>
              <w:ind w:left="-53" w:right="-59" w:firstLine="0"/>
              <w:jc w:val="center"/>
              <w:rPr>
                <w:rFonts w:eastAsia="Times New Roman" w:cs="Times New Roman"/>
                <w:sz w:val="24"/>
                <w:szCs w:val="28"/>
                <w:lang w:eastAsia="ru-RU"/>
              </w:rPr>
            </w:pPr>
            <w:r w:rsidRPr="00242020">
              <w:rPr>
                <w:rFonts w:eastAsia="Times New Roman" w:cs="Times New Roman"/>
                <w:sz w:val="24"/>
                <w:szCs w:val="28"/>
                <w:lang w:eastAsia="ru-RU"/>
              </w:rPr>
              <w:t>24,6</w:t>
            </w:r>
          </w:p>
        </w:tc>
        <w:tc>
          <w:tcPr>
            <w:tcW w:w="1317" w:type="dxa"/>
            <w:shd w:val="clear" w:color="auto" w:fill="auto"/>
            <w:noWrap/>
            <w:vAlign w:val="center"/>
          </w:tcPr>
          <w:p w:rsidR="002039E8" w:rsidRPr="00242020" w:rsidRDefault="002039E8" w:rsidP="002039E8">
            <w:pPr>
              <w:widowControl/>
              <w:ind w:left="-53" w:right="-59" w:firstLine="0"/>
              <w:jc w:val="center"/>
              <w:rPr>
                <w:rFonts w:eastAsia="Times New Roman" w:cs="Times New Roman"/>
                <w:sz w:val="24"/>
                <w:szCs w:val="28"/>
                <w:lang w:eastAsia="ru-RU"/>
              </w:rPr>
            </w:pPr>
            <w:r w:rsidRPr="00242020">
              <w:rPr>
                <w:rFonts w:eastAsia="Times New Roman" w:cs="Times New Roman"/>
                <w:sz w:val="24"/>
                <w:szCs w:val="28"/>
                <w:lang w:eastAsia="ru-RU"/>
              </w:rPr>
              <w:t>23,9</w:t>
            </w:r>
          </w:p>
        </w:tc>
      </w:tr>
    </w:tbl>
    <w:p w:rsidR="002039E8" w:rsidRPr="00242020" w:rsidRDefault="002039E8" w:rsidP="002039E8">
      <w:pPr>
        <w:jc w:val="both"/>
        <w:rPr>
          <w:rFonts w:eastAsia="Times New Roman" w:cs="Times New Roman"/>
          <w:sz w:val="6"/>
          <w:szCs w:val="6"/>
          <w:highlight w:val="yellow"/>
          <w:lang w:eastAsia="ru-RU"/>
        </w:rPr>
      </w:pPr>
    </w:p>
    <w:p w:rsidR="002039E8" w:rsidRPr="00242020" w:rsidRDefault="002039E8" w:rsidP="002039E8">
      <w:pPr>
        <w:jc w:val="both"/>
        <w:rPr>
          <w:rFonts w:eastAsia="Times New Roman" w:cs="Times New Roman"/>
          <w:szCs w:val="28"/>
          <w:lang w:eastAsia="ru-RU"/>
        </w:rPr>
      </w:pPr>
      <w:r w:rsidRPr="00242020">
        <w:rPr>
          <w:rFonts w:eastAsia="Times New Roman" w:cs="Times New Roman"/>
          <w:szCs w:val="28"/>
          <w:lang w:eastAsia="ru-RU"/>
        </w:rPr>
        <w:t xml:space="preserve">Як свідчать дані таблиці, протягом порівняльних періодів загальна кількість юридичних осіб зменшилася у зв’язку з припиненням державної реєстрації, реорганізацією юридичних осіб за результатами здійснення </w:t>
      </w:r>
      <w:r w:rsidRPr="00242020">
        <w:rPr>
          <w:rFonts w:eastAsia="Times New Roman" w:cs="Times New Roman"/>
          <w:spacing w:val="-6"/>
          <w:szCs w:val="28"/>
          <w:lang w:eastAsia="ru-RU"/>
        </w:rPr>
        <w:t>адміністративної реформи</w:t>
      </w:r>
      <w:r w:rsidRPr="00242020">
        <w:rPr>
          <w:rFonts w:eastAsia="Times New Roman" w:cs="Times New Roman"/>
          <w:szCs w:val="28"/>
          <w:lang w:eastAsia="ru-RU"/>
        </w:rPr>
        <w:t>, а також оптимізацією кількості суб’єктів господарювання державного сектору економіки, яка проводиться с</w:t>
      </w:r>
      <w:r w:rsidRPr="00242020">
        <w:rPr>
          <w:rFonts w:eastAsia="Times New Roman" w:cs="Times New Roman"/>
          <w:spacing w:val="-5"/>
          <w:szCs w:val="28"/>
          <w:lang w:eastAsia="ru-RU"/>
        </w:rPr>
        <w:t xml:space="preserve">уб’єктами управління </w:t>
      </w:r>
      <w:r w:rsidRPr="00242020">
        <w:rPr>
          <w:rFonts w:eastAsia="Times New Roman" w:cs="Times New Roman"/>
          <w:szCs w:val="28"/>
          <w:lang w:eastAsia="ru-RU"/>
        </w:rPr>
        <w:t xml:space="preserve">об’єктами державної власності разом з </w:t>
      </w:r>
      <w:proofErr w:type="spellStart"/>
      <w:r w:rsidRPr="00242020">
        <w:rPr>
          <w:rFonts w:eastAsia="Times New Roman" w:cs="Times New Roman"/>
          <w:szCs w:val="28"/>
          <w:lang w:eastAsia="ru-RU"/>
        </w:rPr>
        <w:t>Мін</w:t>
      </w:r>
      <w:r w:rsidRPr="006129B8">
        <w:rPr>
          <w:rFonts w:eastAsia="Times New Roman" w:cs="Times New Roman"/>
          <w:szCs w:val="28"/>
          <w:lang w:eastAsia="ru-RU"/>
        </w:rPr>
        <w:t>економрозвитку</w:t>
      </w:r>
      <w:proofErr w:type="spellEnd"/>
      <w:r w:rsidRPr="00242020">
        <w:rPr>
          <w:rFonts w:eastAsia="Times New Roman" w:cs="Times New Roman"/>
          <w:szCs w:val="28"/>
          <w:lang w:eastAsia="ru-RU"/>
        </w:rPr>
        <w:t xml:space="preserve"> та Фондом за відповідними дорученнями Кабінету Міністрів України.</w:t>
      </w:r>
    </w:p>
    <w:p w:rsidR="002039E8" w:rsidRPr="00242020" w:rsidRDefault="002039E8" w:rsidP="002039E8">
      <w:pPr>
        <w:jc w:val="both"/>
        <w:rPr>
          <w:rFonts w:eastAsia="Times New Roman" w:cs="Times New Roman"/>
          <w:szCs w:val="28"/>
          <w:lang w:eastAsia="ru-RU"/>
        </w:rPr>
      </w:pPr>
      <w:r w:rsidRPr="00242020">
        <w:rPr>
          <w:rFonts w:eastAsia="Times New Roman" w:cs="Times New Roman"/>
          <w:szCs w:val="28"/>
          <w:lang w:eastAsia="ru-RU"/>
        </w:rPr>
        <w:t xml:space="preserve">Найбільшу кількість юридичних осіб, які належать до сфери управління відповідного суб’єкта управління, мають: </w:t>
      </w:r>
    </w:p>
    <w:p w:rsidR="002039E8" w:rsidRPr="00242020" w:rsidRDefault="002039E8" w:rsidP="002039E8">
      <w:pPr>
        <w:widowControl/>
        <w:numPr>
          <w:ilvl w:val="0"/>
          <w:numId w:val="10"/>
        </w:numPr>
        <w:tabs>
          <w:tab w:val="left" w:pos="993"/>
        </w:tabs>
        <w:ind w:left="0" w:firstLine="709"/>
        <w:jc w:val="both"/>
        <w:rPr>
          <w:rFonts w:eastAsia="Times New Roman" w:cs="Times New Roman"/>
          <w:szCs w:val="28"/>
          <w:lang w:eastAsia="ru-RU"/>
        </w:rPr>
      </w:pPr>
      <w:r w:rsidRPr="00242020">
        <w:rPr>
          <w:rFonts w:eastAsia="Times New Roman" w:cs="Times New Roman"/>
          <w:szCs w:val="28"/>
          <w:lang w:eastAsia="ru-RU"/>
        </w:rPr>
        <w:t>Міністерство юстиції України – 2,4 тис.;</w:t>
      </w:r>
    </w:p>
    <w:p w:rsidR="002039E8" w:rsidRPr="00242020" w:rsidRDefault="002039E8" w:rsidP="002039E8">
      <w:pPr>
        <w:widowControl/>
        <w:numPr>
          <w:ilvl w:val="0"/>
          <w:numId w:val="10"/>
        </w:numPr>
        <w:tabs>
          <w:tab w:val="left" w:pos="993"/>
        </w:tabs>
        <w:ind w:left="0" w:firstLine="709"/>
        <w:jc w:val="both"/>
        <w:rPr>
          <w:rFonts w:eastAsia="Times New Roman" w:cs="Times New Roman"/>
          <w:szCs w:val="28"/>
          <w:lang w:eastAsia="ru-RU"/>
        </w:rPr>
      </w:pPr>
      <w:r w:rsidRPr="00242020">
        <w:rPr>
          <w:rFonts w:eastAsia="Times New Roman" w:cs="Times New Roman"/>
          <w:szCs w:val="28"/>
          <w:lang w:eastAsia="ru-RU"/>
        </w:rPr>
        <w:t>Державна служба України з питань безпечності харчових продуктів та захисту споживачів – 2,2 тис.;</w:t>
      </w:r>
    </w:p>
    <w:p w:rsidR="002039E8" w:rsidRPr="00242020" w:rsidRDefault="002039E8" w:rsidP="002039E8">
      <w:pPr>
        <w:widowControl/>
        <w:numPr>
          <w:ilvl w:val="0"/>
          <w:numId w:val="10"/>
        </w:numPr>
        <w:tabs>
          <w:tab w:val="left" w:pos="993"/>
        </w:tabs>
        <w:ind w:left="0" w:firstLine="709"/>
        <w:jc w:val="both"/>
        <w:rPr>
          <w:rFonts w:eastAsia="Times New Roman" w:cs="Times New Roman"/>
          <w:szCs w:val="28"/>
          <w:lang w:eastAsia="ru-RU"/>
        </w:rPr>
      </w:pPr>
      <w:r w:rsidRPr="00242020">
        <w:rPr>
          <w:rFonts w:eastAsia="Times New Roman" w:cs="Times New Roman"/>
          <w:szCs w:val="28"/>
          <w:lang w:eastAsia="ru-RU"/>
        </w:rPr>
        <w:t>Міністерство освіти і науки України – 1,5 тис.;</w:t>
      </w:r>
    </w:p>
    <w:p w:rsidR="002039E8" w:rsidRPr="00242020" w:rsidRDefault="002039E8" w:rsidP="002039E8">
      <w:pPr>
        <w:widowControl/>
        <w:numPr>
          <w:ilvl w:val="0"/>
          <w:numId w:val="10"/>
        </w:numPr>
        <w:tabs>
          <w:tab w:val="left" w:pos="993"/>
        </w:tabs>
        <w:ind w:left="0" w:firstLine="709"/>
        <w:jc w:val="both"/>
        <w:rPr>
          <w:rFonts w:eastAsia="Times New Roman" w:cs="Times New Roman"/>
          <w:szCs w:val="28"/>
          <w:lang w:eastAsia="ru-RU"/>
        </w:rPr>
      </w:pPr>
      <w:r w:rsidRPr="00242020">
        <w:rPr>
          <w:rFonts w:eastAsia="Times New Roman" w:cs="Times New Roman"/>
          <w:szCs w:val="28"/>
          <w:lang w:eastAsia="ru-RU"/>
        </w:rPr>
        <w:t>Міністерство фінансів України – 1,2 тис.;</w:t>
      </w:r>
    </w:p>
    <w:p w:rsidR="002039E8" w:rsidRPr="00242020" w:rsidRDefault="002039E8" w:rsidP="002039E8">
      <w:pPr>
        <w:widowControl/>
        <w:numPr>
          <w:ilvl w:val="0"/>
          <w:numId w:val="10"/>
        </w:numPr>
        <w:tabs>
          <w:tab w:val="left" w:pos="993"/>
        </w:tabs>
        <w:ind w:left="0" w:firstLine="709"/>
        <w:jc w:val="both"/>
        <w:rPr>
          <w:rFonts w:eastAsia="Times New Roman" w:cs="Times New Roman"/>
          <w:szCs w:val="28"/>
          <w:lang w:eastAsia="ru-RU"/>
        </w:rPr>
      </w:pPr>
      <w:r w:rsidRPr="00242020">
        <w:rPr>
          <w:rFonts w:eastAsia="Times New Roman" w:cs="Times New Roman"/>
          <w:szCs w:val="28"/>
          <w:lang w:eastAsia="ru-RU"/>
        </w:rPr>
        <w:t>Міністерство внутрішніх справ України – 1,1 тис.</w:t>
      </w:r>
    </w:p>
    <w:p w:rsidR="002039E8" w:rsidRPr="00242020" w:rsidRDefault="002039E8" w:rsidP="002039E8">
      <w:pPr>
        <w:jc w:val="both"/>
        <w:rPr>
          <w:rFonts w:eastAsia="Times New Roman" w:cs="Times New Roman"/>
          <w:sz w:val="16"/>
          <w:szCs w:val="16"/>
          <w:lang w:eastAsia="ru-RU"/>
        </w:rPr>
      </w:pPr>
    </w:p>
    <w:p w:rsidR="002039E8" w:rsidRPr="00242020" w:rsidRDefault="002039E8" w:rsidP="002039E8">
      <w:pPr>
        <w:jc w:val="both"/>
        <w:rPr>
          <w:rFonts w:eastAsia="Times New Roman" w:cs="Times New Roman"/>
          <w:szCs w:val="28"/>
          <w:lang w:eastAsia="ru-RU"/>
        </w:rPr>
      </w:pPr>
      <w:r w:rsidRPr="00242020">
        <w:rPr>
          <w:rFonts w:eastAsia="Times New Roman" w:cs="Times New Roman"/>
          <w:szCs w:val="28"/>
          <w:lang w:eastAsia="ru-RU"/>
        </w:rPr>
        <w:t xml:space="preserve">З червня 2013 року на особливому контролі Кабінету Міністрів України перебуває виконання завдання щодо надання суб’єктами управління відомостей про об’єкти державної власності для внесення їх до Реєстру. Зокрема, окремим дорученням Уряду керівників уповноважених органів управління зобов’язано забезпечувати виконання цього завдання та подавати Фонду інформацію для внесення змін до </w:t>
      </w:r>
      <w:r w:rsidRPr="00242020">
        <w:rPr>
          <w:rFonts w:eastAsia="Times New Roman" w:cs="Times New Roman"/>
          <w:spacing w:val="-6"/>
          <w:szCs w:val="28"/>
          <w:lang w:eastAsia="ru-RU"/>
        </w:rPr>
        <w:t>Реєстру</w:t>
      </w:r>
      <w:r w:rsidRPr="00242020">
        <w:rPr>
          <w:rFonts w:eastAsia="Times New Roman" w:cs="Times New Roman"/>
          <w:szCs w:val="28"/>
          <w:lang w:eastAsia="ru-RU"/>
        </w:rPr>
        <w:t xml:space="preserve">. Фонд здійснює </w:t>
      </w:r>
      <w:r w:rsidR="009413C1" w:rsidRPr="00242020">
        <w:rPr>
          <w:rFonts w:eastAsia="Times New Roman" w:cs="Times New Roman"/>
          <w:szCs w:val="28"/>
          <w:lang w:eastAsia="ru-RU"/>
        </w:rPr>
        <w:t xml:space="preserve">також </w:t>
      </w:r>
      <w:r w:rsidRPr="00242020">
        <w:rPr>
          <w:rFonts w:eastAsia="Times New Roman" w:cs="Times New Roman"/>
          <w:szCs w:val="28"/>
          <w:lang w:eastAsia="ru-RU"/>
        </w:rPr>
        <w:t>моніторинг подання суб’єктами управління інформації та з березня 2015 року щокварталу надає його результати Кабінету Міністрів України.</w:t>
      </w:r>
    </w:p>
    <w:p w:rsidR="002039E8" w:rsidRPr="00242020" w:rsidRDefault="002039E8" w:rsidP="002039E8">
      <w:pPr>
        <w:jc w:val="both"/>
        <w:rPr>
          <w:rFonts w:eastAsia="Times New Roman" w:cs="Times New Roman"/>
          <w:szCs w:val="28"/>
          <w:lang w:eastAsia="ru-RU"/>
        </w:rPr>
      </w:pPr>
      <w:r w:rsidRPr="00242020">
        <w:rPr>
          <w:rFonts w:eastAsia="Times New Roman" w:cs="Times New Roman"/>
          <w:szCs w:val="28"/>
          <w:lang w:eastAsia="ru-RU"/>
        </w:rPr>
        <w:t>Як свідчать результати моніторингу, станом на кінець 2016 року не надали в установленому порядку відомост</w:t>
      </w:r>
      <w:r w:rsidR="009413C1" w:rsidRPr="00242020">
        <w:rPr>
          <w:rFonts w:eastAsia="Times New Roman" w:cs="Times New Roman"/>
          <w:szCs w:val="28"/>
          <w:lang w:eastAsia="ru-RU"/>
        </w:rPr>
        <w:t>ей</w:t>
      </w:r>
      <w:r w:rsidRPr="00242020">
        <w:rPr>
          <w:rFonts w:eastAsia="Times New Roman" w:cs="Times New Roman"/>
          <w:szCs w:val="28"/>
          <w:lang w:eastAsia="ru-RU"/>
        </w:rPr>
        <w:t xml:space="preserve"> про об’єкти державної власності, зокрема, Українська державна корпорація по транспортному будівництву «</w:t>
      </w:r>
      <w:proofErr w:type="spellStart"/>
      <w:r w:rsidRPr="00242020">
        <w:rPr>
          <w:rFonts w:eastAsia="Times New Roman" w:cs="Times New Roman"/>
          <w:szCs w:val="28"/>
          <w:lang w:eastAsia="ru-RU"/>
        </w:rPr>
        <w:t>Укртрансбуд</w:t>
      </w:r>
      <w:proofErr w:type="spellEnd"/>
      <w:r w:rsidRPr="00242020">
        <w:rPr>
          <w:rFonts w:eastAsia="Times New Roman" w:cs="Times New Roman"/>
          <w:szCs w:val="28"/>
          <w:lang w:eastAsia="ru-RU"/>
        </w:rPr>
        <w:t>», Українська кооперативно-державна корпорація по агропромисловому будівництву «</w:t>
      </w:r>
      <w:proofErr w:type="spellStart"/>
      <w:r w:rsidRPr="00242020">
        <w:rPr>
          <w:rFonts w:eastAsia="Times New Roman" w:cs="Times New Roman"/>
          <w:szCs w:val="28"/>
          <w:lang w:eastAsia="ru-RU"/>
        </w:rPr>
        <w:t>Украгропромбуд</w:t>
      </w:r>
      <w:proofErr w:type="spellEnd"/>
      <w:r w:rsidRPr="00242020">
        <w:rPr>
          <w:rFonts w:eastAsia="Times New Roman" w:cs="Times New Roman"/>
          <w:szCs w:val="28"/>
          <w:lang w:eastAsia="ru-RU"/>
        </w:rPr>
        <w:t>», Українська державна корпорація по виконанню монтажних і спеціальних будівельних робіт «</w:t>
      </w:r>
      <w:proofErr w:type="spellStart"/>
      <w:r w:rsidRPr="00242020">
        <w:rPr>
          <w:rFonts w:eastAsia="Times New Roman" w:cs="Times New Roman"/>
          <w:szCs w:val="28"/>
          <w:lang w:eastAsia="ru-RU"/>
        </w:rPr>
        <w:t>Укрмонтажспецбуд</w:t>
      </w:r>
      <w:proofErr w:type="spellEnd"/>
      <w:r w:rsidRPr="00242020">
        <w:rPr>
          <w:rFonts w:eastAsia="Times New Roman" w:cs="Times New Roman"/>
          <w:szCs w:val="28"/>
          <w:lang w:eastAsia="ru-RU"/>
        </w:rPr>
        <w:t>». Для усунення цієї проблеми необхідно на законодавчому рівні врегулювати повноваження зазначених господарських структур (корпорацій) як суб’єктів управління.</w:t>
      </w:r>
    </w:p>
    <w:p w:rsidR="002039E8" w:rsidRPr="00242020" w:rsidRDefault="002039E8" w:rsidP="002039E8">
      <w:pPr>
        <w:jc w:val="both"/>
        <w:rPr>
          <w:rFonts w:eastAsia="Times New Roman" w:cs="Times New Roman"/>
          <w:sz w:val="6"/>
          <w:szCs w:val="6"/>
          <w:lang w:eastAsia="ru-RU"/>
        </w:rPr>
      </w:pPr>
    </w:p>
    <w:p w:rsidR="002039E8" w:rsidRPr="00242020" w:rsidRDefault="002039E8" w:rsidP="002039E8">
      <w:pPr>
        <w:jc w:val="both"/>
        <w:rPr>
          <w:rFonts w:eastAsia="Times New Roman" w:cs="Times New Roman"/>
          <w:szCs w:val="28"/>
          <w:lang w:eastAsia="ru-RU"/>
        </w:rPr>
      </w:pPr>
      <w:r w:rsidRPr="00242020">
        <w:rPr>
          <w:rFonts w:eastAsia="Times New Roman" w:cs="Times New Roman"/>
          <w:szCs w:val="28"/>
          <w:lang w:eastAsia="ru-RU"/>
        </w:rPr>
        <w:t xml:space="preserve">Фонд вживає залежних від нього заходів щодо підтримування даних </w:t>
      </w:r>
      <w:r w:rsidRPr="00242020">
        <w:rPr>
          <w:rFonts w:eastAsia="Times New Roman" w:cs="Times New Roman"/>
          <w:szCs w:val="28"/>
          <w:lang w:eastAsia="ru-RU"/>
        </w:rPr>
        <w:lastRenderedPageBreak/>
        <w:t>Реєстру в актуальному стані та вдосконалення механізму взаємодії з суб’єктами управління об’єктами державної власності в процесі ведення Реєстру.</w:t>
      </w:r>
    </w:p>
    <w:p w:rsidR="002039E8" w:rsidRPr="00242020" w:rsidRDefault="002039E8" w:rsidP="002039E8">
      <w:pPr>
        <w:jc w:val="both"/>
        <w:rPr>
          <w:rFonts w:eastAsia="Times New Roman" w:cs="Times New Roman"/>
          <w:szCs w:val="28"/>
          <w:lang w:eastAsia="ru-RU"/>
        </w:rPr>
      </w:pPr>
      <w:r w:rsidRPr="00242020">
        <w:rPr>
          <w:rFonts w:eastAsia="Times New Roman" w:cs="Times New Roman"/>
          <w:szCs w:val="28"/>
          <w:lang w:eastAsia="ru-RU"/>
        </w:rPr>
        <w:t xml:space="preserve">У сфері надання адміністративних послуг Фонд є суб’єктом надання адміністративної послуги </w:t>
      </w:r>
      <w:r w:rsidRPr="00242020">
        <w:rPr>
          <w:rFonts w:eastAsia="Times New Roman" w:cs="Times New Roman"/>
          <w:bCs/>
          <w:szCs w:val="28"/>
          <w:lang w:eastAsia="ru-RU"/>
        </w:rPr>
        <w:t xml:space="preserve">«Надання інформації (відомостей або витягу) з Єдиного реєстру об’єктів державної власності». </w:t>
      </w:r>
      <w:r w:rsidRPr="00242020">
        <w:rPr>
          <w:rFonts w:eastAsia="Times New Roman" w:cs="Times New Roman"/>
          <w:szCs w:val="28"/>
          <w:lang w:eastAsia="ru-RU"/>
        </w:rPr>
        <w:t xml:space="preserve">Адміністративна послуга надається з </w:t>
      </w:r>
      <w:r w:rsidRPr="00242020">
        <w:rPr>
          <w:rFonts w:eastAsia="Times New Roman" w:cs="Times New Roman"/>
          <w:bCs/>
          <w:szCs w:val="28"/>
          <w:lang w:eastAsia="ru-RU"/>
        </w:rPr>
        <w:t xml:space="preserve">метою </w:t>
      </w:r>
      <w:r w:rsidRPr="00242020">
        <w:rPr>
          <w:rFonts w:eastAsia="Times New Roman" w:cs="Times New Roman"/>
          <w:szCs w:val="28"/>
          <w:lang w:eastAsia="ru-RU"/>
        </w:rPr>
        <w:t>проведення державної реєстрації прав державної та комунальної власності на об’єкти нерухомого майна, захисту майнових прав держави у судах тощо. У 2016 році на основі даних Реєстру надано 7 тис. адміністративних послуг.</w:t>
      </w:r>
    </w:p>
    <w:p w:rsidR="006F4201" w:rsidRPr="00242020" w:rsidRDefault="006F4201" w:rsidP="006F4201">
      <w:pPr>
        <w:jc w:val="both"/>
        <w:rPr>
          <w:rFonts w:eastAsia="Times New Roman" w:cs="Times New Roman"/>
          <w:sz w:val="12"/>
          <w:szCs w:val="12"/>
          <w:lang w:eastAsia="ru-RU"/>
        </w:rPr>
      </w:pPr>
    </w:p>
    <w:p w:rsidR="00805AB4" w:rsidRPr="00242020" w:rsidRDefault="00805AB4" w:rsidP="00805AB4">
      <w:pPr>
        <w:pStyle w:val="2"/>
        <w:rPr>
          <w:szCs w:val="28"/>
        </w:rPr>
      </w:pPr>
      <w:r w:rsidRPr="00242020">
        <w:t>3.2. Упорядкування обліку юридичних осіб</w:t>
      </w:r>
    </w:p>
    <w:p w:rsidR="006F4201" w:rsidRPr="00242020" w:rsidRDefault="006F4201" w:rsidP="006F4201">
      <w:pPr>
        <w:jc w:val="both"/>
        <w:rPr>
          <w:rFonts w:eastAsia="Times New Roman" w:cs="Times New Roman"/>
          <w:sz w:val="12"/>
          <w:szCs w:val="12"/>
          <w:lang w:eastAsia="ru-RU"/>
        </w:rPr>
      </w:pPr>
    </w:p>
    <w:p w:rsidR="002039E8" w:rsidRPr="00242020" w:rsidRDefault="002039E8" w:rsidP="00102753">
      <w:pPr>
        <w:ind w:firstLine="720"/>
        <w:jc w:val="both"/>
        <w:rPr>
          <w:rFonts w:eastAsia="Times New Roman" w:cs="Times New Roman"/>
          <w:szCs w:val="28"/>
          <w:lang w:eastAsia="ru-RU"/>
        </w:rPr>
      </w:pPr>
      <w:r w:rsidRPr="00242020">
        <w:rPr>
          <w:rFonts w:eastAsia="Times New Roman" w:cs="Times New Roman"/>
          <w:bCs/>
          <w:szCs w:val="28"/>
          <w:lang w:eastAsia="ru-RU"/>
        </w:rPr>
        <w:t xml:space="preserve">Фондом у 2005 році з метою наповнення Реєстру даними було розроблено </w:t>
      </w:r>
      <w:r w:rsidRPr="00242020">
        <w:rPr>
          <w:rFonts w:eastAsia="Times New Roman" w:cs="Times New Roman"/>
          <w:szCs w:val="28"/>
          <w:lang w:eastAsia="ru-RU"/>
        </w:rPr>
        <w:t>Методику проведення інвентаризації об’єктів державної власності, яку Кабінет Міністрів України затвердив постановою від 30 листопада 2005 року № 1121.</w:t>
      </w:r>
      <w:r w:rsidRPr="00242020">
        <w:rPr>
          <w:rFonts w:eastAsia="Times New Roman" w:cs="Times New Roman"/>
          <w:bCs/>
          <w:szCs w:val="28"/>
          <w:lang w:eastAsia="ru-RU"/>
        </w:rPr>
        <w:t xml:space="preserve"> </w:t>
      </w:r>
      <w:r w:rsidRPr="00242020">
        <w:rPr>
          <w:rFonts w:eastAsia="Times New Roman" w:cs="Times New Roman"/>
          <w:szCs w:val="28"/>
          <w:lang w:eastAsia="ru-RU"/>
        </w:rPr>
        <w:t>Відповідно до вимог цієї Методики комісіями з питань упорядкування обліку юридичних осіб (далі – комісії) під керівництвом обласних державних адміністрацій, Ради міністрів АР Крим, Київської та Севастопольської міськдержадміністрацій проводиться робота з упорядкування обліку юридичних осіб, які за даними Єдиного державного реєстру підприємств та організацій України (ЄДРПОУ) належать до сфери управління відповідного суб’єкта управління, який цього не підтверджує.</w:t>
      </w:r>
    </w:p>
    <w:p w:rsidR="002039E8" w:rsidRPr="00242020" w:rsidRDefault="002039E8" w:rsidP="00102753">
      <w:pPr>
        <w:widowControl/>
        <w:ind w:firstLine="720"/>
        <w:jc w:val="both"/>
        <w:rPr>
          <w:rFonts w:eastAsia="Times New Roman" w:cs="Times New Roman"/>
          <w:spacing w:val="-6"/>
          <w:szCs w:val="28"/>
          <w:lang w:eastAsia="ru-RU"/>
        </w:rPr>
      </w:pPr>
      <w:r w:rsidRPr="00242020">
        <w:rPr>
          <w:rFonts w:eastAsia="Times New Roman" w:cs="Times New Roman"/>
          <w:spacing w:val="-6"/>
          <w:szCs w:val="28"/>
          <w:lang w:eastAsia="ru-RU"/>
        </w:rPr>
        <w:t xml:space="preserve">За підсумками проведеної інвентаризації об’єктів державної власності, з 2006 року упорядкуванню підлягало </w:t>
      </w:r>
      <w:r w:rsidRPr="00242020">
        <w:rPr>
          <w:rFonts w:eastAsia="Times New Roman" w:cs="Times New Roman"/>
          <w:b/>
          <w:spacing w:val="-6"/>
          <w:szCs w:val="28"/>
          <w:lang w:eastAsia="ru-RU"/>
        </w:rPr>
        <w:t>24,1 тис.</w:t>
      </w:r>
      <w:r w:rsidRPr="00242020">
        <w:rPr>
          <w:rFonts w:eastAsia="Times New Roman" w:cs="Times New Roman"/>
          <w:spacing w:val="-6"/>
          <w:szCs w:val="28"/>
          <w:lang w:eastAsia="ru-RU"/>
        </w:rPr>
        <w:t xml:space="preserve"> юридичних осіб (записів у ЄДРПОУ).</w:t>
      </w:r>
    </w:p>
    <w:p w:rsidR="002039E8" w:rsidRPr="00242020" w:rsidRDefault="002039E8" w:rsidP="00102753">
      <w:pPr>
        <w:widowControl/>
        <w:ind w:firstLine="720"/>
        <w:jc w:val="both"/>
        <w:rPr>
          <w:rFonts w:eastAsia="Times New Roman" w:cs="Times New Roman"/>
          <w:szCs w:val="28"/>
          <w:lang w:eastAsia="ru-RU"/>
        </w:rPr>
      </w:pPr>
      <w:r w:rsidRPr="00242020">
        <w:rPr>
          <w:rFonts w:eastAsia="Times New Roman" w:cs="Times New Roman"/>
          <w:spacing w:val="-6"/>
          <w:szCs w:val="28"/>
          <w:lang w:eastAsia="ru-RU"/>
        </w:rPr>
        <w:t xml:space="preserve">Станом на 01 </w:t>
      </w:r>
      <w:r w:rsidRPr="00242020">
        <w:rPr>
          <w:rFonts w:eastAsia="Times New Roman" w:cs="Times New Roman"/>
          <w:szCs w:val="28"/>
          <w:lang w:eastAsia="ru-RU"/>
        </w:rPr>
        <w:t>січня</w:t>
      </w:r>
      <w:r w:rsidRPr="00242020">
        <w:rPr>
          <w:rFonts w:eastAsia="Times New Roman" w:cs="Times New Roman"/>
          <w:spacing w:val="-6"/>
          <w:szCs w:val="28"/>
          <w:lang w:eastAsia="ru-RU"/>
        </w:rPr>
        <w:t xml:space="preserve"> 2017 року упорядковано </w:t>
      </w:r>
      <w:r w:rsidRPr="00242020">
        <w:rPr>
          <w:rFonts w:eastAsia="Times New Roman" w:cs="Times New Roman"/>
          <w:b/>
          <w:spacing w:val="-6"/>
          <w:szCs w:val="28"/>
          <w:lang w:eastAsia="ru-RU"/>
        </w:rPr>
        <w:t>19,4 тис.</w:t>
      </w:r>
      <w:r w:rsidRPr="00242020">
        <w:rPr>
          <w:rFonts w:eastAsia="Times New Roman" w:cs="Times New Roman"/>
          <w:spacing w:val="-6"/>
          <w:szCs w:val="28"/>
          <w:lang w:eastAsia="ru-RU"/>
        </w:rPr>
        <w:t xml:space="preserve"> юридичних осіб, з яких</w:t>
      </w:r>
      <w:r w:rsidRPr="00242020">
        <w:rPr>
          <w:rFonts w:eastAsia="Times New Roman" w:cs="Times New Roman"/>
          <w:szCs w:val="28"/>
          <w:lang w:eastAsia="ru-RU"/>
        </w:rPr>
        <w:t>:</w:t>
      </w:r>
    </w:p>
    <w:p w:rsidR="002039E8" w:rsidRPr="00242020" w:rsidRDefault="002039E8" w:rsidP="00102753">
      <w:pPr>
        <w:widowControl/>
        <w:ind w:firstLine="720"/>
        <w:jc w:val="both"/>
        <w:rPr>
          <w:rFonts w:eastAsia="Times New Roman" w:cs="Times New Roman"/>
          <w:szCs w:val="28"/>
          <w:lang w:eastAsia="ru-RU"/>
        </w:rPr>
      </w:pPr>
      <w:r w:rsidRPr="00242020">
        <w:rPr>
          <w:rFonts w:eastAsia="Times New Roman" w:cs="Times New Roman"/>
          <w:szCs w:val="28"/>
          <w:lang w:eastAsia="ru-RU"/>
        </w:rPr>
        <w:t>– дані стосовно 5,9 тис. внесено до Реєстру, оскільки</w:t>
      </w:r>
      <w:r w:rsidR="001763DC" w:rsidRPr="00242020">
        <w:rPr>
          <w:rFonts w:eastAsia="Times New Roman" w:cs="Times New Roman"/>
          <w:szCs w:val="28"/>
          <w:lang w:eastAsia="ru-RU"/>
        </w:rPr>
        <w:t xml:space="preserve"> </w:t>
      </w:r>
      <w:r w:rsidRPr="00242020">
        <w:rPr>
          <w:rFonts w:eastAsia="Times New Roman" w:cs="Times New Roman"/>
          <w:szCs w:val="28"/>
          <w:lang w:eastAsia="ru-RU"/>
        </w:rPr>
        <w:t>належність їх до сфери управління підтверджена відповідним суб’єктом управління;</w:t>
      </w:r>
    </w:p>
    <w:p w:rsidR="002039E8" w:rsidRPr="00242020" w:rsidRDefault="002039E8" w:rsidP="00102753">
      <w:pPr>
        <w:widowControl/>
        <w:ind w:firstLine="720"/>
        <w:jc w:val="both"/>
        <w:rPr>
          <w:rFonts w:eastAsia="Times New Roman" w:cs="Times New Roman"/>
          <w:szCs w:val="28"/>
          <w:lang w:eastAsia="ru-RU"/>
        </w:rPr>
      </w:pPr>
      <w:r w:rsidRPr="00242020">
        <w:rPr>
          <w:rFonts w:eastAsia="Times New Roman" w:cs="Times New Roman"/>
          <w:szCs w:val="28"/>
          <w:lang w:eastAsia="ru-RU"/>
        </w:rPr>
        <w:t>– припинено в установленому законодавством порядку державну реєстрацію 8,3 тис. та внесено до Єдиного державного реєстру юридичних осіб та фізичних осіб-підприємців (</w:t>
      </w:r>
      <w:proofErr w:type="spellStart"/>
      <w:r w:rsidRPr="00242020">
        <w:rPr>
          <w:rFonts w:eastAsia="Times New Roman" w:cs="Times New Roman"/>
          <w:szCs w:val="28"/>
          <w:lang w:eastAsia="ru-RU"/>
        </w:rPr>
        <w:t>ЄДР</w:t>
      </w:r>
      <w:proofErr w:type="spellEnd"/>
      <w:r w:rsidRPr="00242020">
        <w:rPr>
          <w:rFonts w:eastAsia="Times New Roman" w:cs="Times New Roman"/>
          <w:szCs w:val="28"/>
          <w:lang w:eastAsia="ru-RU"/>
        </w:rPr>
        <w:t xml:space="preserve">) запис «свідоцтво про державну реєстрацію недійсне»; </w:t>
      </w:r>
    </w:p>
    <w:p w:rsidR="002039E8" w:rsidRPr="00242020" w:rsidRDefault="002039E8" w:rsidP="00102753">
      <w:pPr>
        <w:widowControl/>
        <w:ind w:firstLine="720"/>
        <w:jc w:val="both"/>
        <w:rPr>
          <w:rFonts w:eastAsia="Times New Roman" w:cs="Times New Roman"/>
          <w:szCs w:val="28"/>
          <w:lang w:eastAsia="ru-RU"/>
        </w:rPr>
      </w:pPr>
      <w:r w:rsidRPr="00242020">
        <w:rPr>
          <w:rFonts w:eastAsia="Times New Roman" w:cs="Times New Roman"/>
          <w:szCs w:val="28"/>
          <w:lang w:eastAsia="ru-RU"/>
        </w:rPr>
        <w:t xml:space="preserve">– облікові дані стосовно 5,2 тис. приведено у відповідність з фактичною організаційно-правовою формою господарювання. </w:t>
      </w:r>
    </w:p>
    <w:p w:rsidR="002039E8" w:rsidRPr="00242020" w:rsidRDefault="002039E8" w:rsidP="00102753">
      <w:pPr>
        <w:jc w:val="both"/>
        <w:rPr>
          <w:rFonts w:eastAsia="Times New Roman" w:cs="Times New Roman"/>
          <w:szCs w:val="28"/>
          <w:lang w:eastAsia="ru-RU"/>
        </w:rPr>
      </w:pPr>
      <w:r w:rsidRPr="00242020">
        <w:rPr>
          <w:rFonts w:eastAsia="Times New Roman" w:cs="Times New Roman"/>
          <w:szCs w:val="28"/>
          <w:lang w:eastAsia="ru-RU"/>
        </w:rPr>
        <w:t>Таким чином, з</w:t>
      </w:r>
      <w:r w:rsidRPr="00242020">
        <w:rPr>
          <w:rFonts w:eastAsia="Times New Roman" w:cs="Times New Roman"/>
          <w:spacing w:val="-6"/>
          <w:szCs w:val="28"/>
          <w:lang w:eastAsia="ru-RU"/>
        </w:rPr>
        <w:t xml:space="preserve">авдяки зусиллям Фонду та інших органів влади, спеціалісти яких входили до складу згаданих комісій, було упорядковано </w:t>
      </w:r>
      <w:r w:rsidRPr="00242020">
        <w:rPr>
          <w:rFonts w:eastAsia="Times New Roman" w:cs="Times New Roman"/>
          <w:b/>
          <w:spacing w:val="-6"/>
          <w:szCs w:val="28"/>
          <w:lang w:eastAsia="ru-RU"/>
        </w:rPr>
        <w:t>80,7 %</w:t>
      </w:r>
      <w:r w:rsidRPr="00242020">
        <w:rPr>
          <w:rFonts w:eastAsia="Times New Roman" w:cs="Times New Roman"/>
          <w:spacing w:val="-6"/>
          <w:szCs w:val="28"/>
          <w:lang w:eastAsia="ru-RU"/>
        </w:rPr>
        <w:t xml:space="preserve"> загальної кількості юридичних </w:t>
      </w:r>
      <w:r w:rsidRPr="00242020">
        <w:rPr>
          <w:rFonts w:eastAsia="Times New Roman" w:cs="Times New Roman"/>
          <w:szCs w:val="28"/>
          <w:lang w:eastAsia="ru-RU"/>
        </w:rPr>
        <w:t xml:space="preserve">осіб (записів у ЄДРПОУ), які підлягали упорядкуванню. </w:t>
      </w:r>
    </w:p>
    <w:p w:rsidR="002039E8" w:rsidRPr="00242020" w:rsidRDefault="002039E8" w:rsidP="00102753">
      <w:pPr>
        <w:jc w:val="both"/>
        <w:rPr>
          <w:rFonts w:eastAsia="Times New Roman" w:cs="Times New Roman"/>
          <w:szCs w:val="28"/>
          <w:lang w:eastAsia="ru-RU"/>
        </w:rPr>
      </w:pPr>
      <w:r w:rsidRPr="00242020">
        <w:rPr>
          <w:rFonts w:eastAsia="Times New Roman" w:cs="Times New Roman"/>
          <w:szCs w:val="28"/>
          <w:lang w:eastAsia="ru-RU"/>
        </w:rPr>
        <w:t>На сьогодні упорядкуванню підлягають ще</w:t>
      </w:r>
      <w:r w:rsidRPr="00242020">
        <w:rPr>
          <w:rFonts w:eastAsia="Times New Roman" w:cs="Times New Roman"/>
          <w:b/>
          <w:szCs w:val="28"/>
          <w:lang w:eastAsia="ru-RU"/>
        </w:rPr>
        <w:t xml:space="preserve"> 4,6 тис.</w:t>
      </w:r>
      <w:r w:rsidRPr="00242020">
        <w:rPr>
          <w:rFonts w:eastAsia="Times New Roman" w:cs="Times New Roman"/>
          <w:szCs w:val="28"/>
          <w:lang w:eastAsia="ru-RU"/>
        </w:rPr>
        <w:t xml:space="preserve"> юридичних осіб, які значаться в ЄДРПОУ, але їх </w:t>
      </w:r>
      <w:r w:rsidRPr="00242020">
        <w:rPr>
          <w:rFonts w:eastAsia="Times New Roman" w:cs="Times New Roman"/>
          <w:spacing w:val="-6"/>
          <w:szCs w:val="28"/>
          <w:lang w:eastAsia="ru-RU"/>
        </w:rPr>
        <w:t>належність</w:t>
      </w:r>
      <w:r w:rsidRPr="00242020">
        <w:rPr>
          <w:rFonts w:eastAsia="Times New Roman" w:cs="Times New Roman"/>
          <w:szCs w:val="28"/>
          <w:lang w:eastAsia="ru-RU"/>
        </w:rPr>
        <w:t xml:space="preserve"> до сфери управління відповідним суб’єктом управління не підтверджена.</w:t>
      </w:r>
    </w:p>
    <w:p w:rsidR="002039E8" w:rsidRPr="00242020" w:rsidRDefault="002039E8" w:rsidP="00102753">
      <w:pPr>
        <w:jc w:val="both"/>
        <w:rPr>
          <w:rFonts w:eastAsia="Times New Roman" w:cs="Times New Roman"/>
          <w:szCs w:val="28"/>
          <w:lang w:eastAsia="ru-RU"/>
        </w:rPr>
      </w:pPr>
      <w:r w:rsidRPr="00242020">
        <w:rPr>
          <w:rFonts w:eastAsia="Times New Roman" w:cs="Times New Roman"/>
          <w:szCs w:val="28"/>
          <w:lang w:eastAsia="ru-RU"/>
        </w:rPr>
        <w:t>Із зазначеної кількості юридичних осіб (записів у ЄДРПОУ), які підлягають упорядкуванню:</w:t>
      </w:r>
    </w:p>
    <w:p w:rsidR="002039E8" w:rsidRPr="00242020" w:rsidRDefault="002039E8" w:rsidP="00102753">
      <w:pPr>
        <w:widowControl/>
        <w:numPr>
          <w:ilvl w:val="0"/>
          <w:numId w:val="12"/>
        </w:numPr>
        <w:tabs>
          <w:tab w:val="left" w:pos="993"/>
        </w:tabs>
        <w:ind w:left="0" w:firstLine="709"/>
        <w:jc w:val="both"/>
        <w:rPr>
          <w:rFonts w:eastAsia="Times New Roman" w:cs="Times New Roman"/>
          <w:spacing w:val="-6"/>
          <w:szCs w:val="28"/>
          <w:lang w:eastAsia="ru-RU"/>
        </w:rPr>
      </w:pPr>
      <w:r w:rsidRPr="00242020">
        <w:rPr>
          <w:rFonts w:eastAsia="Times New Roman" w:cs="Times New Roman"/>
          <w:spacing w:val="-6"/>
          <w:szCs w:val="28"/>
          <w:lang w:eastAsia="ru-RU"/>
        </w:rPr>
        <w:t xml:space="preserve">опрацьовано комісіями </w:t>
      </w:r>
      <w:r w:rsidRPr="00242020">
        <w:rPr>
          <w:rFonts w:eastAsia="Times New Roman" w:cs="Times New Roman"/>
          <w:b/>
          <w:spacing w:val="-6"/>
          <w:szCs w:val="28"/>
          <w:lang w:eastAsia="ru-RU"/>
        </w:rPr>
        <w:t>2,6 тис.</w:t>
      </w:r>
      <w:r w:rsidRPr="00242020">
        <w:rPr>
          <w:rFonts w:eastAsia="Times New Roman" w:cs="Times New Roman"/>
          <w:spacing w:val="-6"/>
          <w:szCs w:val="28"/>
          <w:lang w:eastAsia="ru-RU"/>
        </w:rPr>
        <w:t>;</w:t>
      </w:r>
    </w:p>
    <w:p w:rsidR="002039E8" w:rsidRPr="00242020" w:rsidRDefault="002039E8" w:rsidP="00102753">
      <w:pPr>
        <w:widowControl/>
        <w:numPr>
          <w:ilvl w:val="0"/>
          <w:numId w:val="12"/>
        </w:numPr>
        <w:tabs>
          <w:tab w:val="left" w:pos="993"/>
        </w:tabs>
        <w:ind w:left="0" w:firstLine="709"/>
        <w:jc w:val="both"/>
        <w:rPr>
          <w:rFonts w:eastAsia="Times New Roman" w:cs="Times New Roman"/>
          <w:spacing w:val="-6"/>
          <w:szCs w:val="28"/>
          <w:lang w:eastAsia="ru-RU"/>
        </w:rPr>
      </w:pPr>
      <w:r w:rsidRPr="00242020">
        <w:rPr>
          <w:rFonts w:eastAsia="Times New Roman" w:cs="Times New Roman"/>
          <w:szCs w:val="28"/>
          <w:lang w:eastAsia="ru-RU"/>
        </w:rPr>
        <w:t xml:space="preserve">підлягає опрацюванню комісіями </w:t>
      </w:r>
      <w:r w:rsidRPr="00242020">
        <w:rPr>
          <w:rFonts w:eastAsia="Times New Roman" w:cs="Times New Roman"/>
          <w:b/>
          <w:szCs w:val="28"/>
          <w:lang w:eastAsia="ru-RU"/>
        </w:rPr>
        <w:t>2,0 тис.</w:t>
      </w:r>
    </w:p>
    <w:p w:rsidR="002039E8" w:rsidRPr="00242020" w:rsidRDefault="002039E8" w:rsidP="00102753">
      <w:pPr>
        <w:jc w:val="both"/>
        <w:rPr>
          <w:rFonts w:eastAsia="Times New Roman" w:cs="Times New Roman"/>
          <w:szCs w:val="28"/>
          <w:lang w:eastAsia="ru-RU"/>
        </w:rPr>
      </w:pPr>
      <w:r w:rsidRPr="00242020">
        <w:rPr>
          <w:rFonts w:eastAsia="Times New Roman" w:cs="Times New Roman"/>
          <w:szCs w:val="28"/>
          <w:lang w:eastAsia="ru-RU"/>
        </w:rPr>
        <w:t xml:space="preserve">Майже </w:t>
      </w:r>
      <w:r w:rsidRPr="00242020">
        <w:rPr>
          <w:rFonts w:eastAsia="Times New Roman" w:cs="Times New Roman"/>
          <w:b/>
          <w:szCs w:val="28"/>
          <w:lang w:eastAsia="ru-RU"/>
        </w:rPr>
        <w:t>48,5 %</w:t>
      </w:r>
      <w:r w:rsidRPr="00242020">
        <w:rPr>
          <w:rFonts w:eastAsia="Times New Roman" w:cs="Times New Roman"/>
          <w:szCs w:val="28"/>
          <w:lang w:eastAsia="ru-RU"/>
        </w:rPr>
        <w:t xml:space="preserve"> загальної кількості не опрацьованих комісіями матеріалів щодо юридичних осіб (записів у ЄДРПОУ) перебуває в 4 комісіях, які утворено </w:t>
      </w:r>
      <w:r w:rsidRPr="00242020">
        <w:rPr>
          <w:rFonts w:eastAsia="Times New Roman" w:cs="Times New Roman"/>
          <w:szCs w:val="28"/>
          <w:lang w:eastAsia="ru-RU"/>
        </w:rPr>
        <w:lastRenderedPageBreak/>
        <w:t>при Дніпропетровській (214 записів у ЄДРПОУ), Донецькій (189), Одеській (204) обласних та Київській (384) міській державних адміністраціях.</w:t>
      </w:r>
    </w:p>
    <w:p w:rsidR="002039E8" w:rsidRPr="00242020" w:rsidRDefault="002039E8" w:rsidP="00102753">
      <w:pPr>
        <w:jc w:val="both"/>
        <w:rPr>
          <w:rFonts w:eastAsia="Times New Roman" w:cs="Times New Roman"/>
          <w:sz w:val="6"/>
          <w:szCs w:val="6"/>
          <w:lang w:eastAsia="ru-RU"/>
        </w:rPr>
      </w:pPr>
    </w:p>
    <w:p w:rsidR="002039E8" w:rsidRPr="00242020" w:rsidRDefault="002039E8" w:rsidP="00102753">
      <w:pPr>
        <w:jc w:val="both"/>
        <w:rPr>
          <w:rFonts w:eastAsia="Times New Roman" w:cs="Times New Roman"/>
          <w:szCs w:val="28"/>
          <w:lang w:eastAsia="ru-RU"/>
        </w:rPr>
      </w:pPr>
      <w:r w:rsidRPr="00242020">
        <w:rPr>
          <w:rFonts w:eastAsia="Times New Roman" w:cs="Times New Roman"/>
          <w:szCs w:val="28"/>
          <w:lang w:eastAsia="ru-RU"/>
        </w:rPr>
        <w:t>Загальна кількість юридичних осіб, які за даними ЄДРПОУ належать до сфери управління відповідного суб’єкта управління, який цього не підтверджує, станом на 01 січня 2017 року порівняно з двома відповідними періодами 2015 та 2016 років наведена у таблиці 3.2.</w:t>
      </w:r>
    </w:p>
    <w:p w:rsidR="002039E8" w:rsidRPr="00242020" w:rsidRDefault="002039E8" w:rsidP="002039E8">
      <w:pPr>
        <w:jc w:val="right"/>
        <w:rPr>
          <w:rFonts w:eastAsia="Times New Roman" w:cs="Times New Roman"/>
          <w:b/>
          <w:sz w:val="24"/>
          <w:szCs w:val="24"/>
          <w:lang w:eastAsia="ru-RU"/>
        </w:rPr>
      </w:pPr>
      <w:r w:rsidRPr="00242020">
        <w:rPr>
          <w:rFonts w:eastAsia="Times New Roman" w:cs="Times New Roman"/>
          <w:b/>
          <w:sz w:val="24"/>
          <w:szCs w:val="24"/>
          <w:lang w:eastAsia="ru-RU"/>
        </w:rPr>
        <w:t>Таблиця 3.2</w:t>
      </w:r>
    </w:p>
    <w:p w:rsidR="002039E8" w:rsidRPr="00242020" w:rsidRDefault="002039E8" w:rsidP="002039E8">
      <w:pPr>
        <w:ind w:firstLine="0"/>
        <w:jc w:val="center"/>
        <w:rPr>
          <w:rFonts w:eastAsia="Times New Roman" w:cs="Times New Roman"/>
          <w:b/>
          <w:szCs w:val="28"/>
          <w:lang w:eastAsia="ru-RU"/>
        </w:rPr>
      </w:pPr>
      <w:r w:rsidRPr="00242020">
        <w:rPr>
          <w:rFonts w:eastAsia="Times New Roman" w:cs="Times New Roman"/>
          <w:b/>
          <w:szCs w:val="28"/>
          <w:lang w:eastAsia="ru-RU"/>
        </w:rPr>
        <w:t>Загальна кількість юридичних осіб, які за даними ЄДРПОУ</w:t>
      </w:r>
      <w:r w:rsidRPr="00242020">
        <w:rPr>
          <w:rFonts w:eastAsia="Times New Roman" w:cs="Times New Roman"/>
          <w:b/>
          <w:szCs w:val="28"/>
          <w:lang w:eastAsia="ru-RU"/>
        </w:rPr>
        <w:br/>
        <w:t>належать до сфери управління відповідного суб’єкта управління,</w:t>
      </w:r>
      <w:r w:rsidRPr="00242020">
        <w:rPr>
          <w:rFonts w:eastAsia="Times New Roman" w:cs="Times New Roman"/>
          <w:b/>
          <w:szCs w:val="28"/>
          <w:lang w:eastAsia="ru-RU"/>
        </w:rPr>
        <w:br/>
        <w:t>який цього не підтверджує</w:t>
      </w:r>
    </w:p>
    <w:p w:rsidR="002039E8" w:rsidRPr="00242020" w:rsidRDefault="002039E8" w:rsidP="002039E8">
      <w:pPr>
        <w:jc w:val="right"/>
        <w:rPr>
          <w:rFonts w:eastAsia="Times New Roman" w:cs="Times New Roman"/>
          <w:b/>
          <w:sz w:val="6"/>
          <w:szCs w:val="6"/>
          <w:highlight w:val="yellow"/>
          <w:lang w:eastAsia="ru-RU"/>
        </w:rPr>
      </w:pPr>
    </w:p>
    <w:tbl>
      <w:tblPr>
        <w:tblW w:w="8484"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2"/>
        <w:gridCol w:w="1354"/>
        <w:gridCol w:w="1354"/>
        <w:gridCol w:w="1354"/>
      </w:tblGrid>
      <w:tr w:rsidR="002039E8" w:rsidRPr="00242020" w:rsidTr="00CF5745">
        <w:trPr>
          <w:trHeight w:val="345"/>
          <w:jc w:val="center"/>
        </w:trPr>
        <w:tc>
          <w:tcPr>
            <w:tcW w:w="4422" w:type="dxa"/>
            <w:shd w:val="clear" w:color="auto" w:fill="auto"/>
            <w:noWrap/>
          </w:tcPr>
          <w:p w:rsidR="002039E8" w:rsidRPr="00242020" w:rsidRDefault="002039E8" w:rsidP="002039E8">
            <w:pPr>
              <w:widowControl/>
              <w:ind w:firstLine="0"/>
              <w:jc w:val="center"/>
              <w:rPr>
                <w:rFonts w:eastAsia="Times New Roman" w:cs="Times New Roman"/>
                <w:b/>
                <w:sz w:val="24"/>
                <w:szCs w:val="24"/>
                <w:lang w:eastAsia="ru-RU"/>
              </w:rPr>
            </w:pPr>
            <w:r w:rsidRPr="00242020">
              <w:rPr>
                <w:rFonts w:eastAsia="Times New Roman" w:cs="Times New Roman"/>
                <w:b/>
                <w:sz w:val="24"/>
                <w:szCs w:val="24"/>
                <w:lang w:eastAsia="ru-RU"/>
              </w:rPr>
              <w:t xml:space="preserve">Кількість юридичних осіб </w:t>
            </w:r>
          </w:p>
          <w:p w:rsidR="002039E8" w:rsidRPr="00242020" w:rsidRDefault="002039E8" w:rsidP="002039E8">
            <w:pPr>
              <w:widowControl/>
              <w:ind w:firstLine="0"/>
              <w:jc w:val="center"/>
              <w:rPr>
                <w:rFonts w:eastAsia="Times New Roman" w:cs="Times New Roman"/>
                <w:sz w:val="24"/>
                <w:szCs w:val="24"/>
                <w:lang w:eastAsia="ru-RU"/>
              </w:rPr>
            </w:pPr>
            <w:r w:rsidRPr="00242020">
              <w:rPr>
                <w:rFonts w:eastAsia="Times New Roman" w:cs="Times New Roman"/>
                <w:b/>
                <w:sz w:val="24"/>
                <w:szCs w:val="24"/>
                <w:lang w:eastAsia="ru-RU"/>
              </w:rPr>
              <w:t>(записів у ЄДРПОУ) тис.</w:t>
            </w:r>
          </w:p>
        </w:tc>
        <w:tc>
          <w:tcPr>
            <w:tcW w:w="1354" w:type="dxa"/>
            <w:shd w:val="clear" w:color="auto" w:fill="auto"/>
            <w:noWrap/>
          </w:tcPr>
          <w:p w:rsidR="002039E8" w:rsidRPr="00242020" w:rsidRDefault="002039E8" w:rsidP="002039E8">
            <w:pPr>
              <w:widowControl/>
              <w:ind w:firstLine="0"/>
              <w:jc w:val="center"/>
              <w:rPr>
                <w:rFonts w:eastAsia="Times New Roman" w:cs="Times New Roman"/>
                <w:b/>
                <w:sz w:val="24"/>
                <w:szCs w:val="24"/>
                <w:lang w:eastAsia="ru-RU"/>
              </w:rPr>
            </w:pPr>
            <w:r w:rsidRPr="00242020">
              <w:rPr>
                <w:rFonts w:eastAsia="Times New Roman" w:cs="Times New Roman"/>
                <w:b/>
                <w:bCs/>
                <w:sz w:val="24"/>
                <w:szCs w:val="24"/>
                <w:lang w:eastAsia="ru-RU"/>
              </w:rPr>
              <w:t>01 січня 2015</w:t>
            </w:r>
            <w:r w:rsidRPr="00242020">
              <w:rPr>
                <w:rFonts w:eastAsia="Times New Roman" w:cs="Times New Roman"/>
                <w:b/>
                <w:sz w:val="24"/>
                <w:szCs w:val="24"/>
                <w:lang w:eastAsia="ru-RU"/>
              </w:rPr>
              <w:t> р.</w:t>
            </w:r>
          </w:p>
        </w:tc>
        <w:tc>
          <w:tcPr>
            <w:tcW w:w="1354" w:type="dxa"/>
            <w:shd w:val="clear" w:color="auto" w:fill="auto"/>
            <w:noWrap/>
          </w:tcPr>
          <w:p w:rsidR="002039E8" w:rsidRPr="00242020" w:rsidRDefault="002039E8" w:rsidP="002039E8">
            <w:pPr>
              <w:widowControl/>
              <w:ind w:firstLine="0"/>
              <w:jc w:val="center"/>
              <w:rPr>
                <w:rFonts w:eastAsia="Times New Roman" w:cs="Times New Roman"/>
                <w:b/>
                <w:sz w:val="24"/>
                <w:szCs w:val="24"/>
                <w:lang w:eastAsia="ru-RU"/>
              </w:rPr>
            </w:pPr>
            <w:r w:rsidRPr="00242020">
              <w:rPr>
                <w:rFonts w:eastAsia="Times New Roman" w:cs="Times New Roman"/>
                <w:b/>
                <w:bCs/>
                <w:sz w:val="24"/>
                <w:szCs w:val="24"/>
                <w:lang w:eastAsia="ru-RU"/>
              </w:rPr>
              <w:t>01 січня 2016</w:t>
            </w:r>
            <w:r w:rsidRPr="00242020">
              <w:rPr>
                <w:rFonts w:eastAsia="Times New Roman" w:cs="Times New Roman"/>
                <w:b/>
                <w:sz w:val="24"/>
                <w:szCs w:val="24"/>
                <w:lang w:eastAsia="ru-RU"/>
              </w:rPr>
              <w:t> р.</w:t>
            </w:r>
          </w:p>
        </w:tc>
        <w:tc>
          <w:tcPr>
            <w:tcW w:w="1354" w:type="dxa"/>
            <w:shd w:val="clear" w:color="auto" w:fill="auto"/>
            <w:noWrap/>
          </w:tcPr>
          <w:p w:rsidR="002039E8" w:rsidRPr="00242020" w:rsidRDefault="002039E8" w:rsidP="002039E8">
            <w:pPr>
              <w:widowControl/>
              <w:ind w:firstLine="0"/>
              <w:jc w:val="center"/>
              <w:rPr>
                <w:rFonts w:eastAsia="Times New Roman" w:cs="Times New Roman"/>
                <w:b/>
                <w:sz w:val="24"/>
                <w:szCs w:val="24"/>
                <w:lang w:eastAsia="ru-RU"/>
              </w:rPr>
            </w:pPr>
            <w:r w:rsidRPr="00242020">
              <w:rPr>
                <w:rFonts w:eastAsia="Times New Roman" w:cs="Times New Roman"/>
                <w:b/>
                <w:bCs/>
                <w:sz w:val="24"/>
                <w:szCs w:val="24"/>
                <w:lang w:eastAsia="ru-RU"/>
              </w:rPr>
              <w:t>01 січня 2017</w:t>
            </w:r>
            <w:r w:rsidRPr="00242020">
              <w:rPr>
                <w:rFonts w:eastAsia="Times New Roman" w:cs="Times New Roman"/>
                <w:b/>
                <w:sz w:val="24"/>
                <w:szCs w:val="24"/>
                <w:lang w:eastAsia="ru-RU"/>
              </w:rPr>
              <w:t> р.</w:t>
            </w:r>
          </w:p>
        </w:tc>
      </w:tr>
      <w:tr w:rsidR="002039E8" w:rsidRPr="00242020" w:rsidTr="00CF5745">
        <w:trPr>
          <w:trHeight w:val="335"/>
          <w:jc w:val="center"/>
        </w:trPr>
        <w:tc>
          <w:tcPr>
            <w:tcW w:w="4422" w:type="dxa"/>
            <w:shd w:val="clear" w:color="auto" w:fill="auto"/>
            <w:noWrap/>
            <w:vAlign w:val="center"/>
          </w:tcPr>
          <w:p w:rsidR="002039E8" w:rsidRPr="00242020" w:rsidRDefault="002039E8" w:rsidP="002039E8">
            <w:pPr>
              <w:widowControl/>
              <w:ind w:firstLine="0"/>
              <w:rPr>
                <w:rFonts w:eastAsia="Times New Roman" w:cs="Times New Roman"/>
                <w:sz w:val="24"/>
                <w:szCs w:val="24"/>
                <w:lang w:eastAsia="ru-RU"/>
              </w:rPr>
            </w:pPr>
            <w:r w:rsidRPr="00242020">
              <w:rPr>
                <w:rFonts w:eastAsia="Times New Roman" w:cs="Times New Roman"/>
                <w:sz w:val="24"/>
                <w:szCs w:val="24"/>
                <w:lang w:eastAsia="ru-RU"/>
              </w:rPr>
              <w:t xml:space="preserve">Упорядковано облік </w:t>
            </w:r>
          </w:p>
        </w:tc>
        <w:tc>
          <w:tcPr>
            <w:tcW w:w="1354" w:type="dxa"/>
            <w:shd w:val="clear" w:color="auto" w:fill="auto"/>
            <w:noWrap/>
            <w:vAlign w:val="center"/>
          </w:tcPr>
          <w:p w:rsidR="002039E8" w:rsidRPr="00242020" w:rsidRDefault="002039E8" w:rsidP="002039E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19,2</w:t>
            </w:r>
          </w:p>
        </w:tc>
        <w:tc>
          <w:tcPr>
            <w:tcW w:w="1354" w:type="dxa"/>
            <w:shd w:val="clear" w:color="auto" w:fill="auto"/>
            <w:noWrap/>
            <w:vAlign w:val="center"/>
          </w:tcPr>
          <w:p w:rsidR="002039E8" w:rsidRPr="00242020" w:rsidRDefault="002039E8" w:rsidP="002039E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19,3</w:t>
            </w:r>
          </w:p>
        </w:tc>
        <w:tc>
          <w:tcPr>
            <w:tcW w:w="1354" w:type="dxa"/>
            <w:shd w:val="clear" w:color="auto" w:fill="auto"/>
            <w:noWrap/>
            <w:vAlign w:val="center"/>
          </w:tcPr>
          <w:p w:rsidR="002039E8" w:rsidRPr="00242020" w:rsidRDefault="002039E8" w:rsidP="002039E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19,4</w:t>
            </w:r>
          </w:p>
        </w:tc>
      </w:tr>
      <w:tr w:rsidR="002039E8" w:rsidRPr="00242020" w:rsidTr="00CF5745">
        <w:trPr>
          <w:trHeight w:val="119"/>
          <w:jc w:val="center"/>
        </w:trPr>
        <w:tc>
          <w:tcPr>
            <w:tcW w:w="4422" w:type="dxa"/>
            <w:shd w:val="clear" w:color="auto" w:fill="auto"/>
            <w:vAlign w:val="center"/>
          </w:tcPr>
          <w:p w:rsidR="002039E8" w:rsidRPr="00242020" w:rsidRDefault="002039E8" w:rsidP="002039E8">
            <w:pPr>
              <w:widowControl/>
              <w:ind w:firstLine="0"/>
              <w:rPr>
                <w:rFonts w:eastAsia="Times New Roman" w:cs="Times New Roman"/>
                <w:sz w:val="24"/>
                <w:szCs w:val="24"/>
                <w:lang w:eastAsia="ru-RU"/>
              </w:rPr>
            </w:pPr>
            <w:r w:rsidRPr="00242020">
              <w:rPr>
                <w:rFonts w:eastAsia="Times New Roman" w:cs="Times New Roman"/>
                <w:sz w:val="24"/>
                <w:szCs w:val="24"/>
                <w:lang w:eastAsia="ru-RU"/>
              </w:rPr>
              <w:t>Не упорядковано облік</w:t>
            </w:r>
          </w:p>
        </w:tc>
        <w:tc>
          <w:tcPr>
            <w:tcW w:w="1354" w:type="dxa"/>
            <w:shd w:val="clear" w:color="auto" w:fill="auto"/>
            <w:noWrap/>
          </w:tcPr>
          <w:p w:rsidR="002039E8" w:rsidRPr="00242020" w:rsidRDefault="002039E8" w:rsidP="002039E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4,9</w:t>
            </w:r>
          </w:p>
        </w:tc>
        <w:tc>
          <w:tcPr>
            <w:tcW w:w="1354" w:type="dxa"/>
            <w:shd w:val="clear" w:color="auto" w:fill="auto"/>
            <w:noWrap/>
          </w:tcPr>
          <w:p w:rsidR="002039E8" w:rsidRPr="00242020" w:rsidRDefault="002039E8" w:rsidP="002039E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4,8</w:t>
            </w:r>
          </w:p>
        </w:tc>
        <w:tc>
          <w:tcPr>
            <w:tcW w:w="1354" w:type="dxa"/>
            <w:shd w:val="clear" w:color="auto" w:fill="auto"/>
            <w:noWrap/>
          </w:tcPr>
          <w:p w:rsidR="002039E8" w:rsidRPr="00242020" w:rsidRDefault="002039E8" w:rsidP="000A1F35">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4,6</w:t>
            </w:r>
            <w:r w:rsidR="000A1F35" w:rsidRPr="00242020">
              <w:rPr>
                <w:rStyle w:val="afa"/>
                <w:rFonts w:eastAsia="Times New Roman" w:cs="Times New Roman"/>
                <w:sz w:val="24"/>
                <w:szCs w:val="24"/>
                <w:lang w:eastAsia="ru-RU"/>
              </w:rPr>
              <w:footnoteReference w:customMarkFollows="1" w:id="3"/>
              <w:sym w:font="Symbol" w:char="F02A"/>
            </w:r>
          </w:p>
        </w:tc>
      </w:tr>
      <w:tr w:rsidR="002039E8" w:rsidRPr="00242020" w:rsidTr="00CF5745">
        <w:trPr>
          <w:trHeight w:val="85"/>
          <w:jc w:val="center"/>
        </w:trPr>
        <w:tc>
          <w:tcPr>
            <w:tcW w:w="8484" w:type="dxa"/>
            <w:gridSpan w:val="4"/>
            <w:shd w:val="clear" w:color="auto" w:fill="auto"/>
          </w:tcPr>
          <w:p w:rsidR="002039E8" w:rsidRPr="00242020" w:rsidRDefault="002039E8" w:rsidP="002039E8">
            <w:pPr>
              <w:widowControl/>
              <w:ind w:firstLine="438"/>
              <w:rPr>
                <w:rFonts w:eastAsia="Times New Roman" w:cs="Times New Roman"/>
                <w:sz w:val="24"/>
                <w:szCs w:val="24"/>
                <w:lang w:eastAsia="ru-RU"/>
              </w:rPr>
            </w:pPr>
            <w:r w:rsidRPr="00242020">
              <w:rPr>
                <w:rFonts w:eastAsia="Times New Roman" w:cs="Times New Roman"/>
                <w:sz w:val="24"/>
                <w:szCs w:val="24"/>
                <w:lang w:eastAsia="ru-RU"/>
              </w:rPr>
              <w:t>у тому числі:</w:t>
            </w:r>
          </w:p>
        </w:tc>
      </w:tr>
      <w:tr w:rsidR="002039E8" w:rsidRPr="00242020" w:rsidTr="00CF5745">
        <w:trPr>
          <w:trHeight w:val="113"/>
          <w:jc w:val="center"/>
        </w:trPr>
        <w:tc>
          <w:tcPr>
            <w:tcW w:w="4422" w:type="dxa"/>
            <w:shd w:val="clear" w:color="auto" w:fill="auto"/>
          </w:tcPr>
          <w:p w:rsidR="002039E8" w:rsidRPr="00242020" w:rsidRDefault="002039E8" w:rsidP="002039E8">
            <w:pPr>
              <w:widowControl/>
              <w:ind w:firstLine="0"/>
              <w:rPr>
                <w:rFonts w:eastAsia="Times New Roman" w:cs="Times New Roman"/>
                <w:sz w:val="24"/>
                <w:szCs w:val="24"/>
                <w:lang w:eastAsia="ru-RU"/>
              </w:rPr>
            </w:pPr>
            <w:r w:rsidRPr="00242020">
              <w:rPr>
                <w:rFonts w:eastAsia="Times New Roman" w:cs="Times New Roman"/>
                <w:sz w:val="24"/>
                <w:szCs w:val="24"/>
                <w:lang w:eastAsia="ru-RU"/>
              </w:rPr>
              <w:t>- опрацьовані комісіями</w:t>
            </w:r>
          </w:p>
        </w:tc>
        <w:tc>
          <w:tcPr>
            <w:tcW w:w="1354" w:type="dxa"/>
            <w:shd w:val="clear" w:color="auto" w:fill="auto"/>
            <w:noWrap/>
          </w:tcPr>
          <w:p w:rsidR="002039E8" w:rsidRPr="00242020" w:rsidRDefault="002039E8" w:rsidP="002039E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2,8</w:t>
            </w:r>
          </w:p>
        </w:tc>
        <w:tc>
          <w:tcPr>
            <w:tcW w:w="1354" w:type="dxa"/>
            <w:shd w:val="clear" w:color="auto" w:fill="auto"/>
            <w:noWrap/>
          </w:tcPr>
          <w:p w:rsidR="002039E8" w:rsidRPr="00242020" w:rsidRDefault="002039E8" w:rsidP="002039E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2,7</w:t>
            </w:r>
          </w:p>
        </w:tc>
        <w:tc>
          <w:tcPr>
            <w:tcW w:w="1354" w:type="dxa"/>
            <w:shd w:val="clear" w:color="auto" w:fill="auto"/>
            <w:noWrap/>
          </w:tcPr>
          <w:p w:rsidR="002039E8" w:rsidRPr="00242020" w:rsidRDefault="002039E8" w:rsidP="002039E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2,6</w:t>
            </w:r>
          </w:p>
        </w:tc>
      </w:tr>
      <w:tr w:rsidR="002039E8" w:rsidRPr="00242020" w:rsidTr="00CF5745">
        <w:trPr>
          <w:trHeight w:val="116"/>
          <w:jc w:val="center"/>
        </w:trPr>
        <w:tc>
          <w:tcPr>
            <w:tcW w:w="4422" w:type="dxa"/>
            <w:shd w:val="clear" w:color="auto" w:fill="auto"/>
          </w:tcPr>
          <w:p w:rsidR="002039E8" w:rsidRPr="00242020" w:rsidRDefault="002039E8" w:rsidP="002039E8">
            <w:pPr>
              <w:widowControl/>
              <w:ind w:firstLine="0"/>
              <w:rPr>
                <w:rFonts w:eastAsia="Times New Roman" w:cs="Times New Roman"/>
                <w:sz w:val="24"/>
                <w:szCs w:val="24"/>
                <w:lang w:eastAsia="ru-RU"/>
              </w:rPr>
            </w:pPr>
            <w:r w:rsidRPr="00242020">
              <w:rPr>
                <w:rFonts w:eastAsia="Times New Roman" w:cs="Times New Roman"/>
                <w:sz w:val="24"/>
                <w:szCs w:val="24"/>
                <w:lang w:eastAsia="ru-RU"/>
              </w:rPr>
              <w:t>- не опрацьовані комісіями</w:t>
            </w:r>
          </w:p>
        </w:tc>
        <w:tc>
          <w:tcPr>
            <w:tcW w:w="1354" w:type="dxa"/>
            <w:shd w:val="clear" w:color="auto" w:fill="auto"/>
            <w:noWrap/>
          </w:tcPr>
          <w:p w:rsidR="002039E8" w:rsidRPr="00242020" w:rsidRDefault="002039E8" w:rsidP="002039E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2,1</w:t>
            </w:r>
          </w:p>
        </w:tc>
        <w:tc>
          <w:tcPr>
            <w:tcW w:w="1354" w:type="dxa"/>
            <w:shd w:val="clear" w:color="auto" w:fill="auto"/>
            <w:noWrap/>
          </w:tcPr>
          <w:p w:rsidR="002039E8" w:rsidRPr="00242020" w:rsidRDefault="002039E8" w:rsidP="002039E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2,1</w:t>
            </w:r>
          </w:p>
        </w:tc>
        <w:tc>
          <w:tcPr>
            <w:tcW w:w="1354" w:type="dxa"/>
            <w:shd w:val="clear" w:color="auto" w:fill="auto"/>
            <w:noWrap/>
          </w:tcPr>
          <w:p w:rsidR="002039E8" w:rsidRPr="00242020" w:rsidRDefault="002039E8" w:rsidP="002039E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2,0</w:t>
            </w:r>
          </w:p>
        </w:tc>
      </w:tr>
    </w:tbl>
    <w:p w:rsidR="002039E8" w:rsidRPr="00242020" w:rsidRDefault="002039E8" w:rsidP="002039E8">
      <w:pPr>
        <w:jc w:val="both"/>
        <w:rPr>
          <w:rFonts w:eastAsia="Times New Roman" w:cs="Times New Roman"/>
          <w:sz w:val="6"/>
          <w:szCs w:val="6"/>
          <w:highlight w:val="yellow"/>
          <w:lang w:eastAsia="ru-RU"/>
        </w:rPr>
      </w:pPr>
    </w:p>
    <w:p w:rsidR="002039E8" w:rsidRPr="00242020" w:rsidRDefault="002039E8" w:rsidP="002039E8">
      <w:pPr>
        <w:jc w:val="both"/>
        <w:rPr>
          <w:rFonts w:eastAsia="Times New Roman" w:cs="Times New Roman"/>
          <w:szCs w:val="28"/>
          <w:lang w:eastAsia="ru-RU"/>
        </w:rPr>
      </w:pPr>
      <w:r w:rsidRPr="00242020">
        <w:rPr>
          <w:rFonts w:eastAsia="Times New Roman" w:cs="Times New Roman"/>
          <w:szCs w:val="28"/>
          <w:lang w:eastAsia="ru-RU"/>
        </w:rPr>
        <w:t>Найбільшу кількість юридичних осіб, які підлягають упорядкуванню, мають:</w:t>
      </w:r>
    </w:p>
    <w:p w:rsidR="002039E8" w:rsidRPr="00242020" w:rsidRDefault="002039E8" w:rsidP="002039E8">
      <w:pPr>
        <w:widowControl/>
        <w:numPr>
          <w:ilvl w:val="0"/>
          <w:numId w:val="14"/>
        </w:numPr>
        <w:tabs>
          <w:tab w:val="left" w:pos="993"/>
        </w:tabs>
        <w:ind w:left="0" w:firstLine="709"/>
        <w:jc w:val="both"/>
        <w:rPr>
          <w:rFonts w:eastAsia="Times New Roman" w:cs="Times New Roman"/>
          <w:szCs w:val="24"/>
          <w:lang w:eastAsia="ru-RU"/>
        </w:rPr>
      </w:pPr>
      <w:r w:rsidRPr="00242020">
        <w:rPr>
          <w:rFonts w:eastAsia="Times New Roman" w:cs="Times New Roman"/>
          <w:szCs w:val="24"/>
          <w:lang w:eastAsia="ru-RU"/>
        </w:rPr>
        <w:t xml:space="preserve">місцеві державні адміністрації – </w:t>
      </w:r>
      <w:r w:rsidRPr="00242020">
        <w:rPr>
          <w:rFonts w:eastAsia="Times New Roman" w:cs="Times New Roman"/>
          <w:szCs w:val="28"/>
          <w:lang w:eastAsia="ru-RU"/>
        </w:rPr>
        <w:t>873</w:t>
      </w:r>
      <w:r w:rsidRPr="00242020">
        <w:rPr>
          <w:rFonts w:eastAsia="Times New Roman" w:cs="Times New Roman"/>
          <w:szCs w:val="24"/>
          <w:lang w:eastAsia="ru-RU"/>
        </w:rPr>
        <w:t>;</w:t>
      </w:r>
    </w:p>
    <w:p w:rsidR="002039E8" w:rsidRPr="00242020" w:rsidRDefault="002039E8" w:rsidP="002039E8">
      <w:pPr>
        <w:widowControl/>
        <w:numPr>
          <w:ilvl w:val="0"/>
          <w:numId w:val="14"/>
        </w:numPr>
        <w:tabs>
          <w:tab w:val="left" w:pos="993"/>
        </w:tabs>
        <w:ind w:left="0" w:firstLine="709"/>
        <w:jc w:val="both"/>
        <w:rPr>
          <w:rFonts w:eastAsia="Times New Roman" w:cs="Times New Roman"/>
          <w:szCs w:val="24"/>
          <w:lang w:eastAsia="ru-RU"/>
        </w:rPr>
      </w:pPr>
      <w:r w:rsidRPr="00242020">
        <w:rPr>
          <w:rFonts w:eastAsia="Times New Roman" w:cs="Times New Roman"/>
          <w:szCs w:val="24"/>
          <w:lang w:eastAsia="ru-RU"/>
        </w:rPr>
        <w:t>Міністерство аграрної політики України (правонаступник – Міністерство аграрної політики та продовольства України) – 522;</w:t>
      </w:r>
    </w:p>
    <w:p w:rsidR="002039E8" w:rsidRPr="00242020" w:rsidRDefault="002039E8" w:rsidP="002039E8">
      <w:pPr>
        <w:widowControl/>
        <w:numPr>
          <w:ilvl w:val="0"/>
          <w:numId w:val="14"/>
        </w:numPr>
        <w:tabs>
          <w:tab w:val="left" w:pos="993"/>
        </w:tabs>
        <w:ind w:left="0" w:firstLine="709"/>
        <w:jc w:val="both"/>
        <w:rPr>
          <w:rFonts w:eastAsia="Times New Roman" w:cs="Times New Roman"/>
          <w:szCs w:val="24"/>
          <w:lang w:eastAsia="ru-RU"/>
        </w:rPr>
      </w:pPr>
      <w:r w:rsidRPr="00242020">
        <w:rPr>
          <w:rFonts w:eastAsia="Times New Roman" w:cs="Times New Roman"/>
          <w:szCs w:val="24"/>
          <w:lang w:eastAsia="ru-RU"/>
        </w:rPr>
        <w:t xml:space="preserve">Міністерство промислової політики України (правонаступник – </w:t>
      </w:r>
      <w:proofErr w:type="spellStart"/>
      <w:r w:rsidRPr="00242020">
        <w:rPr>
          <w:rFonts w:eastAsia="Times New Roman" w:cs="Times New Roman"/>
          <w:szCs w:val="24"/>
          <w:lang w:eastAsia="ru-RU"/>
        </w:rPr>
        <w:t>Мін</w:t>
      </w:r>
      <w:r w:rsidRPr="006129B8">
        <w:rPr>
          <w:rFonts w:eastAsia="Times New Roman" w:cs="Times New Roman"/>
          <w:szCs w:val="24"/>
          <w:lang w:eastAsia="ru-RU"/>
        </w:rPr>
        <w:t>економрозвитку</w:t>
      </w:r>
      <w:proofErr w:type="spellEnd"/>
      <w:r w:rsidRPr="00242020">
        <w:rPr>
          <w:rFonts w:eastAsia="Times New Roman" w:cs="Times New Roman"/>
          <w:szCs w:val="24"/>
          <w:lang w:eastAsia="ru-RU"/>
        </w:rPr>
        <w:t>) – 329;</w:t>
      </w:r>
    </w:p>
    <w:p w:rsidR="002039E8" w:rsidRPr="00242020" w:rsidRDefault="002039E8" w:rsidP="002039E8">
      <w:pPr>
        <w:widowControl/>
        <w:numPr>
          <w:ilvl w:val="0"/>
          <w:numId w:val="14"/>
        </w:numPr>
        <w:tabs>
          <w:tab w:val="left" w:pos="993"/>
        </w:tabs>
        <w:ind w:left="0" w:firstLine="709"/>
        <w:jc w:val="both"/>
        <w:rPr>
          <w:rFonts w:eastAsia="Times New Roman" w:cs="Times New Roman"/>
          <w:szCs w:val="28"/>
          <w:lang w:eastAsia="ru-RU"/>
        </w:rPr>
      </w:pPr>
      <w:r w:rsidRPr="00242020">
        <w:rPr>
          <w:rFonts w:eastAsia="Times New Roman" w:cs="Times New Roman"/>
          <w:szCs w:val="24"/>
          <w:lang w:eastAsia="ru-RU"/>
        </w:rPr>
        <w:t>Міністерство освіти і науки України – 252;</w:t>
      </w:r>
    </w:p>
    <w:p w:rsidR="002039E8" w:rsidRPr="00242020" w:rsidRDefault="002039E8" w:rsidP="002039E8">
      <w:pPr>
        <w:widowControl/>
        <w:numPr>
          <w:ilvl w:val="0"/>
          <w:numId w:val="14"/>
        </w:numPr>
        <w:tabs>
          <w:tab w:val="left" w:pos="993"/>
        </w:tabs>
        <w:ind w:left="0" w:firstLine="709"/>
        <w:jc w:val="both"/>
        <w:rPr>
          <w:rFonts w:eastAsia="Times New Roman" w:cs="Times New Roman"/>
          <w:szCs w:val="28"/>
          <w:lang w:eastAsia="ru-RU"/>
        </w:rPr>
      </w:pPr>
      <w:r w:rsidRPr="00242020">
        <w:rPr>
          <w:rFonts w:eastAsia="Times New Roman" w:cs="Times New Roman"/>
          <w:szCs w:val="28"/>
          <w:lang w:eastAsia="ru-RU"/>
        </w:rPr>
        <w:t xml:space="preserve">Міністерство охорони здоров’я </w:t>
      </w:r>
      <w:r w:rsidRPr="00242020">
        <w:rPr>
          <w:rFonts w:eastAsia="Times New Roman" w:cs="Times New Roman"/>
          <w:szCs w:val="24"/>
          <w:lang w:eastAsia="ru-RU"/>
        </w:rPr>
        <w:t>України</w:t>
      </w:r>
      <w:r w:rsidRPr="00242020">
        <w:rPr>
          <w:rFonts w:eastAsia="Times New Roman" w:cs="Times New Roman"/>
          <w:szCs w:val="28"/>
          <w:lang w:eastAsia="ru-RU"/>
        </w:rPr>
        <w:t xml:space="preserve"> – 223;</w:t>
      </w:r>
    </w:p>
    <w:p w:rsidR="002039E8" w:rsidRPr="00242020" w:rsidRDefault="002039E8" w:rsidP="002039E8">
      <w:pPr>
        <w:widowControl/>
        <w:numPr>
          <w:ilvl w:val="0"/>
          <w:numId w:val="14"/>
        </w:numPr>
        <w:tabs>
          <w:tab w:val="left" w:pos="993"/>
        </w:tabs>
        <w:ind w:left="0" w:firstLine="709"/>
        <w:jc w:val="both"/>
        <w:rPr>
          <w:rFonts w:eastAsia="Times New Roman" w:cs="Times New Roman"/>
          <w:szCs w:val="24"/>
          <w:lang w:eastAsia="ru-RU"/>
        </w:rPr>
      </w:pPr>
      <w:r w:rsidRPr="00242020">
        <w:rPr>
          <w:rFonts w:eastAsia="Times New Roman" w:cs="Times New Roman"/>
          <w:szCs w:val="24"/>
          <w:lang w:eastAsia="ru-RU"/>
        </w:rPr>
        <w:t>Міністерство енергетики та вугільної промисловості України – 198.</w:t>
      </w:r>
    </w:p>
    <w:p w:rsidR="002039E8" w:rsidRPr="00242020" w:rsidRDefault="002039E8" w:rsidP="000A1F35">
      <w:pPr>
        <w:ind w:firstLine="0"/>
        <w:jc w:val="both"/>
        <w:rPr>
          <w:rFonts w:eastAsia="Times New Roman" w:cs="Times New Roman"/>
          <w:szCs w:val="28"/>
          <w:lang w:eastAsia="ru-RU"/>
        </w:rPr>
      </w:pPr>
      <w:r w:rsidRPr="00242020">
        <w:rPr>
          <w:rFonts w:eastAsia="Times New Roman" w:cs="Times New Roman"/>
          <w:szCs w:val="28"/>
          <w:lang w:eastAsia="ru-RU"/>
        </w:rPr>
        <w:t xml:space="preserve">За результатами опрацювання даних комісій та відповідних суб’єктів управління про юридичні особи (записи в ЄДРПОУ), які підлягають упорядкуванню, Фондом з’ясовано, що більшість юридичних осіб не здійснюють діяльності, не звітують органам </w:t>
      </w:r>
      <w:r w:rsidRPr="00242020">
        <w:rPr>
          <w:rFonts w:eastAsia="Times New Roman" w:cs="Times New Roman"/>
          <w:szCs w:val="24"/>
          <w:lang w:eastAsia="ru-RU"/>
        </w:rPr>
        <w:t>Державної фіскальної служби та</w:t>
      </w:r>
      <w:r w:rsidRPr="00242020">
        <w:rPr>
          <w:rFonts w:eastAsia="Times New Roman" w:cs="Times New Roman"/>
          <w:szCs w:val="28"/>
          <w:lang w:eastAsia="ru-RU"/>
        </w:rPr>
        <w:t xml:space="preserve"> Пенсійного фонду, не розташовані за юридичною адресою, не є </w:t>
      </w:r>
      <w:proofErr w:type="spellStart"/>
      <w:r w:rsidRPr="00242020">
        <w:rPr>
          <w:rFonts w:eastAsia="Times New Roman" w:cs="Times New Roman"/>
          <w:szCs w:val="28"/>
          <w:lang w:eastAsia="ru-RU"/>
        </w:rPr>
        <w:t>балансоутримувачами</w:t>
      </w:r>
      <w:proofErr w:type="spellEnd"/>
      <w:r w:rsidRPr="00242020">
        <w:rPr>
          <w:rFonts w:eastAsia="Times New Roman" w:cs="Times New Roman"/>
          <w:szCs w:val="28"/>
          <w:lang w:eastAsia="ru-RU"/>
        </w:rPr>
        <w:t xml:space="preserve"> нерухомого державного майна та дані про які не внесено до </w:t>
      </w:r>
      <w:proofErr w:type="spellStart"/>
      <w:r w:rsidRPr="00242020">
        <w:rPr>
          <w:rFonts w:eastAsia="Times New Roman" w:cs="Times New Roman"/>
          <w:szCs w:val="28"/>
          <w:lang w:eastAsia="ru-RU"/>
        </w:rPr>
        <w:t>ЄДР</w:t>
      </w:r>
      <w:proofErr w:type="spellEnd"/>
      <w:r w:rsidRPr="00242020">
        <w:rPr>
          <w:rFonts w:eastAsia="Times New Roman" w:cs="Times New Roman"/>
          <w:szCs w:val="28"/>
          <w:lang w:eastAsia="ru-RU"/>
        </w:rPr>
        <w:t xml:space="preserve">. </w:t>
      </w:r>
    </w:p>
    <w:p w:rsidR="002039E8" w:rsidRPr="00242020" w:rsidRDefault="002039E8" w:rsidP="002039E8">
      <w:pPr>
        <w:jc w:val="both"/>
        <w:rPr>
          <w:rFonts w:eastAsia="Times New Roman" w:cs="Times New Roman"/>
          <w:szCs w:val="28"/>
          <w:lang w:eastAsia="ru-RU"/>
        </w:rPr>
      </w:pPr>
      <w:r w:rsidRPr="00242020">
        <w:rPr>
          <w:rFonts w:eastAsia="Times New Roman" w:cs="Times New Roman"/>
          <w:szCs w:val="28"/>
          <w:lang w:eastAsia="ru-RU"/>
        </w:rPr>
        <w:t>Із зазначеної вище кількості юридичних осіб (записів у ЄДРПОУ), які підлягають упорядкуванню:</w:t>
      </w:r>
    </w:p>
    <w:p w:rsidR="002039E8" w:rsidRPr="00242020" w:rsidRDefault="002039E8" w:rsidP="002039E8">
      <w:pPr>
        <w:widowControl/>
        <w:numPr>
          <w:ilvl w:val="0"/>
          <w:numId w:val="16"/>
        </w:numPr>
        <w:tabs>
          <w:tab w:val="left" w:pos="993"/>
        </w:tabs>
        <w:ind w:left="0" w:firstLine="709"/>
        <w:jc w:val="both"/>
        <w:rPr>
          <w:rFonts w:eastAsia="Times New Roman" w:cs="Times New Roman"/>
          <w:sz w:val="24"/>
          <w:szCs w:val="24"/>
          <w:lang w:eastAsia="ru-RU"/>
        </w:rPr>
      </w:pPr>
      <w:r w:rsidRPr="00242020">
        <w:rPr>
          <w:rFonts w:eastAsia="Times New Roman" w:cs="Times New Roman"/>
          <w:b/>
          <w:szCs w:val="28"/>
          <w:lang w:eastAsia="ru-RU"/>
        </w:rPr>
        <w:t>1,8 тис.</w:t>
      </w:r>
      <w:r w:rsidRPr="00242020">
        <w:rPr>
          <w:rFonts w:eastAsia="Times New Roman" w:cs="Times New Roman"/>
          <w:szCs w:val="28"/>
          <w:lang w:eastAsia="ru-RU"/>
        </w:rPr>
        <w:t xml:space="preserve"> юридичних осіб (майже </w:t>
      </w:r>
      <w:r w:rsidRPr="00242020">
        <w:rPr>
          <w:rFonts w:eastAsia="Times New Roman" w:cs="Times New Roman"/>
          <w:b/>
          <w:szCs w:val="28"/>
          <w:lang w:eastAsia="ru-RU"/>
        </w:rPr>
        <w:t>40 %</w:t>
      </w:r>
      <w:r w:rsidRPr="00242020">
        <w:rPr>
          <w:rFonts w:eastAsia="Times New Roman" w:cs="Times New Roman"/>
          <w:szCs w:val="28"/>
          <w:lang w:eastAsia="ru-RU"/>
        </w:rPr>
        <w:t xml:space="preserve"> загальної кількості юридичних осіб, які підлягають упорядкуванню) внесено до </w:t>
      </w:r>
      <w:proofErr w:type="spellStart"/>
      <w:r w:rsidRPr="00242020">
        <w:rPr>
          <w:rFonts w:eastAsia="Times New Roman" w:cs="Times New Roman"/>
          <w:szCs w:val="28"/>
          <w:lang w:eastAsia="ru-RU"/>
        </w:rPr>
        <w:t>ЄДР</w:t>
      </w:r>
      <w:proofErr w:type="spellEnd"/>
      <w:r w:rsidRPr="00242020">
        <w:rPr>
          <w:rFonts w:eastAsia="Times New Roman" w:cs="Times New Roman"/>
          <w:szCs w:val="28"/>
          <w:lang w:eastAsia="ru-RU"/>
        </w:rPr>
        <w:t xml:space="preserve"> (перереєстровані в установленому порядку), з яких:</w:t>
      </w:r>
    </w:p>
    <w:p w:rsidR="002039E8" w:rsidRPr="00242020" w:rsidRDefault="002039E8" w:rsidP="002039E8">
      <w:pPr>
        <w:widowControl/>
        <w:numPr>
          <w:ilvl w:val="0"/>
          <w:numId w:val="8"/>
        </w:numPr>
        <w:tabs>
          <w:tab w:val="left" w:pos="1276"/>
        </w:tabs>
        <w:ind w:left="0" w:firstLine="993"/>
        <w:jc w:val="both"/>
        <w:rPr>
          <w:rFonts w:eastAsia="Times New Roman" w:cs="Times New Roman"/>
          <w:szCs w:val="28"/>
          <w:lang w:eastAsia="ru-RU"/>
        </w:rPr>
      </w:pPr>
      <w:r w:rsidRPr="00242020">
        <w:rPr>
          <w:rFonts w:eastAsia="Times New Roman" w:cs="Times New Roman"/>
          <w:b/>
          <w:szCs w:val="28"/>
          <w:lang w:eastAsia="ru-RU"/>
        </w:rPr>
        <w:t>1,1 тис.</w:t>
      </w:r>
      <w:r w:rsidRPr="00242020">
        <w:rPr>
          <w:rFonts w:eastAsia="Times New Roman" w:cs="Times New Roman"/>
          <w:szCs w:val="28"/>
          <w:lang w:eastAsia="ru-RU"/>
        </w:rPr>
        <w:t xml:space="preserve"> (</w:t>
      </w:r>
      <w:r w:rsidRPr="00242020">
        <w:rPr>
          <w:rFonts w:eastAsia="Times New Roman" w:cs="Times New Roman"/>
          <w:b/>
          <w:szCs w:val="28"/>
          <w:lang w:eastAsia="ru-RU"/>
        </w:rPr>
        <w:t>23,6 %</w:t>
      </w:r>
      <w:r w:rsidRPr="00242020">
        <w:rPr>
          <w:rFonts w:eastAsia="Times New Roman" w:cs="Times New Roman"/>
          <w:szCs w:val="28"/>
          <w:lang w:eastAsia="ru-RU"/>
        </w:rPr>
        <w:t xml:space="preserve"> загальної кількості юридичних осіб, які підлягають упорядкуванню) не перебувають у процесі припинення діяльності, стосовно яких необхідно привести реєстраційні дані (організаційно-правова форма </w:t>
      </w:r>
      <w:r w:rsidRPr="00242020">
        <w:rPr>
          <w:rFonts w:eastAsia="Times New Roman" w:cs="Times New Roman"/>
          <w:szCs w:val="28"/>
          <w:lang w:eastAsia="ru-RU"/>
        </w:rPr>
        <w:lastRenderedPageBreak/>
        <w:t>господарювання), установчі документи у відповідність із визначеними вимогами;</w:t>
      </w:r>
    </w:p>
    <w:p w:rsidR="002039E8" w:rsidRPr="00242020" w:rsidRDefault="002039E8" w:rsidP="002039E8">
      <w:pPr>
        <w:widowControl/>
        <w:numPr>
          <w:ilvl w:val="0"/>
          <w:numId w:val="8"/>
        </w:numPr>
        <w:tabs>
          <w:tab w:val="left" w:pos="1276"/>
        </w:tabs>
        <w:ind w:left="0" w:firstLine="993"/>
        <w:jc w:val="both"/>
        <w:rPr>
          <w:rFonts w:eastAsia="Times New Roman" w:cs="Times New Roman"/>
          <w:szCs w:val="28"/>
          <w:lang w:eastAsia="ru-RU"/>
        </w:rPr>
      </w:pPr>
      <w:r w:rsidRPr="00242020">
        <w:rPr>
          <w:rFonts w:eastAsia="Times New Roman" w:cs="Times New Roman"/>
          <w:b/>
          <w:szCs w:val="28"/>
          <w:lang w:eastAsia="ru-RU"/>
        </w:rPr>
        <w:t xml:space="preserve">0,7 тис. </w:t>
      </w:r>
      <w:r w:rsidRPr="00242020">
        <w:rPr>
          <w:rFonts w:eastAsia="Times New Roman" w:cs="Times New Roman"/>
          <w:szCs w:val="28"/>
          <w:lang w:eastAsia="ru-RU"/>
        </w:rPr>
        <w:t>(</w:t>
      </w:r>
      <w:r w:rsidRPr="00242020">
        <w:rPr>
          <w:rFonts w:eastAsia="Times New Roman" w:cs="Times New Roman"/>
          <w:b/>
          <w:szCs w:val="28"/>
          <w:lang w:eastAsia="ru-RU"/>
        </w:rPr>
        <w:t>16,4 %</w:t>
      </w:r>
      <w:r w:rsidRPr="00242020">
        <w:rPr>
          <w:rFonts w:eastAsia="Times New Roman" w:cs="Times New Roman"/>
          <w:szCs w:val="28"/>
          <w:lang w:eastAsia="ru-RU"/>
        </w:rPr>
        <w:t xml:space="preserve"> загальної кількості юридичних осіб, які підлягають упорядкуванню) перебувають у стані припинення діяльності, стосовно яких процедура припинення державної реєстрації буде проведена в установленому законодавством порядку та щодо яких відсутнє підтвердження відомостей про юридичну особу;</w:t>
      </w:r>
    </w:p>
    <w:p w:rsidR="002039E8" w:rsidRPr="00242020" w:rsidRDefault="002039E8" w:rsidP="002039E8">
      <w:pPr>
        <w:widowControl/>
        <w:numPr>
          <w:ilvl w:val="0"/>
          <w:numId w:val="14"/>
        </w:numPr>
        <w:tabs>
          <w:tab w:val="left" w:pos="993"/>
        </w:tabs>
        <w:ind w:left="0" w:firstLine="709"/>
        <w:jc w:val="both"/>
        <w:rPr>
          <w:rFonts w:eastAsia="Times New Roman" w:cs="Times New Roman"/>
          <w:szCs w:val="28"/>
          <w:lang w:eastAsia="ru-RU"/>
        </w:rPr>
      </w:pPr>
      <w:r w:rsidRPr="00242020">
        <w:rPr>
          <w:rFonts w:eastAsia="Times New Roman" w:cs="Times New Roman"/>
          <w:b/>
          <w:spacing w:val="-6"/>
          <w:szCs w:val="28"/>
          <w:lang w:eastAsia="ru-RU"/>
        </w:rPr>
        <w:t>2,8 тис.</w:t>
      </w:r>
      <w:r w:rsidRPr="00242020">
        <w:rPr>
          <w:rFonts w:eastAsia="Times New Roman" w:cs="Times New Roman"/>
          <w:spacing w:val="-6"/>
          <w:szCs w:val="28"/>
          <w:lang w:eastAsia="ru-RU"/>
        </w:rPr>
        <w:t xml:space="preserve"> юридичних осіб (майже </w:t>
      </w:r>
      <w:r w:rsidRPr="00242020">
        <w:rPr>
          <w:rFonts w:eastAsia="Times New Roman" w:cs="Times New Roman"/>
          <w:b/>
          <w:spacing w:val="-6"/>
          <w:szCs w:val="28"/>
          <w:lang w:eastAsia="ru-RU"/>
        </w:rPr>
        <w:t>60</w:t>
      </w:r>
      <w:r w:rsidRPr="00242020">
        <w:rPr>
          <w:rFonts w:eastAsia="Times New Roman" w:cs="Times New Roman"/>
          <w:b/>
          <w:szCs w:val="28"/>
          <w:lang w:eastAsia="ru-RU"/>
        </w:rPr>
        <w:t> %</w:t>
      </w:r>
      <w:r w:rsidRPr="00242020">
        <w:rPr>
          <w:rFonts w:eastAsia="Times New Roman" w:cs="Times New Roman"/>
          <w:spacing w:val="-6"/>
          <w:szCs w:val="28"/>
          <w:lang w:eastAsia="ru-RU"/>
        </w:rPr>
        <w:t xml:space="preserve"> загальної кількості </w:t>
      </w:r>
      <w:r w:rsidRPr="00242020">
        <w:rPr>
          <w:rFonts w:eastAsia="Times New Roman" w:cs="Times New Roman"/>
          <w:spacing w:val="-8"/>
          <w:szCs w:val="28"/>
          <w:lang w:eastAsia="ru-RU"/>
        </w:rPr>
        <w:t xml:space="preserve">юридичних осіб, </w:t>
      </w:r>
      <w:r w:rsidRPr="00242020">
        <w:rPr>
          <w:rFonts w:eastAsia="Times New Roman" w:cs="Times New Roman"/>
          <w:szCs w:val="28"/>
          <w:lang w:eastAsia="ru-RU"/>
        </w:rPr>
        <w:t>які підлягають упорядкуванню)</w:t>
      </w:r>
      <w:r w:rsidRPr="00242020">
        <w:rPr>
          <w:rFonts w:eastAsia="Times New Roman" w:cs="Times New Roman"/>
          <w:spacing w:val="-8"/>
          <w:szCs w:val="28"/>
          <w:lang w:eastAsia="ru-RU"/>
        </w:rPr>
        <w:t xml:space="preserve"> відсутні в </w:t>
      </w:r>
      <w:proofErr w:type="spellStart"/>
      <w:r w:rsidRPr="00242020">
        <w:rPr>
          <w:rFonts w:eastAsia="Times New Roman" w:cs="Times New Roman"/>
          <w:spacing w:val="-8"/>
          <w:szCs w:val="28"/>
          <w:lang w:eastAsia="ru-RU"/>
        </w:rPr>
        <w:t>ЄДР</w:t>
      </w:r>
      <w:proofErr w:type="spellEnd"/>
      <w:r w:rsidRPr="00242020">
        <w:rPr>
          <w:rFonts w:eastAsia="Times New Roman" w:cs="Times New Roman"/>
          <w:spacing w:val="-8"/>
          <w:szCs w:val="28"/>
          <w:lang w:eastAsia="ru-RU"/>
        </w:rPr>
        <w:t xml:space="preserve"> (зареєстровані до 01 липня 2004 року</w:t>
      </w:r>
      <w:r w:rsidRPr="00242020">
        <w:rPr>
          <w:rFonts w:eastAsia="Times New Roman" w:cs="Times New Roman"/>
          <w:spacing w:val="-6"/>
          <w:szCs w:val="28"/>
          <w:lang w:eastAsia="ru-RU"/>
        </w:rPr>
        <w:t xml:space="preserve"> та не включені до </w:t>
      </w:r>
      <w:proofErr w:type="spellStart"/>
      <w:r w:rsidRPr="00242020">
        <w:rPr>
          <w:rFonts w:eastAsia="Times New Roman" w:cs="Times New Roman"/>
          <w:spacing w:val="-6"/>
          <w:szCs w:val="28"/>
          <w:lang w:eastAsia="ru-RU"/>
        </w:rPr>
        <w:t>ЄДР</w:t>
      </w:r>
      <w:proofErr w:type="spellEnd"/>
      <w:r w:rsidRPr="00242020">
        <w:rPr>
          <w:rFonts w:eastAsia="Times New Roman" w:cs="Times New Roman"/>
          <w:spacing w:val="-6"/>
          <w:szCs w:val="28"/>
          <w:lang w:eastAsia="ru-RU"/>
        </w:rPr>
        <w:t xml:space="preserve">), стосовно яких неможливо завершити процедуру припинення державної реєстрації в установленому порядку. </w:t>
      </w:r>
    </w:p>
    <w:p w:rsidR="002039E8" w:rsidRPr="00242020" w:rsidRDefault="002039E8" w:rsidP="002039E8">
      <w:pPr>
        <w:jc w:val="both"/>
        <w:rPr>
          <w:rFonts w:eastAsia="Times New Roman" w:cs="Times New Roman"/>
          <w:szCs w:val="28"/>
          <w:lang w:eastAsia="ru-RU"/>
        </w:rPr>
      </w:pPr>
      <w:r w:rsidRPr="00242020">
        <w:rPr>
          <w:rFonts w:eastAsia="Times New Roman" w:cs="Times New Roman"/>
          <w:szCs w:val="28"/>
          <w:lang w:eastAsia="ru-RU"/>
        </w:rPr>
        <w:t xml:space="preserve">Для завершення заходів з упорядкування обліку юридичних осіб уповноваженим органам управління необхідно приділяти більше уваги питанням обліку юридичних осіб, що значаться в ЄДРПОУ за відповідним уповноваженим органом управління, а також своєчасно проводити в установленому законодавством порядку процедуру припинення державної реєстрації юридичних осіб. </w:t>
      </w:r>
    </w:p>
    <w:p w:rsidR="006F4201" w:rsidRPr="00242020" w:rsidRDefault="006F4201" w:rsidP="006F4201">
      <w:pPr>
        <w:jc w:val="both"/>
        <w:rPr>
          <w:rFonts w:eastAsia="Times New Roman" w:cs="Times New Roman"/>
          <w:sz w:val="12"/>
          <w:szCs w:val="12"/>
          <w:lang w:eastAsia="ru-RU"/>
        </w:rPr>
      </w:pPr>
    </w:p>
    <w:p w:rsidR="00805AB4" w:rsidRPr="00242020" w:rsidRDefault="00805AB4" w:rsidP="00805AB4">
      <w:pPr>
        <w:pStyle w:val="2"/>
      </w:pPr>
      <w:r w:rsidRPr="00242020">
        <w:t>3.3. Оренда державного майна</w:t>
      </w:r>
    </w:p>
    <w:p w:rsidR="006F4201" w:rsidRPr="00242020" w:rsidRDefault="006F4201" w:rsidP="006F4201">
      <w:pPr>
        <w:jc w:val="both"/>
        <w:rPr>
          <w:rFonts w:eastAsia="Times New Roman" w:cs="Times New Roman"/>
          <w:sz w:val="12"/>
          <w:szCs w:val="12"/>
          <w:lang w:eastAsia="ru-RU"/>
        </w:rPr>
      </w:pPr>
    </w:p>
    <w:p w:rsidR="005F2598" w:rsidRPr="00242020" w:rsidRDefault="005F2598" w:rsidP="00102753">
      <w:pPr>
        <w:jc w:val="both"/>
        <w:rPr>
          <w:rFonts w:eastAsia="Times New Roman" w:cs="Times New Roman"/>
          <w:szCs w:val="28"/>
          <w:lang w:eastAsia="ru-RU"/>
        </w:rPr>
      </w:pPr>
      <w:r w:rsidRPr="00242020">
        <w:rPr>
          <w:rFonts w:eastAsia="Times New Roman" w:cs="Times New Roman"/>
          <w:szCs w:val="28"/>
          <w:lang w:eastAsia="ru-RU"/>
        </w:rPr>
        <w:t>Фонд відповідно до повноважень, визначених законами України «Про Фонд державного майна України», «Про оренду державного та комунального майна», здійснює разом з Кабінетом Міністрів України державну політику у сфері оренди державного майна та виконує функції орендодавця державного майна.</w:t>
      </w:r>
    </w:p>
    <w:p w:rsidR="005F2598" w:rsidRPr="00242020" w:rsidRDefault="005F2598" w:rsidP="00102753">
      <w:pPr>
        <w:jc w:val="both"/>
        <w:rPr>
          <w:rFonts w:eastAsia="Times New Roman" w:cs="Times New Roman"/>
          <w:szCs w:val="28"/>
          <w:lang w:eastAsia="ru-RU"/>
        </w:rPr>
      </w:pPr>
      <w:r w:rsidRPr="00242020">
        <w:rPr>
          <w:rFonts w:eastAsia="Times New Roman" w:cs="Times New Roman"/>
          <w:szCs w:val="28"/>
          <w:lang w:eastAsia="ru-RU"/>
        </w:rPr>
        <w:t xml:space="preserve">На 01 січня 2017 року загальна кількість чинних договорів оренди державного майна, які укладені органами приватизації, становить </w:t>
      </w:r>
      <w:r w:rsidRPr="00242020">
        <w:rPr>
          <w:rFonts w:eastAsia="Times New Roman" w:cs="Times New Roman"/>
          <w:b/>
          <w:szCs w:val="28"/>
          <w:lang w:eastAsia="ru-RU"/>
        </w:rPr>
        <w:t>19 162</w:t>
      </w:r>
      <w:r w:rsidRPr="00242020">
        <w:rPr>
          <w:rFonts w:eastAsia="Times New Roman" w:cs="Times New Roman"/>
          <w:szCs w:val="28"/>
          <w:lang w:eastAsia="ru-RU"/>
        </w:rPr>
        <w:t xml:space="preserve">, у тому числі: </w:t>
      </w:r>
    </w:p>
    <w:p w:rsidR="005F2598" w:rsidRPr="00242020" w:rsidRDefault="005F2598" w:rsidP="00102753">
      <w:pPr>
        <w:jc w:val="both"/>
        <w:rPr>
          <w:rFonts w:eastAsia="Times New Roman" w:cs="Times New Roman"/>
          <w:szCs w:val="28"/>
          <w:lang w:eastAsia="ru-RU"/>
        </w:rPr>
      </w:pPr>
      <w:r w:rsidRPr="00242020">
        <w:rPr>
          <w:rFonts w:eastAsia="Times New Roman" w:cs="Times New Roman"/>
          <w:szCs w:val="28"/>
          <w:lang w:eastAsia="ru-RU"/>
        </w:rPr>
        <w:t>– </w:t>
      </w:r>
      <w:r w:rsidRPr="00242020">
        <w:rPr>
          <w:rFonts w:eastAsia="Times New Roman" w:cs="Times New Roman"/>
          <w:b/>
          <w:szCs w:val="28"/>
          <w:lang w:eastAsia="ru-RU"/>
        </w:rPr>
        <w:t>81</w:t>
      </w:r>
      <w:r w:rsidRPr="00242020">
        <w:rPr>
          <w:rFonts w:eastAsia="Times New Roman" w:cs="Times New Roman"/>
          <w:szCs w:val="28"/>
          <w:lang w:eastAsia="ru-RU"/>
        </w:rPr>
        <w:t xml:space="preserve"> договір оренди єдиних майнових комплексів державних підприємств (далі – </w:t>
      </w:r>
      <w:proofErr w:type="spellStart"/>
      <w:r w:rsidRPr="00242020">
        <w:rPr>
          <w:rFonts w:eastAsia="Times New Roman" w:cs="Times New Roman"/>
          <w:szCs w:val="28"/>
          <w:lang w:eastAsia="ru-RU"/>
        </w:rPr>
        <w:t>ЄМК</w:t>
      </w:r>
      <w:proofErr w:type="spellEnd"/>
      <w:r w:rsidRPr="00242020">
        <w:rPr>
          <w:rFonts w:eastAsia="Times New Roman" w:cs="Times New Roman"/>
          <w:szCs w:val="28"/>
          <w:lang w:eastAsia="ru-RU"/>
        </w:rPr>
        <w:t xml:space="preserve"> </w:t>
      </w:r>
      <w:proofErr w:type="spellStart"/>
      <w:r w:rsidRPr="00242020">
        <w:rPr>
          <w:rFonts w:eastAsia="Times New Roman" w:cs="Times New Roman"/>
          <w:szCs w:val="28"/>
          <w:lang w:eastAsia="ru-RU"/>
        </w:rPr>
        <w:t>ДП</w:t>
      </w:r>
      <w:proofErr w:type="spellEnd"/>
      <w:r w:rsidRPr="00242020">
        <w:rPr>
          <w:rFonts w:eastAsia="Times New Roman" w:cs="Times New Roman"/>
          <w:szCs w:val="28"/>
          <w:lang w:eastAsia="ru-RU"/>
        </w:rPr>
        <w:t>);</w:t>
      </w:r>
    </w:p>
    <w:p w:rsidR="005F2598" w:rsidRPr="00242020" w:rsidRDefault="005F2598" w:rsidP="00102753">
      <w:pPr>
        <w:jc w:val="both"/>
        <w:rPr>
          <w:rFonts w:eastAsia="Times New Roman" w:cs="Times New Roman"/>
          <w:szCs w:val="28"/>
          <w:lang w:eastAsia="ru-RU"/>
        </w:rPr>
      </w:pPr>
      <w:r w:rsidRPr="00242020">
        <w:rPr>
          <w:rFonts w:eastAsia="Times New Roman" w:cs="Times New Roman"/>
          <w:szCs w:val="28"/>
          <w:lang w:eastAsia="ru-RU"/>
        </w:rPr>
        <w:t>– </w:t>
      </w:r>
      <w:r w:rsidRPr="00242020">
        <w:rPr>
          <w:rFonts w:eastAsia="Times New Roman" w:cs="Times New Roman"/>
          <w:b/>
          <w:szCs w:val="28"/>
          <w:lang w:eastAsia="ru-RU"/>
        </w:rPr>
        <w:t>28</w:t>
      </w:r>
      <w:r w:rsidRPr="00242020">
        <w:rPr>
          <w:rFonts w:eastAsia="Times New Roman" w:cs="Times New Roman"/>
          <w:szCs w:val="28"/>
          <w:lang w:eastAsia="ru-RU"/>
        </w:rPr>
        <w:t xml:space="preserve"> договорів оренди єдиних майнових комплексів структурних підрозділів державних підприємств (далі – </w:t>
      </w:r>
      <w:proofErr w:type="spellStart"/>
      <w:r w:rsidRPr="00242020">
        <w:rPr>
          <w:rFonts w:eastAsia="Times New Roman" w:cs="Times New Roman"/>
          <w:szCs w:val="28"/>
          <w:lang w:eastAsia="ru-RU"/>
        </w:rPr>
        <w:t>ЄМК</w:t>
      </w:r>
      <w:proofErr w:type="spellEnd"/>
      <w:r w:rsidRPr="00242020">
        <w:rPr>
          <w:rFonts w:eastAsia="Times New Roman" w:cs="Times New Roman"/>
          <w:szCs w:val="28"/>
          <w:lang w:eastAsia="ru-RU"/>
        </w:rPr>
        <w:t xml:space="preserve"> структурних підрозділів);</w:t>
      </w:r>
    </w:p>
    <w:p w:rsidR="005F2598" w:rsidRPr="00242020" w:rsidRDefault="005F2598" w:rsidP="00102753">
      <w:pPr>
        <w:jc w:val="both"/>
        <w:rPr>
          <w:rFonts w:eastAsia="Times New Roman" w:cs="Times New Roman"/>
          <w:szCs w:val="28"/>
          <w:lang w:eastAsia="ru-RU"/>
        </w:rPr>
      </w:pPr>
      <w:r w:rsidRPr="00242020">
        <w:rPr>
          <w:rFonts w:eastAsia="Times New Roman" w:cs="Times New Roman"/>
          <w:szCs w:val="28"/>
          <w:lang w:eastAsia="ru-RU"/>
        </w:rPr>
        <w:t>– </w:t>
      </w:r>
      <w:r w:rsidRPr="00242020">
        <w:rPr>
          <w:rFonts w:eastAsia="Times New Roman" w:cs="Times New Roman"/>
          <w:b/>
          <w:szCs w:val="28"/>
          <w:lang w:eastAsia="ru-RU"/>
        </w:rPr>
        <w:t>18 696</w:t>
      </w:r>
      <w:r w:rsidRPr="00242020">
        <w:rPr>
          <w:rFonts w:eastAsia="Times New Roman" w:cs="Times New Roman"/>
          <w:szCs w:val="28"/>
          <w:lang w:eastAsia="ru-RU"/>
        </w:rPr>
        <w:t xml:space="preserve"> договорів оренди нерухомого майна державних підприємств; </w:t>
      </w:r>
    </w:p>
    <w:p w:rsidR="005F2598" w:rsidRPr="00242020" w:rsidRDefault="005F2598" w:rsidP="00102753">
      <w:pPr>
        <w:jc w:val="both"/>
        <w:rPr>
          <w:rFonts w:eastAsia="Times New Roman" w:cs="Times New Roman"/>
          <w:szCs w:val="28"/>
          <w:lang w:eastAsia="ru-RU"/>
        </w:rPr>
      </w:pPr>
      <w:r w:rsidRPr="00242020">
        <w:rPr>
          <w:rFonts w:eastAsia="Times New Roman" w:cs="Times New Roman"/>
          <w:szCs w:val="28"/>
          <w:lang w:eastAsia="ru-RU"/>
        </w:rPr>
        <w:t>– </w:t>
      </w:r>
      <w:r w:rsidRPr="00242020">
        <w:rPr>
          <w:rFonts w:eastAsia="Times New Roman" w:cs="Times New Roman"/>
          <w:b/>
          <w:szCs w:val="28"/>
          <w:lang w:eastAsia="ru-RU"/>
        </w:rPr>
        <w:t>331</w:t>
      </w:r>
      <w:r w:rsidRPr="00242020">
        <w:rPr>
          <w:rFonts w:eastAsia="Times New Roman" w:cs="Times New Roman"/>
          <w:szCs w:val="28"/>
          <w:lang w:eastAsia="ru-RU"/>
        </w:rPr>
        <w:t xml:space="preserve"> договір оренди державного нерухомого майна, що перебуває на балансі господарських товариств;</w:t>
      </w:r>
    </w:p>
    <w:p w:rsidR="005F2598" w:rsidRPr="00242020" w:rsidRDefault="005F2598" w:rsidP="00102753">
      <w:pPr>
        <w:jc w:val="both"/>
        <w:rPr>
          <w:rFonts w:eastAsia="Times New Roman" w:cs="Times New Roman"/>
          <w:szCs w:val="28"/>
          <w:lang w:eastAsia="ru-RU"/>
        </w:rPr>
      </w:pPr>
      <w:r w:rsidRPr="00242020">
        <w:rPr>
          <w:rFonts w:eastAsia="Times New Roman" w:cs="Times New Roman"/>
          <w:szCs w:val="28"/>
          <w:lang w:eastAsia="ru-RU"/>
        </w:rPr>
        <w:t>– </w:t>
      </w:r>
      <w:r w:rsidRPr="00242020">
        <w:rPr>
          <w:rFonts w:eastAsia="Times New Roman" w:cs="Times New Roman"/>
          <w:b/>
          <w:szCs w:val="28"/>
          <w:lang w:eastAsia="ru-RU"/>
        </w:rPr>
        <w:t>26</w:t>
      </w:r>
      <w:r w:rsidRPr="00242020">
        <w:rPr>
          <w:rFonts w:eastAsia="Times New Roman" w:cs="Times New Roman"/>
          <w:szCs w:val="28"/>
          <w:lang w:eastAsia="ru-RU"/>
        </w:rPr>
        <w:t xml:space="preserve"> договорів оренди іншого окремого індивідуально визначеного майна, що перебуває на балансі господарських товариств.</w:t>
      </w:r>
    </w:p>
    <w:p w:rsidR="005F2598" w:rsidRPr="00242020" w:rsidRDefault="005F2598" w:rsidP="00102753">
      <w:pPr>
        <w:jc w:val="both"/>
        <w:rPr>
          <w:rFonts w:eastAsia="Times New Roman" w:cs="Times New Roman"/>
          <w:szCs w:val="28"/>
          <w:lang w:eastAsia="uk-UA"/>
        </w:rPr>
      </w:pPr>
      <w:r w:rsidRPr="00242020">
        <w:rPr>
          <w:rFonts w:eastAsia="Times New Roman" w:cs="Times New Roman"/>
          <w:szCs w:val="28"/>
          <w:lang w:eastAsia="ru-RU"/>
        </w:rPr>
        <w:t xml:space="preserve">Із загальної кількості договорів оренди 888 договорів укладено щодо державного майна, розташованого на тимчасово окупованій території АР Крим та м. Севастополя, </w:t>
      </w:r>
      <w:r w:rsidRPr="00242020">
        <w:rPr>
          <w:rFonts w:eastAsia="Times New Roman" w:cs="Times New Roman"/>
          <w:szCs w:val="28"/>
          <w:lang w:eastAsia="uk-UA"/>
        </w:rPr>
        <w:t xml:space="preserve">1 071 договір – щодо </w:t>
      </w:r>
      <w:r w:rsidR="00550C76">
        <w:rPr>
          <w:rFonts w:eastAsia="Times New Roman" w:cs="Times New Roman"/>
          <w:szCs w:val="28"/>
          <w:lang w:eastAsia="uk-UA"/>
        </w:rPr>
        <w:t xml:space="preserve">державного </w:t>
      </w:r>
      <w:r w:rsidRPr="00242020">
        <w:rPr>
          <w:rFonts w:eastAsia="Times New Roman" w:cs="Times New Roman"/>
          <w:szCs w:val="28"/>
          <w:lang w:eastAsia="uk-UA"/>
        </w:rPr>
        <w:t>майна, розташованого в населених пунктах, на території яких органи державної влади тимчасово не здійснюють свої повноваження, та населених пунктах, що розташовані на лінії зіткнення.</w:t>
      </w:r>
    </w:p>
    <w:p w:rsidR="005F2598" w:rsidRPr="00242020" w:rsidRDefault="005F2598" w:rsidP="00102753">
      <w:pPr>
        <w:tabs>
          <w:tab w:val="left" w:pos="0"/>
        </w:tabs>
        <w:jc w:val="both"/>
        <w:rPr>
          <w:rFonts w:eastAsia="Arial Unicode MS" w:cs="Times New Roman"/>
          <w:szCs w:val="28"/>
          <w:lang w:eastAsia="ru-RU"/>
        </w:rPr>
      </w:pPr>
      <w:r w:rsidRPr="00242020">
        <w:rPr>
          <w:rFonts w:eastAsia="Times New Roman" w:cs="Times New Roman"/>
          <w:szCs w:val="28"/>
          <w:lang w:eastAsia="ru-RU"/>
        </w:rPr>
        <w:t xml:space="preserve">Законом України «Про Державний бюджет України на 2016 рік» річне </w:t>
      </w:r>
      <w:r w:rsidRPr="00242020">
        <w:rPr>
          <w:rFonts w:eastAsia="Arial Unicode MS" w:cs="Times New Roman"/>
          <w:szCs w:val="28"/>
          <w:lang w:eastAsia="ru-RU"/>
        </w:rPr>
        <w:t xml:space="preserve">бюджетне завдання з надходження від орендної плати за користування цілісними майновими комплексами та іншим державним майном встановлено в </w:t>
      </w:r>
      <w:r w:rsidRPr="00242020">
        <w:rPr>
          <w:rFonts w:eastAsia="Arial Unicode MS" w:cs="Times New Roman"/>
          <w:szCs w:val="28"/>
          <w:lang w:eastAsia="ru-RU"/>
        </w:rPr>
        <w:lastRenderedPageBreak/>
        <w:t>розмірі 615 </w:t>
      </w:r>
      <w:proofErr w:type="spellStart"/>
      <w:r w:rsidRPr="00242020">
        <w:rPr>
          <w:rFonts w:eastAsia="Arial Unicode MS" w:cs="Times New Roman"/>
          <w:szCs w:val="28"/>
          <w:lang w:eastAsia="ru-RU"/>
        </w:rPr>
        <w:t>млн</w:t>
      </w:r>
      <w:proofErr w:type="spellEnd"/>
      <w:r w:rsidRPr="00242020">
        <w:rPr>
          <w:rFonts w:eastAsia="Arial Unicode MS" w:cs="Times New Roman"/>
          <w:szCs w:val="28"/>
          <w:lang w:eastAsia="ru-RU"/>
        </w:rPr>
        <w:t xml:space="preserve"> грн. </w:t>
      </w:r>
    </w:p>
    <w:p w:rsidR="005F2598" w:rsidRPr="00242020" w:rsidRDefault="005F2598" w:rsidP="00102753">
      <w:pPr>
        <w:tabs>
          <w:tab w:val="left" w:pos="0"/>
        </w:tabs>
        <w:jc w:val="both"/>
        <w:rPr>
          <w:rFonts w:eastAsia="Times New Roman" w:cs="Times New Roman"/>
          <w:szCs w:val="28"/>
          <w:lang w:eastAsia="ru-RU"/>
        </w:rPr>
      </w:pPr>
      <w:r w:rsidRPr="00242020">
        <w:rPr>
          <w:rFonts w:eastAsia="Times New Roman" w:cs="Times New Roman"/>
          <w:szCs w:val="28"/>
          <w:lang w:eastAsia="ru-RU"/>
        </w:rPr>
        <w:t xml:space="preserve">За результатами роботи у 2016 році органами приватизації забезпечено надходження коштів від оренди державного майна до Державного бюджету України в розмірі </w:t>
      </w:r>
      <w:r w:rsidRPr="00242020">
        <w:rPr>
          <w:rFonts w:eastAsia="Times New Roman" w:cs="Times New Roman"/>
          <w:b/>
          <w:szCs w:val="28"/>
          <w:lang w:eastAsia="ru-RU"/>
        </w:rPr>
        <w:t xml:space="preserve">1 028,558 </w:t>
      </w:r>
      <w:proofErr w:type="spellStart"/>
      <w:r w:rsidRPr="00242020">
        <w:rPr>
          <w:rFonts w:eastAsia="Times New Roman" w:cs="Times New Roman"/>
          <w:b/>
          <w:szCs w:val="28"/>
          <w:lang w:eastAsia="ru-RU"/>
        </w:rPr>
        <w:t>млн</w:t>
      </w:r>
      <w:proofErr w:type="spellEnd"/>
      <w:r w:rsidRPr="00242020">
        <w:rPr>
          <w:rFonts w:eastAsia="Times New Roman" w:cs="Times New Roman"/>
          <w:b/>
          <w:szCs w:val="28"/>
          <w:lang w:eastAsia="ru-RU"/>
        </w:rPr>
        <w:t xml:space="preserve"> </w:t>
      </w:r>
      <w:proofErr w:type="spellStart"/>
      <w:r w:rsidRPr="00242020">
        <w:rPr>
          <w:rFonts w:eastAsia="Times New Roman" w:cs="Times New Roman"/>
          <w:b/>
          <w:szCs w:val="28"/>
          <w:lang w:eastAsia="ru-RU"/>
        </w:rPr>
        <w:t>грн</w:t>
      </w:r>
      <w:proofErr w:type="spellEnd"/>
      <w:r w:rsidRPr="00242020">
        <w:rPr>
          <w:rFonts w:eastAsia="Times New Roman" w:cs="Times New Roman"/>
          <w:szCs w:val="28"/>
          <w:lang w:eastAsia="ru-RU"/>
        </w:rPr>
        <w:t xml:space="preserve">, що підтверджено довідкою Державної казначейської служби України, та становить 167,25 % виконання річного плану. </w:t>
      </w:r>
    </w:p>
    <w:p w:rsidR="005F2598" w:rsidRPr="00242020" w:rsidRDefault="005F2598" w:rsidP="00102753">
      <w:pPr>
        <w:jc w:val="both"/>
        <w:rPr>
          <w:rFonts w:eastAsia="Times New Roman" w:cs="Times New Roman"/>
          <w:szCs w:val="28"/>
          <w:lang w:eastAsia="ru-RU"/>
        </w:rPr>
      </w:pPr>
      <w:r w:rsidRPr="00242020">
        <w:rPr>
          <w:rFonts w:eastAsia="Times New Roman" w:cs="Times New Roman"/>
          <w:szCs w:val="28"/>
          <w:lang w:eastAsia="ru-RU"/>
        </w:rPr>
        <w:t>Загальна сума надходжень від орендної плати складається з таких надходжень:</w:t>
      </w:r>
    </w:p>
    <w:p w:rsidR="005F2598" w:rsidRPr="00242020" w:rsidRDefault="005F2598" w:rsidP="00102753">
      <w:pPr>
        <w:tabs>
          <w:tab w:val="left" w:pos="0"/>
        </w:tabs>
        <w:jc w:val="both"/>
        <w:rPr>
          <w:rFonts w:eastAsia="Times New Roman" w:cs="Times New Roman"/>
          <w:szCs w:val="28"/>
          <w:lang w:eastAsia="ru-RU"/>
        </w:rPr>
      </w:pPr>
      <w:r w:rsidRPr="00242020">
        <w:rPr>
          <w:rFonts w:eastAsia="Times New Roman" w:cs="Times New Roman"/>
          <w:szCs w:val="28"/>
          <w:lang w:eastAsia="ru-RU"/>
        </w:rPr>
        <w:t xml:space="preserve">– за договорами оренди </w:t>
      </w:r>
      <w:proofErr w:type="spellStart"/>
      <w:r w:rsidRPr="00242020">
        <w:rPr>
          <w:rFonts w:eastAsia="Times New Roman" w:cs="Times New Roman"/>
          <w:szCs w:val="28"/>
          <w:lang w:eastAsia="ru-RU"/>
        </w:rPr>
        <w:t>ЄМК</w:t>
      </w:r>
      <w:proofErr w:type="spellEnd"/>
      <w:r w:rsidRPr="00242020">
        <w:rPr>
          <w:rFonts w:eastAsia="Times New Roman" w:cs="Times New Roman"/>
          <w:szCs w:val="28"/>
          <w:lang w:eastAsia="ru-RU"/>
        </w:rPr>
        <w:t xml:space="preserve"> </w:t>
      </w:r>
      <w:proofErr w:type="spellStart"/>
      <w:r w:rsidRPr="00242020">
        <w:rPr>
          <w:rFonts w:eastAsia="Times New Roman" w:cs="Times New Roman"/>
          <w:szCs w:val="28"/>
          <w:lang w:eastAsia="ru-RU"/>
        </w:rPr>
        <w:t>ДП</w:t>
      </w:r>
      <w:proofErr w:type="spellEnd"/>
      <w:r w:rsidRPr="00242020">
        <w:rPr>
          <w:rFonts w:eastAsia="Times New Roman" w:cs="Times New Roman"/>
          <w:szCs w:val="28"/>
          <w:lang w:eastAsia="ru-RU"/>
        </w:rPr>
        <w:t xml:space="preserve">, </w:t>
      </w:r>
      <w:proofErr w:type="spellStart"/>
      <w:r w:rsidRPr="00242020">
        <w:rPr>
          <w:rFonts w:eastAsia="Times New Roman" w:cs="Times New Roman"/>
          <w:szCs w:val="28"/>
          <w:lang w:eastAsia="ru-RU"/>
        </w:rPr>
        <w:t>ЄМК</w:t>
      </w:r>
      <w:proofErr w:type="spellEnd"/>
      <w:r w:rsidRPr="00242020">
        <w:rPr>
          <w:rFonts w:eastAsia="Times New Roman" w:cs="Times New Roman"/>
          <w:szCs w:val="28"/>
          <w:lang w:eastAsia="ru-RU"/>
        </w:rPr>
        <w:t xml:space="preserve"> структурних підрозділів –</w:t>
      </w:r>
      <w:r w:rsidR="00CC7727" w:rsidRPr="00242020">
        <w:rPr>
          <w:rFonts w:eastAsia="Times New Roman" w:cs="Times New Roman"/>
          <w:szCs w:val="28"/>
          <w:lang w:eastAsia="ru-RU"/>
        </w:rPr>
        <w:br/>
      </w:r>
      <w:r w:rsidRPr="00242020">
        <w:rPr>
          <w:rFonts w:eastAsia="Times New Roman" w:cs="Times New Roman"/>
          <w:szCs w:val="28"/>
          <w:lang w:eastAsia="ru-RU"/>
        </w:rPr>
        <w:t xml:space="preserve">290,427 </w:t>
      </w:r>
      <w:proofErr w:type="spellStart"/>
      <w:r w:rsidRPr="00242020">
        <w:rPr>
          <w:rFonts w:eastAsia="Times New Roman" w:cs="Times New Roman"/>
          <w:szCs w:val="28"/>
          <w:lang w:eastAsia="ru-RU"/>
        </w:rPr>
        <w:t>млн</w:t>
      </w:r>
      <w:proofErr w:type="spellEnd"/>
      <w:r w:rsidRPr="00242020">
        <w:rPr>
          <w:rFonts w:eastAsia="Times New Roman" w:cs="Times New Roman"/>
          <w:szCs w:val="28"/>
          <w:lang w:eastAsia="ru-RU"/>
        </w:rPr>
        <w:t xml:space="preserve"> </w:t>
      </w:r>
      <w:proofErr w:type="spellStart"/>
      <w:r w:rsidRPr="00242020">
        <w:rPr>
          <w:rFonts w:eastAsia="Times New Roman" w:cs="Times New Roman"/>
          <w:szCs w:val="28"/>
          <w:lang w:eastAsia="ru-RU"/>
        </w:rPr>
        <w:t>грн</w:t>
      </w:r>
      <w:proofErr w:type="spellEnd"/>
      <w:r w:rsidRPr="00242020">
        <w:rPr>
          <w:rFonts w:eastAsia="Times New Roman" w:cs="Times New Roman"/>
          <w:szCs w:val="28"/>
          <w:lang w:eastAsia="ru-RU"/>
        </w:rPr>
        <w:t xml:space="preserve"> або 28,2 % загальної суми надходжень від оренди державного майна;</w:t>
      </w:r>
    </w:p>
    <w:p w:rsidR="005F2598" w:rsidRPr="00242020" w:rsidRDefault="005F2598" w:rsidP="00102753">
      <w:pPr>
        <w:tabs>
          <w:tab w:val="left" w:pos="0"/>
        </w:tabs>
        <w:jc w:val="both"/>
        <w:rPr>
          <w:rFonts w:eastAsia="Times New Roman" w:cs="Times New Roman"/>
          <w:szCs w:val="28"/>
          <w:lang w:eastAsia="ru-RU"/>
        </w:rPr>
      </w:pPr>
      <w:r w:rsidRPr="00242020">
        <w:rPr>
          <w:rFonts w:eastAsia="Times New Roman" w:cs="Times New Roman"/>
          <w:szCs w:val="28"/>
          <w:lang w:eastAsia="ru-RU"/>
        </w:rPr>
        <w:t xml:space="preserve">– за договорами оренди майна бюджетних установ – 177,019 </w:t>
      </w:r>
      <w:proofErr w:type="spellStart"/>
      <w:r w:rsidRPr="00242020">
        <w:rPr>
          <w:rFonts w:eastAsia="Times New Roman" w:cs="Times New Roman"/>
          <w:szCs w:val="28"/>
          <w:lang w:eastAsia="ru-RU"/>
        </w:rPr>
        <w:t>млн</w:t>
      </w:r>
      <w:proofErr w:type="spellEnd"/>
      <w:r w:rsidRPr="00242020">
        <w:rPr>
          <w:rFonts w:eastAsia="Times New Roman" w:cs="Times New Roman"/>
          <w:szCs w:val="28"/>
          <w:lang w:eastAsia="ru-RU"/>
        </w:rPr>
        <w:t xml:space="preserve"> </w:t>
      </w:r>
      <w:proofErr w:type="spellStart"/>
      <w:r w:rsidRPr="00242020">
        <w:rPr>
          <w:rFonts w:eastAsia="Times New Roman" w:cs="Times New Roman"/>
          <w:szCs w:val="28"/>
          <w:lang w:eastAsia="ru-RU"/>
        </w:rPr>
        <w:t>грн</w:t>
      </w:r>
      <w:proofErr w:type="spellEnd"/>
      <w:r w:rsidRPr="00242020">
        <w:rPr>
          <w:rFonts w:eastAsia="Times New Roman" w:cs="Times New Roman"/>
          <w:szCs w:val="28"/>
          <w:lang w:eastAsia="ru-RU"/>
        </w:rPr>
        <w:t xml:space="preserve"> або 17,2 % загальної суми надходжень від оренди державного майна;</w:t>
      </w:r>
    </w:p>
    <w:p w:rsidR="005F2598" w:rsidRPr="00242020" w:rsidRDefault="005F2598" w:rsidP="00102753">
      <w:pPr>
        <w:jc w:val="both"/>
        <w:rPr>
          <w:rFonts w:eastAsia="Times New Roman" w:cs="Times New Roman"/>
          <w:szCs w:val="28"/>
          <w:lang w:eastAsia="ru-RU"/>
        </w:rPr>
      </w:pPr>
      <w:r w:rsidRPr="00242020">
        <w:rPr>
          <w:rFonts w:eastAsia="Times New Roman" w:cs="Times New Roman"/>
          <w:szCs w:val="28"/>
          <w:lang w:eastAsia="ru-RU"/>
        </w:rPr>
        <w:t xml:space="preserve">– за договорами оренди іншого державного майна – 561,112 </w:t>
      </w:r>
      <w:proofErr w:type="spellStart"/>
      <w:r w:rsidRPr="00242020">
        <w:rPr>
          <w:rFonts w:eastAsia="Times New Roman" w:cs="Times New Roman"/>
          <w:szCs w:val="28"/>
          <w:lang w:eastAsia="ru-RU"/>
        </w:rPr>
        <w:t>млн</w:t>
      </w:r>
      <w:proofErr w:type="spellEnd"/>
      <w:r w:rsidRPr="00242020">
        <w:rPr>
          <w:rFonts w:eastAsia="Times New Roman" w:cs="Times New Roman"/>
          <w:szCs w:val="28"/>
          <w:lang w:eastAsia="ru-RU"/>
        </w:rPr>
        <w:t xml:space="preserve"> </w:t>
      </w:r>
      <w:proofErr w:type="spellStart"/>
      <w:r w:rsidRPr="00242020">
        <w:rPr>
          <w:rFonts w:eastAsia="Times New Roman" w:cs="Times New Roman"/>
          <w:szCs w:val="28"/>
          <w:lang w:eastAsia="ru-RU"/>
        </w:rPr>
        <w:t>грн</w:t>
      </w:r>
      <w:proofErr w:type="spellEnd"/>
      <w:r w:rsidRPr="00242020">
        <w:rPr>
          <w:rFonts w:eastAsia="Times New Roman" w:cs="Times New Roman"/>
          <w:szCs w:val="28"/>
          <w:lang w:eastAsia="ru-RU"/>
        </w:rPr>
        <w:t xml:space="preserve"> або 54,6 % загальної суми надходжень від оренди державного майна.</w:t>
      </w:r>
    </w:p>
    <w:p w:rsidR="005F2598" w:rsidRPr="00242020" w:rsidRDefault="005F2598" w:rsidP="00102753">
      <w:pPr>
        <w:jc w:val="both"/>
        <w:rPr>
          <w:rFonts w:eastAsia="Times New Roman" w:cs="Times New Roman"/>
          <w:szCs w:val="28"/>
          <w:lang w:eastAsia="ru-RU"/>
        </w:rPr>
      </w:pPr>
      <w:r w:rsidRPr="00242020">
        <w:rPr>
          <w:rFonts w:eastAsia="Times New Roman" w:cs="Times New Roman"/>
          <w:szCs w:val="28"/>
          <w:lang w:eastAsia="ru-RU"/>
        </w:rPr>
        <w:t>Органами приватизації здійснюється систематичний контроль за виконанням орендарями умов договорів оренди і у разі їх порушення вживаються заходи щодо захисту майнових інтересів держави. Так, завдяки проведеній органами приватизації роботі за результатами здійснених у 2016 році контрольних заходів з документального (за 17 052</w:t>
      </w:r>
      <w:r w:rsidRPr="00242020">
        <w:rPr>
          <w:rFonts w:eastAsia="Times New Roman" w:cs="Times New Roman"/>
          <w:sz w:val="20"/>
          <w:szCs w:val="20"/>
          <w:lang w:eastAsia="ru-RU"/>
        </w:rPr>
        <w:t xml:space="preserve"> </w:t>
      </w:r>
      <w:r w:rsidRPr="00242020">
        <w:rPr>
          <w:rFonts w:eastAsia="Times New Roman" w:cs="Times New Roman"/>
          <w:szCs w:val="28"/>
          <w:lang w:eastAsia="ru-RU"/>
        </w:rPr>
        <w:t>договорами) та комплексного (з оглядом об’єкта оренди) (за 4 154</w:t>
      </w:r>
      <w:r w:rsidRPr="00242020">
        <w:rPr>
          <w:rFonts w:eastAsia="Times New Roman" w:cs="Times New Roman"/>
          <w:sz w:val="20"/>
          <w:szCs w:val="20"/>
          <w:lang w:eastAsia="ru-RU"/>
        </w:rPr>
        <w:t xml:space="preserve"> </w:t>
      </w:r>
      <w:r w:rsidRPr="00242020">
        <w:rPr>
          <w:rFonts w:eastAsia="Times New Roman" w:cs="Times New Roman"/>
          <w:szCs w:val="28"/>
          <w:lang w:eastAsia="ru-RU"/>
        </w:rPr>
        <w:t xml:space="preserve">договорами) контролю було виявлено заборгованість орендарів перед державним бюджетом зі сплати орендної плати в розмірі 10,0 </w:t>
      </w:r>
      <w:proofErr w:type="spellStart"/>
      <w:r w:rsidRPr="00242020">
        <w:rPr>
          <w:rFonts w:eastAsia="Times New Roman" w:cs="Times New Roman"/>
          <w:szCs w:val="28"/>
          <w:lang w:eastAsia="ru-RU"/>
        </w:rPr>
        <w:t>млн</w:t>
      </w:r>
      <w:proofErr w:type="spellEnd"/>
      <w:r w:rsidRPr="00242020">
        <w:rPr>
          <w:rFonts w:eastAsia="Times New Roman" w:cs="Times New Roman"/>
          <w:szCs w:val="28"/>
          <w:lang w:eastAsia="ru-RU"/>
        </w:rPr>
        <w:t xml:space="preserve"> </w:t>
      </w:r>
      <w:proofErr w:type="spellStart"/>
      <w:r w:rsidRPr="00242020">
        <w:rPr>
          <w:rFonts w:eastAsia="Times New Roman" w:cs="Times New Roman"/>
          <w:szCs w:val="28"/>
          <w:lang w:eastAsia="ru-RU"/>
        </w:rPr>
        <w:t>грн</w:t>
      </w:r>
      <w:proofErr w:type="spellEnd"/>
      <w:r w:rsidRPr="00242020">
        <w:rPr>
          <w:rFonts w:eastAsia="Times New Roman" w:cs="Times New Roman"/>
          <w:szCs w:val="28"/>
          <w:lang w:eastAsia="ru-RU"/>
        </w:rPr>
        <w:t xml:space="preserve"> (без урахування даних за договорами оренди державного майна, розташованого на території проведення </w:t>
      </w:r>
      <w:proofErr w:type="spellStart"/>
      <w:r w:rsidRPr="00242020">
        <w:rPr>
          <w:rFonts w:eastAsia="Times New Roman" w:cs="Times New Roman"/>
          <w:szCs w:val="28"/>
          <w:lang w:eastAsia="ru-RU"/>
        </w:rPr>
        <w:t>АТО</w:t>
      </w:r>
      <w:proofErr w:type="spellEnd"/>
      <w:r w:rsidRPr="00242020">
        <w:rPr>
          <w:rFonts w:eastAsia="Times New Roman" w:cs="Times New Roman"/>
          <w:szCs w:val="28"/>
          <w:lang w:eastAsia="ru-RU"/>
        </w:rPr>
        <w:t xml:space="preserve"> та анексованій території АР Крим та м. Севастополя).</w:t>
      </w:r>
    </w:p>
    <w:p w:rsidR="005F2598" w:rsidRPr="00242020" w:rsidRDefault="005F2598" w:rsidP="00102753">
      <w:pPr>
        <w:jc w:val="both"/>
        <w:rPr>
          <w:rFonts w:eastAsia="Times New Roman" w:cs="Times New Roman"/>
          <w:szCs w:val="28"/>
          <w:lang w:eastAsia="ru-RU"/>
        </w:rPr>
      </w:pPr>
      <w:r w:rsidRPr="00242020">
        <w:rPr>
          <w:rFonts w:eastAsia="Times New Roman" w:cs="Times New Roman"/>
          <w:szCs w:val="28"/>
          <w:lang w:eastAsia="ru-RU"/>
        </w:rPr>
        <w:t>Неврахування даних щодо оренди державного майна на території АР Крим і м. Севастополя пов’язано з тим, що з квітня 2014 року заблоковано платежі на адресу головних управлінь Державної казначейської служби в АР</w:t>
      </w:r>
      <w:r w:rsidR="006129B8">
        <w:rPr>
          <w:rFonts w:eastAsia="Times New Roman" w:cs="Times New Roman"/>
          <w:szCs w:val="28"/>
          <w:lang w:eastAsia="ru-RU"/>
        </w:rPr>
        <w:t> </w:t>
      </w:r>
      <w:r w:rsidRPr="00242020">
        <w:rPr>
          <w:rFonts w:eastAsia="Times New Roman" w:cs="Times New Roman"/>
          <w:szCs w:val="28"/>
          <w:lang w:eastAsia="ru-RU"/>
        </w:rPr>
        <w:t>Крим та м. Севастополі.</w:t>
      </w:r>
    </w:p>
    <w:p w:rsidR="005F2598" w:rsidRPr="00242020" w:rsidRDefault="005F2598" w:rsidP="00102753">
      <w:pPr>
        <w:jc w:val="both"/>
        <w:rPr>
          <w:rFonts w:eastAsia="Times New Roman" w:cs="Times New Roman"/>
          <w:szCs w:val="28"/>
          <w:lang w:eastAsia="ru-RU"/>
        </w:rPr>
      </w:pPr>
      <w:r w:rsidRPr="00242020">
        <w:rPr>
          <w:rFonts w:eastAsia="Times New Roman" w:cs="Times New Roman"/>
          <w:szCs w:val="28"/>
          <w:lang w:eastAsia="ru-RU"/>
        </w:rPr>
        <w:t>Поряд з цим, незважаючи на ситуацію, що склалася у Донецькій та Луганській областях, за договорами оренди державного майна, яке розташоване на зазначених територіях, Фондом проводиться робота з виявлення та фіксації заборгованості орендарів перед державним бюджетом.</w:t>
      </w:r>
    </w:p>
    <w:p w:rsidR="005F2598" w:rsidRPr="00242020" w:rsidRDefault="005F2598" w:rsidP="00102753">
      <w:pPr>
        <w:jc w:val="both"/>
        <w:rPr>
          <w:rFonts w:eastAsia="Times New Roman" w:cs="Times New Roman"/>
          <w:szCs w:val="28"/>
          <w:lang w:eastAsia="ru-RU"/>
        </w:rPr>
      </w:pPr>
      <w:r w:rsidRPr="00242020">
        <w:rPr>
          <w:rFonts w:eastAsia="Times New Roman" w:cs="Times New Roman"/>
          <w:szCs w:val="28"/>
          <w:lang w:eastAsia="ru-RU"/>
        </w:rPr>
        <w:t xml:space="preserve">Орендарям, які мають заборгованість перед державним бюджетом зі сплати орендної плати, органами приватизації у звітному періоді </w:t>
      </w:r>
      <w:proofErr w:type="spellStart"/>
      <w:r w:rsidRPr="00242020">
        <w:rPr>
          <w:rFonts w:eastAsia="Times New Roman" w:cs="Times New Roman"/>
          <w:szCs w:val="28"/>
          <w:lang w:eastAsia="ru-RU"/>
        </w:rPr>
        <w:t>нараховано</w:t>
      </w:r>
      <w:proofErr w:type="spellEnd"/>
      <w:r w:rsidRPr="00242020">
        <w:rPr>
          <w:rFonts w:eastAsia="Times New Roman" w:cs="Times New Roman"/>
          <w:szCs w:val="28"/>
          <w:lang w:eastAsia="ru-RU"/>
        </w:rPr>
        <w:t xml:space="preserve"> 21,2 </w:t>
      </w:r>
      <w:proofErr w:type="spellStart"/>
      <w:r w:rsidRPr="00242020">
        <w:rPr>
          <w:rFonts w:eastAsia="Times New Roman" w:cs="Times New Roman"/>
          <w:szCs w:val="28"/>
          <w:lang w:eastAsia="ru-RU"/>
        </w:rPr>
        <w:t>млн</w:t>
      </w:r>
      <w:proofErr w:type="spellEnd"/>
      <w:r w:rsidRPr="00242020">
        <w:rPr>
          <w:rFonts w:eastAsia="Times New Roman" w:cs="Times New Roman"/>
          <w:szCs w:val="28"/>
          <w:lang w:eastAsia="ru-RU"/>
        </w:rPr>
        <w:t xml:space="preserve"> </w:t>
      </w:r>
      <w:proofErr w:type="spellStart"/>
      <w:r w:rsidRPr="00242020">
        <w:rPr>
          <w:rFonts w:eastAsia="Times New Roman" w:cs="Times New Roman"/>
          <w:szCs w:val="28"/>
          <w:lang w:eastAsia="ru-RU"/>
        </w:rPr>
        <w:t>грн</w:t>
      </w:r>
      <w:proofErr w:type="spellEnd"/>
      <w:r w:rsidRPr="00242020">
        <w:rPr>
          <w:rFonts w:eastAsia="Times New Roman" w:cs="Times New Roman"/>
          <w:szCs w:val="28"/>
          <w:lang w:eastAsia="ru-RU"/>
        </w:rPr>
        <w:t xml:space="preserve"> пені, відповідно до умов договорів оренди – штрафів на суму</w:t>
      </w:r>
      <w:r w:rsidR="00CC7727" w:rsidRPr="00242020">
        <w:rPr>
          <w:rFonts w:eastAsia="Times New Roman" w:cs="Times New Roman"/>
          <w:szCs w:val="28"/>
          <w:lang w:eastAsia="ru-RU"/>
        </w:rPr>
        <w:br/>
      </w:r>
      <w:r w:rsidRPr="00242020">
        <w:rPr>
          <w:rFonts w:eastAsia="Times New Roman" w:cs="Times New Roman"/>
          <w:szCs w:val="28"/>
          <w:lang w:eastAsia="ru-RU"/>
        </w:rPr>
        <w:t xml:space="preserve">2,5 </w:t>
      </w:r>
      <w:proofErr w:type="spellStart"/>
      <w:r w:rsidRPr="00242020">
        <w:rPr>
          <w:rFonts w:eastAsia="Times New Roman" w:cs="Times New Roman"/>
          <w:szCs w:val="28"/>
          <w:lang w:eastAsia="ru-RU"/>
        </w:rPr>
        <w:t>млн</w:t>
      </w:r>
      <w:proofErr w:type="spellEnd"/>
      <w:r w:rsidRPr="00242020">
        <w:rPr>
          <w:rFonts w:eastAsia="Times New Roman" w:cs="Times New Roman"/>
          <w:szCs w:val="28"/>
          <w:lang w:eastAsia="ru-RU"/>
        </w:rPr>
        <w:t xml:space="preserve"> </w:t>
      </w:r>
      <w:proofErr w:type="spellStart"/>
      <w:r w:rsidRPr="00242020">
        <w:rPr>
          <w:rFonts w:eastAsia="Times New Roman" w:cs="Times New Roman"/>
          <w:szCs w:val="28"/>
          <w:lang w:eastAsia="ru-RU"/>
        </w:rPr>
        <w:t>грн</w:t>
      </w:r>
      <w:proofErr w:type="spellEnd"/>
      <w:r w:rsidRPr="00242020">
        <w:rPr>
          <w:rFonts w:eastAsia="Times New Roman" w:cs="Times New Roman"/>
          <w:szCs w:val="28"/>
          <w:lang w:eastAsia="ru-RU"/>
        </w:rPr>
        <w:t xml:space="preserve">, а також у зв’язку із несвоєчасним поверненням орендарями майна після закінчення терміну дії договорів оренди – 25,0 </w:t>
      </w:r>
      <w:proofErr w:type="spellStart"/>
      <w:r w:rsidRPr="00242020">
        <w:rPr>
          <w:rFonts w:eastAsia="Times New Roman" w:cs="Times New Roman"/>
          <w:szCs w:val="28"/>
          <w:lang w:eastAsia="ru-RU"/>
        </w:rPr>
        <w:t>млн</w:t>
      </w:r>
      <w:proofErr w:type="spellEnd"/>
      <w:r w:rsidRPr="00242020">
        <w:rPr>
          <w:rFonts w:eastAsia="Times New Roman" w:cs="Times New Roman"/>
          <w:szCs w:val="28"/>
          <w:lang w:eastAsia="ru-RU"/>
        </w:rPr>
        <w:t xml:space="preserve"> </w:t>
      </w:r>
      <w:proofErr w:type="spellStart"/>
      <w:r w:rsidRPr="00242020">
        <w:rPr>
          <w:rFonts w:eastAsia="Times New Roman" w:cs="Times New Roman"/>
          <w:szCs w:val="28"/>
          <w:lang w:eastAsia="ru-RU"/>
        </w:rPr>
        <w:t>грн</w:t>
      </w:r>
      <w:proofErr w:type="spellEnd"/>
      <w:r w:rsidRPr="00242020">
        <w:rPr>
          <w:rFonts w:eastAsia="Times New Roman" w:cs="Times New Roman"/>
          <w:szCs w:val="28"/>
          <w:lang w:eastAsia="ru-RU"/>
        </w:rPr>
        <w:t xml:space="preserve"> неустойки.</w:t>
      </w:r>
    </w:p>
    <w:p w:rsidR="005F2598" w:rsidRPr="00242020" w:rsidRDefault="005F2598" w:rsidP="00102753">
      <w:pPr>
        <w:jc w:val="both"/>
        <w:rPr>
          <w:rFonts w:eastAsia="Times New Roman" w:cs="Times New Roman"/>
          <w:szCs w:val="28"/>
          <w:lang w:eastAsia="ru-RU"/>
        </w:rPr>
      </w:pPr>
      <w:r w:rsidRPr="00242020">
        <w:rPr>
          <w:rFonts w:eastAsia="Times New Roman" w:cs="Times New Roman"/>
          <w:szCs w:val="28"/>
          <w:lang w:eastAsia="ru-RU"/>
        </w:rPr>
        <w:t xml:space="preserve">Завдяки проведеній органами приватизації роботі у звітному періоді орендарями сплачено близько 3,4 </w:t>
      </w:r>
      <w:proofErr w:type="spellStart"/>
      <w:r w:rsidRPr="00242020">
        <w:rPr>
          <w:rFonts w:eastAsia="Times New Roman" w:cs="Times New Roman"/>
          <w:szCs w:val="28"/>
          <w:lang w:eastAsia="ru-RU"/>
        </w:rPr>
        <w:t>млн</w:t>
      </w:r>
      <w:proofErr w:type="spellEnd"/>
      <w:r w:rsidRPr="00242020">
        <w:rPr>
          <w:rFonts w:eastAsia="Times New Roman" w:cs="Times New Roman"/>
          <w:szCs w:val="28"/>
          <w:lang w:eastAsia="ru-RU"/>
        </w:rPr>
        <w:t xml:space="preserve"> </w:t>
      </w:r>
      <w:proofErr w:type="spellStart"/>
      <w:r w:rsidRPr="00242020">
        <w:rPr>
          <w:rFonts w:eastAsia="Times New Roman" w:cs="Times New Roman"/>
          <w:szCs w:val="28"/>
          <w:lang w:eastAsia="ru-RU"/>
        </w:rPr>
        <w:t>грн</w:t>
      </w:r>
      <w:proofErr w:type="spellEnd"/>
      <w:r w:rsidRPr="00242020">
        <w:rPr>
          <w:rFonts w:eastAsia="Times New Roman" w:cs="Times New Roman"/>
          <w:szCs w:val="28"/>
          <w:lang w:eastAsia="ru-RU"/>
        </w:rPr>
        <w:t xml:space="preserve"> пені, 1,1 </w:t>
      </w:r>
      <w:proofErr w:type="spellStart"/>
      <w:r w:rsidRPr="00242020">
        <w:rPr>
          <w:rFonts w:eastAsia="Times New Roman" w:cs="Times New Roman"/>
          <w:szCs w:val="28"/>
          <w:lang w:eastAsia="ru-RU"/>
        </w:rPr>
        <w:t>млн</w:t>
      </w:r>
      <w:proofErr w:type="spellEnd"/>
      <w:r w:rsidRPr="00242020">
        <w:rPr>
          <w:rFonts w:eastAsia="Times New Roman" w:cs="Times New Roman"/>
          <w:szCs w:val="28"/>
          <w:lang w:eastAsia="ru-RU"/>
        </w:rPr>
        <w:t xml:space="preserve"> </w:t>
      </w:r>
      <w:proofErr w:type="spellStart"/>
      <w:r w:rsidRPr="00242020">
        <w:rPr>
          <w:rFonts w:eastAsia="Times New Roman" w:cs="Times New Roman"/>
          <w:szCs w:val="28"/>
          <w:lang w:eastAsia="ru-RU"/>
        </w:rPr>
        <w:t>грн</w:t>
      </w:r>
      <w:proofErr w:type="spellEnd"/>
      <w:r w:rsidRPr="00242020">
        <w:rPr>
          <w:rFonts w:eastAsia="Times New Roman" w:cs="Times New Roman"/>
          <w:szCs w:val="28"/>
          <w:lang w:eastAsia="ru-RU"/>
        </w:rPr>
        <w:t xml:space="preserve"> штрафів та</w:t>
      </w:r>
      <w:r w:rsidRPr="00242020">
        <w:rPr>
          <w:rFonts w:eastAsia="Times New Roman" w:cs="Times New Roman"/>
          <w:szCs w:val="28"/>
          <w:lang w:eastAsia="ru-RU"/>
        </w:rPr>
        <w:br/>
        <w:t xml:space="preserve">1,9 </w:t>
      </w:r>
      <w:proofErr w:type="spellStart"/>
      <w:r w:rsidRPr="00242020">
        <w:rPr>
          <w:rFonts w:eastAsia="Times New Roman" w:cs="Times New Roman"/>
          <w:szCs w:val="28"/>
          <w:lang w:eastAsia="ru-RU"/>
        </w:rPr>
        <w:t>млн</w:t>
      </w:r>
      <w:proofErr w:type="spellEnd"/>
      <w:r w:rsidRPr="00242020">
        <w:rPr>
          <w:rFonts w:eastAsia="Times New Roman" w:cs="Times New Roman"/>
          <w:szCs w:val="28"/>
          <w:lang w:eastAsia="ru-RU"/>
        </w:rPr>
        <w:t xml:space="preserve"> </w:t>
      </w:r>
      <w:proofErr w:type="spellStart"/>
      <w:r w:rsidRPr="00242020">
        <w:rPr>
          <w:rFonts w:eastAsia="Times New Roman" w:cs="Times New Roman"/>
          <w:szCs w:val="28"/>
          <w:lang w:eastAsia="ru-RU"/>
        </w:rPr>
        <w:t>грн</w:t>
      </w:r>
      <w:proofErr w:type="spellEnd"/>
      <w:r w:rsidRPr="00242020">
        <w:rPr>
          <w:rFonts w:eastAsia="Times New Roman" w:cs="Times New Roman"/>
          <w:szCs w:val="28"/>
          <w:lang w:eastAsia="ru-RU"/>
        </w:rPr>
        <w:t xml:space="preserve"> неустойки, а також погашено заборгованість з орендної плати у сумі 23,0 </w:t>
      </w:r>
      <w:proofErr w:type="spellStart"/>
      <w:r w:rsidRPr="00242020">
        <w:rPr>
          <w:rFonts w:eastAsia="Times New Roman" w:cs="Times New Roman"/>
          <w:szCs w:val="28"/>
          <w:lang w:eastAsia="ru-RU"/>
        </w:rPr>
        <w:t>млн</w:t>
      </w:r>
      <w:proofErr w:type="spellEnd"/>
      <w:r w:rsidRPr="00242020">
        <w:rPr>
          <w:rFonts w:eastAsia="Times New Roman" w:cs="Times New Roman"/>
          <w:szCs w:val="28"/>
          <w:lang w:eastAsia="ru-RU"/>
        </w:rPr>
        <w:t xml:space="preserve"> грн. Стягнення решти нарахованих штрафних санкцій здійснюється відповідно до вимог чинного законодавства.</w:t>
      </w:r>
    </w:p>
    <w:p w:rsidR="005F2598" w:rsidRPr="00242020" w:rsidRDefault="005F2598" w:rsidP="00102753">
      <w:pPr>
        <w:jc w:val="both"/>
        <w:rPr>
          <w:rFonts w:eastAsia="Times New Roman" w:cs="Times New Roman"/>
          <w:szCs w:val="28"/>
          <w:lang w:eastAsia="ru-RU"/>
        </w:rPr>
      </w:pPr>
      <w:r w:rsidRPr="00242020">
        <w:rPr>
          <w:rFonts w:eastAsia="Times New Roman" w:cs="Times New Roman"/>
          <w:szCs w:val="28"/>
          <w:lang w:eastAsia="ru-RU"/>
        </w:rPr>
        <w:t>Протягом 2016 року Фондом здійснювалася робота щодо забезпечення захисту майнових прав держави стосовно об’єктів оренди, що розташовані на тимчасово окупованій території АР</w:t>
      </w:r>
      <w:r w:rsidR="006129B8">
        <w:rPr>
          <w:rFonts w:eastAsia="Times New Roman" w:cs="Times New Roman"/>
          <w:szCs w:val="28"/>
          <w:lang w:eastAsia="ru-RU"/>
        </w:rPr>
        <w:t> </w:t>
      </w:r>
      <w:r w:rsidRPr="00242020">
        <w:rPr>
          <w:rFonts w:eastAsia="Times New Roman" w:cs="Times New Roman"/>
          <w:szCs w:val="28"/>
          <w:lang w:eastAsia="ru-RU"/>
        </w:rPr>
        <w:t>Крим та м.</w:t>
      </w:r>
      <w:r w:rsidR="006129B8">
        <w:rPr>
          <w:rFonts w:eastAsia="Times New Roman" w:cs="Times New Roman"/>
          <w:szCs w:val="28"/>
          <w:lang w:eastAsia="ru-RU"/>
        </w:rPr>
        <w:t> </w:t>
      </w:r>
      <w:r w:rsidRPr="00242020">
        <w:rPr>
          <w:rFonts w:eastAsia="Times New Roman" w:cs="Times New Roman"/>
          <w:szCs w:val="28"/>
          <w:lang w:eastAsia="ru-RU"/>
        </w:rPr>
        <w:t xml:space="preserve">Севастополя, а також на </w:t>
      </w:r>
      <w:r w:rsidRPr="00242020">
        <w:rPr>
          <w:rFonts w:eastAsia="Times New Roman" w:cs="Times New Roman"/>
          <w:szCs w:val="28"/>
          <w:lang w:eastAsia="ru-RU"/>
        </w:rPr>
        <w:lastRenderedPageBreak/>
        <w:t xml:space="preserve">територіях Донецької та Луганської областей. </w:t>
      </w:r>
    </w:p>
    <w:p w:rsidR="005F2598" w:rsidRPr="00242020" w:rsidRDefault="005F2598" w:rsidP="00102753">
      <w:pPr>
        <w:jc w:val="both"/>
        <w:rPr>
          <w:rFonts w:eastAsia="Times New Roman" w:cs="Times New Roman"/>
          <w:szCs w:val="28"/>
          <w:lang w:eastAsia="ru-RU"/>
        </w:rPr>
      </w:pPr>
      <w:r w:rsidRPr="00242020">
        <w:rPr>
          <w:rFonts w:eastAsia="Times New Roman" w:cs="Times New Roman"/>
          <w:szCs w:val="28"/>
          <w:lang w:eastAsia="ru-RU"/>
        </w:rPr>
        <w:t xml:space="preserve">Так, органами приватизації в процесі здійснення заходів з контролю за договорами оренди на зазначених територіях було зафіксовано суми недоотриманої у 2016 році орендної плати в розмірі: </w:t>
      </w:r>
    </w:p>
    <w:p w:rsidR="005F2598" w:rsidRPr="00242020" w:rsidRDefault="005F2598" w:rsidP="00102753">
      <w:pPr>
        <w:widowControl/>
        <w:numPr>
          <w:ilvl w:val="0"/>
          <w:numId w:val="30"/>
        </w:numPr>
        <w:contextualSpacing/>
        <w:jc w:val="both"/>
        <w:rPr>
          <w:rFonts w:eastAsia="Times New Roman" w:cs="Times New Roman"/>
          <w:szCs w:val="28"/>
          <w:lang w:eastAsia="ru-RU"/>
        </w:rPr>
      </w:pPr>
      <w:r w:rsidRPr="00242020">
        <w:rPr>
          <w:rFonts w:eastAsia="Times New Roman" w:cs="Times New Roman"/>
          <w:szCs w:val="28"/>
          <w:lang w:eastAsia="ru-RU"/>
        </w:rPr>
        <w:t xml:space="preserve">92,4 </w:t>
      </w:r>
      <w:proofErr w:type="spellStart"/>
      <w:r w:rsidRPr="00242020">
        <w:rPr>
          <w:rFonts w:eastAsia="Times New Roman" w:cs="Times New Roman"/>
          <w:szCs w:val="28"/>
          <w:lang w:eastAsia="ru-RU"/>
        </w:rPr>
        <w:t>млн</w:t>
      </w:r>
      <w:proofErr w:type="spellEnd"/>
      <w:r w:rsidRPr="00242020">
        <w:rPr>
          <w:rFonts w:eastAsia="Times New Roman" w:cs="Times New Roman"/>
          <w:szCs w:val="28"/>
          <w:lang w:eastAsia="ru-RU"/>
        </w:rPr>
        <w:t xml:space="preserve"> </w:t>
      </w:r>
      <w:proofErr w:type="spellStart"/>
      <w:r w:rsidRPr="00242020">
        <w:rPr>
          <w:rFonts w:eastAsia="Times New Roman" w:cs="Times New Roman"/>
          <w:szCs w:val="28"/>
          <w:lang w:eastAsia="ru-RU"/>
        </w:rPr>
        <w:t>грн</w:t>
      </w:r>
      <w:proofErr w:type="spellEnd"/>
      <w:r w:rsidRPr="00242020">
        <w:rPr>
          <w:rFonts w:eastAsia="Times New Roman" w:cs="Times New Roman"/>
          <w:szCs w:val="28"/>
          <w:lang w:eastAsia="ru-RU"/>
        </w:rPr>
        <w:t xml:space="preserve"> – за договорами оренди державного майна, яке розташоване на тимчасово окупованій території АР Крим та м. Севастополя, виникнення якої пов’язане з її незаконною анексією; </w:t>
      </w:r>
    </w:p>
    <w:p w:rsidR="005F2598" w:rsidRPr="00242020" w:rsidRDefault="005F2598" w:rsidP="00102753">
      <w:pPr>
        <w:widowControl/>
        <w:numPr>
          <w:ilvl w:val="0"/>
          <w:numId w:val="30"/>
        </w:numPr>
        <w:contextualSpacing/>
        <w:jc w:val="both"/>
        <w:rPr>
          <w:rFonts w:eastAsia="Times New Roman" w:cs="Times New Roman"/>
          <w:szCs w:val="28"/>
          <w:lang w:eastAsia="ru-RU"/>
        </w:rPr>
      </w:pPr>
      <w:r w:rsidRPr="00242020">
        <w:rPr>
          <w:rFonts w:eastAsia="Times New Roman" w:cs="Times New Roman"/>
          <w:szCs w:val="28"/>
          <w:lang w:eastAsia="ru-RU"/>
        </w:rPr>
        <w:t xml:space="preserve">102,35 </w:t>
      </w:r>
      <w:proofErr w:type="spellStart"/>
      <w:r w:rsidRPr="00242020">
        <w:rPr>
          <w:rFonts w:eastAsia="Times New Roman" w:cs="Times New Roman"/>
          <w:szCs w:val="28"/>
          <w:lang w:eastAsia="ru-RU"/>
        </w:rPr>
        <w:t>млн</w:t>
      </w:r>
      <w:proofErr w:type="spellEnd"/>
      <w:r w:rsidRPr="00242020">
        <w:rPr>
          <w:rFonts w:eastAsia="Times New Roman" w:cs="Times New Roman"/>
          <w:szCs w:val="28"/>
          <w:lang w:eastAsia="ru-RU"/>
        </w:rPr>
        <w:t xml:space="preserve"> </w:t>
      </w:r>
      <w:proofErr w:type="spellStart"/>
      <w:r w:rsidRPr="00242020">
        <w:rPr>
          <w:rFonts w:eastAsia="Times New Roman" w:cs="Times New Roman"/>
          <w:szCs w:val="28"/>
          <w:lang w:eastAsia="ru-RU"/>
        </w:rPr>
        <w:t>грн</w:t>
      </w:r>
      <w:proofErr w:type="spellEnd"/>
      <w:r w:rsidRPr="00242020">
        <w:rPr>
          <w:rFonts w:eastAsia="Times New Roman" w:cs="Times New Roman"/>
          <w:szCs w:val="28"/>
          <w:lang w:eastAsia="ru-RU"/>
        </w:rPr>
        <w:t xml:space="preserve"> – за договорами оренди державного майна, яке розташоване на території Донецької та Луганської областей, що пов’язане з проведенням бойових дій на вказаних територіях.</w:t>
      </w:r>
    </w:p>
    <w:p w:rsidR="005F2598" w:rsidRPr="00242020" w:rsidRDefault="005F2598" w:rsidP="00102753">
      <w:pPr>
        <w:jc w:val="both"/>
        <w:rPr>
          <w:rFonts w:eastAsia="Times New Roman" w:cs="Times New Roman"/>
          <w:szCs w:val="20"/>
          <w:lang w:eastAsia="ru-RU"/>
        </w:rPr>
      </w:pPr>
      <w:r w:rsidRPr="00242020">
        <w:rPr>
          <w:rFonts w:eastAsia="Times New Roman" w:cs="Times New Roman"/>
          <w:szCs w:val="28"/>
          <w:lang w:eastAsia="ru-RU"/>
        </w:rPr>
        <w:t xml:space="preserve">З метою забезпечення розвитку і підвищення ефективності оренди державного майна Фондом у межах повноважень систематично здійснюється надання методичної допомоги і консультацій органам державного і місцевого управління тощо, зокрема </w:t>
      </w:r>
      <w:r w:rsidRPr="00242020">
        <w:rPr>
          <w:rFonts w:eastAsia="Times New Roman" w:cs="Times New Roman"/>
          <w:szCs w:val="20"/>
          <w:lang w:eastAsia="ru-RU"/>
        </w:rPr>
        <w:t xml:space="preserve">у разі прийняття нових законодавчих та підзаконних актів, нормативно-правових актів Фонду з питань оренди. </w:t>
      </w:r>
    </w:p>
    <w:p w:rsidR="005F2598" w:rsidRPr="00242020" w:rsidRDefault="005F2598" w:rsidP="00102753">
      <w:pPr>
        <w:jc w:val="both"/>
        <w:rPr>
          <w:rFonts w:eastAsia="Times New Roman" w:cs="Times New Roman"/>
          <w:szCs w:val="28"/>
          <w:lang w:eastAsia="ru-RU"/>
        </w:rPr>
      </w:pPr>
      <w:r w:rsidRPr="00242020">
        <w:rPr>
          <w:rFonts w:eastAsia="Times New Roman" w:cs="Times New Roman"/>
          <w:szCs w:val="28"/>
          <w:lang w:eastAsia="ru-RU"/>
        </w:rPr>
        <w:t xml:space="preserve">У звітному періоді після набрання чинності Законом України «Про Державний бюджет України на 2016 рік» з метою координації дій орендодавців державного майна і застосування єдиних підходів, з урахуванням доручення Кабінету Міністрів України від 23.02.2016 № 2885/0/2-16 Фонд забезпечив надання відповідних роз’яснень щодо застосування положень зазначеного закону стосовно зупинення на 2016 рік дії норми статті 10 Закону України «Про оренду державного та комунального майна» в частині індексації орендної плати (листами та через оприлюднення на офіційному </w:t>
      </w:r>
      <w:proofErr w:type="spellStart"/>
      <w:r w:rsidRPr="00242020">
        <w:rPr>
          <w:rFonts w:eastAsia="Times New Roman" w:cs="Times New Roman"/>
          <w:szCs w:val="28"/>
          <w:lang w:eastAsia="ru-RU"/>
        </w:rPr>
        <w:t>веб-сайті</w:t>
      </w:r>
      <w:proofErr w:type="spellEnd"/>
      <w:r w:rsidRPr="00242020">
        <w:rPr>
          <w:rFonts w:eastAsia="Times New Roman" w:cs="Times New Roman"/>
          <w:szCs w:val="28"/>
          <w:lang w:eastAsia="ru-RU"/>
        </w:rPr>
        <w:t xml:space="preserve"> Фонду).</w:t>
      </w:r>
    </w:p>
    <w:p w:rsidR="005F2598" w:rsidRPr="00242020" w:rsidRDefault="005F2598" w:rsidP="00102753">
      <w:pPr>
        <w:jc w:val="both"/>
        <w:rPr>
          <w:rFonts w:eastAsia="Times New Roman" w:cs="Times New Roman"/>
          <w:szCs w:val="20"/>
          <w:lang w:eastAsia="ru-RU"/>
        </w:rPr>
      </w:pPr>
      <w:r w:rsidRPr="00242020">
        <w:rPr>
          <w:rFonts w:eastAsia="Times New Roman" w:cs="Times New Roman"/>
          <w:szCs w:val="20"/>
          <w:lang w:eastAsia="ru-RU"/>
        </w:rPr>
        <w:t xml:space="preserve">Крім того, листами постійно надаються роз’яснення за запитами та зверненнями центральних та місцевих органів влади, народних депутатів України, громадських організацій, орендарів державного та комунального майна з питань оренди, відповідна інформація публікується на офіційному </w:t>
      </w:r>
      <w:proofErr w:type="spellStart"/>
      <w:r w:rsidRPr="00242020">
        <w:rPr>
          <w:rFonts w:eastAsia="Times New Roman" w:cs="Times New Roman"/>
          <w:szCs w:val="20"/>
          <w:lang w:eastAsia="ru-RU"/>
        </w:rPr>
        <w:t>веб-сайті</w:t>
      </w:r>
      <w:proofErr w:type="spellEnd"/>
      <w:r w:rsidRPr="00242020">
        <w:rPr>
          <w:rFonts w:eastAsia="Times New Roman" w:cs="Times New Roman"/>
          <w:szCs w:val="20"/>
          <w:lang w:eastAsia="ru-RU"/>
        </w:rPr>
        <w:t xml:space="preserve"> Фонду тощо. </w:t>
      </w:r>
    </w:p>
    <w:p w:rsidR="005F2598" w:rsidRPr="00242020" w:rsidRDefault="005F2598" w:rsidP="00102753">
      <w:pPr>
        <w:jc w:val="both"/>
        <w:rPr>
          <w:rFonts w:eastAsia="Times New Roman" w:cs="Times New Roman"/>
          <w:szCs w:val="28"/>
          <w:lang w:eastAsia="ru-RU"/>
        </w:rPr>
      </w:pPr>
      <w:r w:rsidRPr="00242020">
        <w:rPr>
          <w:rFonts w:eastAsia="Times New Roman" w:cs="Times New Roman"/>
          <w:szCs w:val="28"/>
          <w:lang w:eastAsia="ru-RU"/>
        </w:rPr>
        <w:t>З метою реалізації сучасних підходів у сфері оренди, які полягають у скороченні строків та відкритості процедури передачі майна в оренду, Фондом здійснювалася системна робота з удосконалення нормативно-правового регулювання у сфері орендних відносин.</w:t>
      </w:r>
    </w:p>
    <w:p w:rsidR="005F2598" w:rsidRPr="00242020" w:rsidRDefault="005F2598" w:rsidP="00102753">
      <w:pPr>
        <w:jc w:val="both"/>
        <w:rPr>
          <w:rFonts w:eastAsia="Times New Roman" w:cs="Times New Roman"/>
          <w:szCs w:val="20"/>
          <w:lang w:eastAsia="ru-RU"/>
        </w:rPr>
      </w:pPr>
      <w:r w:rsidRPr="00242020">
        <w:rPr>
          <w:rFonts w:eastAsia="Times New Roman" w:cs="Times New Roman"/>
          <w:szCs w:val="20"/>
          <w:lang w:eastAsia="ru-RU"/>
        </w:rPr>
        <w:t>Так, з огляду на сучасні тенденції, які спостерігаються на ринку оренди державної та комунальної нерухомості, з метою підвищення ефективності орендних відносин, забезпечення конкурентоспроможності державного та комунального майна та стабілізації економічних процесів розроблено проект Закону України «Про оренду державного та комунального майна» (у новій редакції).</w:t>
      </w:r>
    </w:p>
    <w:p w:rsidR="005F2598" w:rsidRPr="00242020" w:rsidRDefault="005F2598" w:rsidP="00102753">
      <w:pPr>
        <w:jc w:val="both"/>
        <w:rPr>
          <w:rFonts w:eastAsia="Times New Roman" w:cs="Times New Roman"/>
          <w:szCs w:val="28"/>
          <w:lang w:eastAsia="ru-RU"/>
        </w:rPr>
      </w:pPr>
      <w:r w:rsidRPr="00242020">
        <w:rPr>
          <w:rFonts w:eastAsia="Times New Roman" w:cs="Times New Roman"/>
          <w:szCs w:val="28"/>
          <w:lang w:eastAsia="ru-RU"/>
        </w:rPr>
        <w:t xml:space="preserve">З метою нормативно-правового, методологічного та організаційного забезпечення орендних відносин у 2016 році розроблено та Кабінетом Міністрів України прийнято: </w:t>
      </w:r>
    </w:p>
    <w:p w:rsidR="005F2598" w:rsidRPr="00242020" w:rsidRDefault="005F2598" w:rsidP="00102753">
      <w:pPr>
        <w:jc w:val="both"/>
        <w:rPr>
          <w:rFonts w:eastAsia="Times New Roman" w:cs="Times New Roman"/>
          <w:szCs w:val="20"/>
          <w:lang w:eastAsia="ru-RU"/>
        </w:rPr>
      </w:pPr>
      <w:r w:rsidRPr="00242020">
        <w:rPr>
          <w:rFonts w:eastAsia="Times New Roman" w:cs="Times New Roman"/>
          <w:szCs w:val="20"/>
          <w:lang w:eastAsia="ru-RU"/>
        </w:rPr>
        <w:t>– постанову від 08 серпня 2016 року № 516 «Про внесення змін у додаток 2 до Методики розрахунку орендної плати за державне майно та пропорції її розподілу»;</w:t>
      </w:r>
    </w:p>
    <w:p w:rsidR="005F2598" w:rsidRPr="00242020" w:rsidRDefault="005F2598" w:rsidP="00102753">
      <w:pPr>
        <w:jc w:val="both"/>
        <w:rPr>
          <w:rFonts w:eastAsia="Times New Roman" w:cs="Times New Roman"/>
          <w:szCs w:val="20"/>
          <w:lang w:eastAsia="ru-RU"/>
        </w:rPr>
      </w:pPr>
      <w:r w:rsidRPr="00242020">
        <w:rPr>
          <w:rFonts w:eastAsia="Times New Roman" w:cs="Times New Roman"/>
          <w:szCs w:val="20"/>
          <w:lang w:eastAsia="ru-RU"/>
        </w:rPr>
        <w:t xml:space="preserve">– постанову від 19 жовтня 2016 року № 732 «Про внесення змін у додаток </w:t>
      </w:r>
      <w:r w:rsidRPr="00242020">
        <w:rPr>
          <w:rFonts w:eastAsia="Times New Roman" w:cs="Times New Roman"/>
          <w:szCs w:val="20"/>
          <w:lang w:eastAsia="ru-RU"/>
        </w:rPr>
        <w:lastRenderedPageBreak/>
        <w:t xml:space="preserve">2 до Методики розрахунку орендної плати за державне майно та пропорції її розподілу»; </w:t>
      </w:r>
    </w:p>
    <w:p w:rsidR="005F2598" w:rsidRPr="00242020" w:rsidRDefault="005F2598" w:rsidP="00102753">
      <w:pPr>
        <w:jc w:val="both"/>
        <w:rPr>
          <w:rFonts w:eastAsia="Times New Roman" w:cs="Times New Roman"/>
          <w:szCs w:val="20"/>
          <w:lang w:eastAsia="ru-RU"/>
        </w:rPr>
      </w:pPr>
      <w:r w:rsidRPr="00242020">
        <w:rPr>
          <w:rFonts w:eastAsia="Times New Roman" w:cs="Times New Roman"/>
          <w:szCs w:val="20"/>
          <w:lang w:eastAsia="ru-RU"/>
        </w:rPr>
        <w:t xml:space="preserve">– постанову від 02 листопада 2016 року № 783 «Деякі питання управління державним майном»; </w:t>
      </w:r>
    </w:p>
    <w:p w:rsidR="005F2598" w:rsidRPr="00242020" w:rsidRDefault="005F2598" w:rsidP="00102753">
      <w:pPr>
        <w:jc w:val="both"/>
        <w:rPr>
          <w:rFonts w:eastAsia="Times New Roman" w:cs="Times New Roman"/>
          <w:szCs w:val="20"/>
          <w:lang w:eastAsia="ru-RU"/>
        </w:rPr>
      </w:pPr>
      <w:r w:rsidRPr="00242020">
        <w:rPr>
          <w:rFonts w:eastAsia="Times New Roman" w:cs="Times New Roman"/>
          <w:szCs w:val="20"/>
          <w:lang w:eastAsia="ru-RU"/>
        </w:rPr>
        <w:t>– постанову від 07 грудня 2016 року № 923 «Про внесення змін до Порядку проведення конкурсу на право оренди державного майна»;</w:t>
      </w:r>
    </w:p>
    <w:p w:rsidR="005F2598" w:rsidRPr="00242020" w:rsidRDefault="005F2598" w:rsidP="00102753">
      <w:pPr>
        <w:jc w:val="both"/>
        <w:rPr>
          <w:rFonts w:eastAsia="Times New Roman" w:cs="Times New Roman"/>
          <w:szCs w:val="20"/>
          <w:lang w:eastAsia="ru-RU"/>
        </w:rPr>
      </w:pPr>
      <w:r w:rsidRPr="00242020">
        <w:rPr>
          <w:rFonts w:eastAsia="Times New Roman" w:cs="Times New Roman"/>
          <w:szCs w:val="20"/>
          <w:lang w:eastAsia="ru-RU"/>
        </w:rPr>
        <w:t>– розпорядження від 26 жовтня 2016 року № 786-р «Про віднесення туристичної базі «</w:t>
      </w:r>
      <w:proofErr w:type="spellStart"/>
      <w:r w:rsidRPr="00242020">
        <w:rPr>
          <w:rFonts w:eastAsia="Times New Roman" w:cs="Times New Roman"/>
          <w:szCs w:val="20"/>
          <w:lang w:eastAsia="ru-RU"/>
        </w:rPr>
        <w:t>Чорномор</w:t>
      </w:r>
      <w:proofErr w:type="spellEnd"/>
      <w:r w:rsidRPr="00242020">
        <w:rPr>
          <w:rFonts w:eastAsia="Times New Roman" w:cs="Times New Roman"/>
          <w:szCs w:val="20"/>
          <w:lang w:eastAsia="ru-RU"/>
        </w:rPr>
        <w:t>» до сфери управління Фонду державного майна»;</w:t>
      </w:r>
    </w:p>
    <w:p w:rsidR="005F2598" w:rsidRPr="00242020" w:rsidRDefault="005F2598" w:rsidP="00102753">
      <w:pPr>
        <w:jc w:val="both"/>
        <w:rPr>
          <w:rFonts w:eastAsia="Times New Roman" w:cs="Times New Roman"/>
          <w:szCs w:val="20"/>
          <w:lang w:eastAsia="ru-RU"/>
        </w:rPr>
      </w:pPr>
      <w:r w:rsidRPr="00242020">
        <w:rPr>
          <w:rFonts w:eastAsia="Times New Roman" w:cs="Times New Roman"/>
          <w:szCs w:val="20"/>
          <w:lang w:eastAsia="ru-RU"/>
        </w:rPr>
        <w:t xml:space="preserve">– розпорядження від 14 грудня 2016 року № 944-р «Про передачу цілісного майнового комплексу колишнього державного підприємства «Азовський судноремонтний завод» до сфери управління Фонду державного майна». </w:t>
      </w:r>
    </w:p>
    <w:p w:rsidR="005F2598" w:rsidRPr="00242020" w:rsidRDefault="005F2598" w:rsidP="00102753">
      <w:pPr>
        <w:jc w:val="both"/>
        <w:rPr>
          <w:rFonts w:eastAsia="Times New Roman" w:cs="Times New Roman"/>
          <w:szCs w:val="28"/>
          <w:lang w:eastAsia="ru-RU"/>
        </w:rPr>
      </w:pPr>
      <w:r w:rsidRPr="00242020">
        <w:rPr>
          <w:rFonts w:eastAsia="Times New Roman" w:cs="Times New Roman"/>
          <w:szCs w:val="28"/>
          <w:lang w:eastAsia="ru-RU"/>
        </w:rPr>
        <w:t>Крім того, у звітному періоді опрацьовано 16 законопроектів, 7 проектів постанов Кабінету Міністрів України, 1 проект розпорядження Кабінету Міністрів України, що стосуються</w:t>
      </w:r>
      <w:r w:rsidR="001763DC" w:rsidRPr="00242020">
        <w:rPr>
          <w:rFonts w:eastAsia="Times New Roman" w:cs="Times New Roman"/>
          <w:szCs w:val="28"/>
          <w:lang w:eastAsia="ru-RU"/>
        </w:rPr>
        <w:t xml:space="preserve"> </w:t>
      </w:r>
      <w:r w:rsidRPr="00242020">
        <w:rPr>
          <w:rFonts w:eastAsia="Times New Roman" w:cs="Times New Roman"/>
          <w:szCs w:val="28"/>
          <w:lang w:eastAsia="ru-RU"/>
        </w:rPr>
        <w:t>питань оренди.</w:t>
      </w:r>
    </w:p>
    <w:p w:rsidR="005F2598" w:rsidRPr="00242020" w:rsidRDefault="005F2598" w:rsidP="00102753">
      <w:pPr>
        <w:jc w:val="both"/>
        <w:rPr>
          <w:rFonts w:eastAsia="Times New Roman" w:cs="Times New Roman"/>
          <w:szCs w:val="28"/>
          <w:lang w:eastAsia="ru-RU"/>
        </w:rPr>
      </w:pPr>
      <w:r w:rsidRPr="00242020">
        <w:rPr>
          <w:rFonts w:eastAsia="Times New Roman" w:cs="Times New Roman"/>
          <w:szCs w:val="28"/>
          <w:lang w:eastAsia="ru-RU"/>
        </w:rPr>
        <w:t>На виконання відповідних доручень Уряду Фондом здійснюється систематична робота з реалізації державної політики щодо розміщення міністерств та інших центральних органів виконавчої влади, яка полягає в опрацюванні та узагальненні інформації, яка надається міністерствами та іншими центральними органами виконавчої влади, стосовно нежитлових будинків та приміщень у м. Києві, які належать до сфери їх управління. На виконання цих доручень Фонд щокварталу подає Кабінету Міністрів України узагальнений перелік державного майна, який Уряд використовує під час вирішення питання розміщення міністерств та інших центральних органів виконавчої влади.</w:t>
      </w:r>
    </w:p>
    <w:p w:rsidR="005F2598" w:rsidRPr="00242020" w:rsidRDefault="005F2598" w:rsidP="00102753">
      <w:pPr>
        <w:widowControl/>
        <w:ind w:firstLine="708"/>
        <w:jc w:val="both"/>
        <w:rPr>
          <w:rFonts w:eastAsia="Times New Roman" w:cs="Times New Roman"/>
          <w:szCs w:val="28"/>
          <w:lang w:eastAsia="ru-RU"/>
        </w:rPr>
      </w:pPr>
      <w:r w:rsidRPr="00242020">
        <w:rPr>
          <w:rFonts w:eastAsia="Times New Roman" w:cs="Times New Roman"/>
          <w:szCs w:val="28"/>
          <w:lang w:eastAsia="ru-RU"/>
        </w:rPr>
        <w:t xml:space="preserve">Відповідно до завдань і доручень Кабінету Міністрів України із врахуванням звернень органів державної влади Фондом у 2016 році було здійснено заходи з розміщення, зокрема, таких органів державної влади: </w:t>
      </w:r>
    </w:p>
    <w:p w:rsidR="005F2598" w:rsidRPr="00242020" w:rsidRDefault="005F2598" w:rsidP="00102753">
      <w:pPr>
        <w:widowControl/>
        <w:numPr>
          <w:ilvl w:val="0"/>
          <w:numId w:val="31"/>
        </w:numPr>
        <w:tabs>
          <w:tab w:val="num" w:pos="1134"/>
        </w:tabs>
        <w:ind w:left="1134" w:hanging="283"/>
        <w:jc w:val="both"/>
        <w:rPr>
          <w:rFonts w:eastAsia="Times New Roman" w:cs="Times New Roman"/>
          <w:szCs w:val="28"/>
          <w:lang w:eastAsia="ru-RU"/>
        </w:rPr>
      </w:pPr>
      <w:r w:rsidRPr="00242020">
        <w:rPr>
          <w:rFonts w:eastAsia="Times New Roman" w:cs="Times New Roman"/>
          <w:szCs w:val="28"/>
          <w:lang w:eastAsia="ru-RU"/>
        </w:rPr>
        <w:t>Міністерства інформаційної політики України (м. Київ, вул. С. Петлюри, 15);</w:t>
      </w:r>
    </w:p>
    <w:p w:rsidR="005F2598" w:rsidRPr="00242020" w:rsidRDefault="005F2598" w:rsidP="00102753">
      <w:pPr>
        <w:widowControl/>
        <w:numPr>
          <w:ilvl w:val="0"/>
          <w:numId w:val="31"/>
        </w:numPr>
        <w:tabs>
          <w:tab w:val="num" w:pos="1134"/>
        </w:tabs>
        <w:ind w:left="1134" w:hanging="283"/>
        <w:jc w:val="both"/>
        <w:rPr>
          <w:rFonts w:eastAsia="Times New Roman" w:cs="Times New Roman"/>
          <w:szCs w:val="28"/>
          <w:lang w:eastAsia="ru-RU"/>
        </w:rPr>
      </w:pPr>
      <w:r w:rsidRPr="00242020">
        <w:rPr>
          <w:rFonts w:eastAsia="Times New Roman" w:cs="Times New Roman"/>
          <w:szCs w:val="28"/>
          <w:lang w:eastAsia="ru-RU"/>
        </w:rPr>
        <w:t xml:space="preserve">Державної установи «Урядовий контактний центр» (м. Київ, </w:t>
      </w:r>
      <w:r w:rsidRPr="00242020">
        <w:rPr>
          <w:rFonts w:eastAsia="Times New Roman" w:cs="Times New Roman"/>
          <w:szCs w:val="28"/>
          <w:lang w:eastAsia="ru-RU"/>
        </w:rPr>
        <w:br/>
        <w:t>вул. Б. Грінченка, 3);</w:t>
      </w:r>
    </w:p>
    <w:p w:rsidR="005F2598" w:rsidRPr="00242020" w:rsidRDefault="005F2598" w:rsidP="00102753">
      <w:pPr>
        <w:widowControl/>
        <w:numPr>
          <w:ilvl w:val="0"/>
          <w:numId w:val="31"/>
        </w:numPr>
        <w:tabs>
          <w:tab w:val="num" w:pos="1134"/>
        </w:tabs>
        <w:ind w:left="1134" w:hanging="283"/>
        <w:jc w:val="both"/>
        <w:rPr>
          <w:rFonts w:eastAsia="Times New Roman" w:cs="Times New Roman"/>
          <w:szCs w:val="28"/>
          <w:lang w:eastAsia="ru-RU"/>
        </w:rPr>
      </w:pPr>
      <w:r w:rsidRPr="00242020">
        <w:rPr>
          <w:rFonts w:eastAsia="Times New Roman" w:cs="Times New Roman"/>
          <w:szCs w:val="28"/>
          <w:lang w:eastAsia="ru-RU"/>
        </w:rPr>
        <w:t>Державної міграційної служби України (м. Київ, вул. Павловська, 29);</w:t>
      </w:r>
    </w:p>
    <w:p w:rsidR="005F2598" w:rsidRPr="00242020" w:rsidRDefault="005F2598" w:rsidP="00102753">
      <w:pPr>
        <w:widowControl/>
        <w:numPr>
          <w:ilvl w:val="0"/>
          <w:numId w:val="31"/>
        </w:numPr>
        <w:tabs>
          <w:tab w:val="num" w:pos="1134"/>
        </w:tabs>
        <w:ind w:left="1134" w:hanging="283"/>
        <w:jc w:val="both"/>
        <w:rPr>
          <w:rFonts w:eastAsia="Times New Roman" w:cs="Times New Roman"/>
          <w:szCs w:val="28"/>
          <w:lang w:eastAsia="ru-RU"/>
        </w:rPr>
      </w:pPr>
      <w:r w:rsidRPr="00242020">
        <w:rPr>
          <w:rFonts w:eastAsia="Times New Roman" w:cs="Times New Roman"/>
          <w:szCs w:val="28"/>
          <w:lang w:eastAsia="ru-RU"/>
        </w:rPr>
        <w:t xml:space="preserve">Генеральної прокуратури України (м. Київ, бульв. Л. Українки, 26А); </w:t>
      </w:r>
    </w:p>
    <w:p w:rsidR="005F2598" w:rsidRPr="00242020" w:rsidRDefault="005F2598" w:rsidP="00102753">
      <w:pPr>
        <w:widowControl/>
        <w:numPr>
          <w:ilvl w:val="0"/>
          <w:numId w:val="31"/>
        </w:numPr>
        <w:tabs>
          <w:tab w:val="num" w:pos="1134"/>
        </w:tabs>
        <w:ind w:left="1134" w:hanging="283"/>
        <w:jc w:val="both"/>
        <w:rPr>
          <w:rFonts w:eastAsia="Times New Roman" w:cs="Times New Roman"/>
          <w:szCs w:val="28"/>
          <w:lang w:eastAsia="ru-RU"/>
        </w:rPr>
      </w:pPr>
      <w:r w:rsidRPr="00242020">
        <w:rPr>
          <w:rFonts w:eastAsia="Times New Roman" w:cs="Times New Roman"/>
          <w:szCs w:val="28"/>
          <w:lang w:eastAsia="ru-RU"/>
        </w:rPr>
        <w:t>Національного агентства з питань протидії та запобігання корупції (м. Київ, бульв. Дружби Народів, 28);</w:t>
      </w:r>
    </w:p>
    <w:p w:rsidR="005F2598" w:rsidRPr="00242020" w:rsidRDefault="005F2598" w:rsidP="00102753">
      <w:pPr>
        <w:widowControl/>
        <w:numPr>
          <w:ilvl w:val="0"/>
          <w:numId w:val="31"/>
        </w:numPr>
        <w:tabs>
          <w:tab w:val="num" w:pos="1134"/>
        </w:tabs>
        <w:ind w:left="1134" w:hanging="283"/>
        <w:jc w:val="both"/>
        <w:rPr>
          <w:rFonts w:eastAsia="Times New Roman" w:cs="Times New Roman"/>
          <w:szCs w:val="28"/>
          <w:lang w:eastAsia="ru-RU"/>
        </w:rPr>
      </w:pPr>
      <w:r w:rsidRPr="00242020">
        <w:rPr>
          <w:rFonts w:eastAsia="Times New Roman" w:cs="Times New Roman"/>
          <w:szCs w:val="28"/>
          <w:lang w:eastAsia="ru-RU"/>
        </w:rPr>
        <w:t>Міністерства з питань тимчасово окупованих територій та внутрішньо переміщених осіб України (м. Київ, бульв. Л. Українки, 26А та пл. Л.</w:t>
      </w:r>
      <w:r w:rsidR="00BC2617" w:rsidRPr="00242020">
        <w:rPr>
          <w:rFonts w:eastAsia="Times New Roman" w:cs="Times New Roman"/>
          <w:szCs w:val="28"/>
          <w:lang w:eastAsia="ru-RU"/>
        </w:rPr>
        <w:t> </w:t>
      </w:r>
      <w:r w:rsidRPr="00242020">
        <w:rPr>
          <w:rFonts w:eastAsia="Times New Roman" w:cs="Times New Roman"/>
          <w:szCs w:val="28"/>
          <w:lang w:eastAsia="ru-RU"/>
        </w:rPr>
        <w:t>Українки, 1);</w:t>
      </w:r>
    </w:p>
    <w:p w:rsidR="005F2598" w:rsidRPr="00242020" w:rsidRDefault="005F2598" w:rsidP="00102753">
      <w:pPr>
        <w:widowControl/>
        <w:numPr>
          <w:ilvl w:val="0"/>
          <w:numId w:val="31"/>
        </w:numPr>
        <w:tabs>
          <w:tab w:val="num" w:pos="1134"/>
        </w:tabs>
        <w:ind w:left="1134" w:hanging="283"/>
        <w:jc w:val="both"/>
        <w:rPr>
          <w:rFonts w:eastAsia="Times New Roman" w:cs="Times New Roman"/>
          <w:szCs w:val="28"/>
          <w:lang w:eastAsia="ru-RU"/>
        </w:rPr>
      </w:pPr>
      <w:r w:rsidRPr="00242020">
        <w:rPr>
          <w:rFonts w:eastAsia="Times New Roman" w:cs="Times New Roman"/>
          <w:szCs w:val="28"/>
          <w:lang w:eastAsia="ru-RU"/>
        </w:rPr>
        <w:t xml:space="preserve">Міністерства оборони України </w:t>
      </w:r>
      <w:r w:rsidRPr="00242020">
        <w:rPr>
          <w:rFonts w:eastAsia="Times New Roman" w:cs="Times New Roman"/>
          <w:szCs w:val="28"/>
          <w:lang w:eastAsia="ru-RU"/>
        </w:rPr>
        <w:tab/>
        <w:t>(м. Київ, вул. Червонофлотська, 9);</w:t>
      </w:r>
    </w:p>
    <w:p w:rsidR="005F2598" w:rsidRPr="00242020" w:rsidRDefault="005F2598" w:rsidP="00102753">
      <w:pPr>
        <w:widowControl/>
        <w:numPr>
          <w:ilvl w:val="0"/>
          <w:numId w:val="31"/>
        </w:numPr>
        <w:tabs>
          <w:tab w:val="num" w:pos="1134"/>
        </w:tabs>
        <w:ind w:left="1134" w:hanging="283"/>
        <w:jc w:val="both"/>
        <w:rPr>
          <w:rFonts w:eastAsia="Times New Roman" w:cs="Times New Roman"/>
          <w:szCs w:val="28"/>
          <w:lang w:eastAsia="ru-RU"/>
        </w:rPr>
      </w:pPr>
      <w:r w:rsidRPr="00242020">
        <w:rPr>
          <w:rFonts w:eastAsia="Times New Roman" w:cs="Times New Roman"/>
          <w:szCs w:val="28"/>
          <w:lang w:eastAsia="ru-RU"/>
        </w:rPr>
        <w:t>Прокуратури АР</w:t>
      </w:r>
      <w:r w:rsidR="006129B8">
        <w:rPr>
          <w:rFonts w:eastAsia="Times New Roman" w:cs="Times New Roman"/>
          <w:szCs w:val="28"/>
          <w:lang w:eastAsia="ru-RU"/>
        </w:rPr>
        <w:t> </w:t>
      </w:r>
      <w:r w:rsidRPr="00242020">
        <w:rPr>
          <w:rFonts w:eastAsia="Times New Roman" w:cs="Times New Roman"/>
          <w:szCs w:val="28"/>
          <w:lang w:eastAsia="ru-RU"/>
        </w:rPr>
        <w:t>Крим (м. Київ, вул. Ділова, 24 та м. Херсон, вул.</w:t>
      </w:r>
      <w:r w:rsidR="006129B8">
        <w:rPr>
          <w:rFonts w:eastAsia="Times New Roman" w:cs="Times New Roman"/>
          <w:szCs w:val="28"/>
          <w:lang w:eastAsia="ru-RU"/>
        </w:rPr>
        <w:t> </w:t>
      </w:r>
      <w:r w:rsidRPr="00242020">
        <w:rPr>
          <w:rFonts w:eastAsia="Times New Roman" w:cs="Times New Roman"/>
          <w:szCs w:val="28"/>
          <w:lang w:eastAsia="ru-RU"/>
        </w:rPr>
        <w:t xml:space="preserve">Кременчуцька, 69); </w:t>
      </w:r>
    </w:p>
    <w:p w:rsidR="005F2598" w:rsidRPr="00242020" w:rsidRDefault="005F2598" w:rsidP="00102753">
      <w:pPr>
        <w:widowControl/>
        <w:numPr>
          <w:ilvl w:val="0"/>
          <w:numId w:val="31"/>
        </w:numPr>
        <w:tabs>
          <w:tab w:val="num" w:pos="1134"/>
        </w:tabs>
        <w:ind w:left="1134" w:hanging="283"/>
        <w:jc w:val="both"/>
        <w:rPr>
          <w:rFonts w:eastAsia="Times New Roman" w:cs="Times New Roman"/>
          <w:szCs w:val="28"/>
          <w:lang w:eastAsia="ru-RU"/>
        </w:rPr>
      </w:pPr>
      <w:r w:rsidRPr="00242020">
        <w:rPr>
          <w:rFonts w:eastAsia="Times New Roman" w:cs="Times New Roman"/>
          <w:szCs w:val="28"/>
          <w:lang w:eastAsia="ru-RU"/>
        </w:rPr>
        <w:t>Регіонального сервісного центру МВС в Київській області (м. Київ, бульв. Л. Українки, 26);</w:t>
      </w:r>
    </w:p>
    <w:p w:rsidR="005F2598" w:rsidRPr="00242020" w:rsidRDefault="005F2598" w:rsidP="00102753">
      <w:pPr>
        <w:widowControl/>
        <w:numPr>
          <w:ilvl w:val="0"/>
          <w:numId w:val="31"/>
        </w:numPr>
        <w:tabs>
          <w:tab w:val="num" w:pos="1134"/>
        </w:tabs>
        <w:ind w:left="1134" w:hanging="283"/>
        <w:jc w:val="both"/>
        <w:rPr>
          <w:rFonts w:eastAsia="Times New Roman" w:cs="Times New Roman"/>
          <w:szCs w:val="28"/>
          <w:lang w:eastAsia="ru-RU"/>
        </w:rPr>
      </w:pPr>
      <w:r w:rsidRPr="00242020">
        <w:rPr>
          <w:rFonts w:eastAsia="Times New Roman" w:cs="Times New Roman"/>
          <w:szCs w:val="28"/>
          <w:lang w:eastAsia="ru-RU"/>
        </w:rPr>
        <w:lastRenderedPageBreak/>
        <w:t xml:space="preserve">Національного агентства з питань виявлення, розшуку та управління активами, одержаними від корупційних та інших злочинів (м. Київ, </w:t>
      </w:r>
      <w:r w:rsidRPr="00242020">
        <w:rPr>
          <w:rFonts w:eastAsia="Times New Roman" w:cs="Times New Roman"/>
          <w:bCs/>
          <w:color w:val="000000"/>
          <w:szCs w:val="28"/>
          <w:shd w:val="clear" w:color="auto" w:fill="FFFFFF"/>
          <w:lang w:eastAsia="ru-RU"/>
        </w:rPr>
        <w:t>вул. Б. Грінченка, 1);</w:t>
      </w:r>
    </w:p>
    <w:p w:rsidR="005F2598" w:rsidRPr="00242020" w:rsidRDefault="005F2598" w:rsidP="00102753">
      <w:pPr>
        <w:widowControl/>
        <w:numPr>
          <w:ilvl w:val="0"/>
          <w:numId w:val="31"/>
        </w:numPr>
        <w:tabs>
          <w:tab w:val="num" w:pos="1134"/>
        </w:tabs>
        <w:ind w:left="1134" w:hanging="283"/>
        <w:jc w:val="both"/>
        <w:rPr>
          <w:rFonts w:eastAsia="Times New Roman" w:cs="Times New Roman"/>
          <w:szCs w:val="28"/>
          <w:lang w:eastAsia="ru-RU"/>
        </w:rPr>
      </w:pPr>
      <w:r w:rsidRPr="00242020">
        <w:rPr>
          <w:rFonts w:eastAsia="Times New Roman" w:cs="Times New Roman"/>
          <w:szCs w:val="28"/>
          <w:lang w:eastAsia="ru-RU"/>
        </w:rPr>
        <w:t>Національного центру «Мала академія наук України» (м. Київ,</w:t>
      </w:r>
      <w:r w:rsidRPr="00242020">
        <w:rPr>
          <w:rFonts w:eastAsia="Times New Roman" w:cs="Times New Roman"/>
          <w:szCs w:val="28"/>
          <w:lang w:eastAsia="ru-RU"/>
        </w:rPr>
        <w:br/>
        <w:t xml:space="preserve">вул. Мельникова, 63, вул. </w:t>
      </w:r>
      <w:proofErr w:type="spellStart"/>
      <w:r w:rsidRPr="00242020">
        <w:rPr>
          <w:rFonts w:eastAsia="Times New Roman" w:cs="Times New Roman"/>
          <w:szCs w:val="28"/>
          <w:lang w:eastAsia="ru-RU"/>
        </w:rPr>
        <w:t>Дегтярівська</w:t>
      </w:r>
      <w:proofErr w:type="spellEnd"/>
      <w:r w:rsidRPr="00242020">
        <w:rPr>
          <w:rFonts w:eastAsia="Times New Roman" w:cs="Times New Roman"/>
          <w:szCs w:val="28"/>
          <w:lang w:eastAsia="ru-RU"/>
        </w:rPr>
        <w:t>, 38-4, просп. Перемоги, 44, вул. М. Коцюбинського, 1).</w:t>
      </w:r>
    </w:p>
    <w:p w:rsidR="005F2598" w:rsidRPr="00242020" w:rsidRDefault="005F2598" w:rsidP="00102753">
      <w:pPr>
        <w:widowControl/>
        <w:jc w:val="both"/>
        <w:rPr>
          <w:rFonts w:eastAsia="Times New Roman" w:cs="Times New Roman"/>
          <w:szCs w:val="28"/>
          <w:lang w:eastAsia="ru-RU"/>
        </w:rPr>
      </w:pPr>
      <w:r w:rsidRPr="00242020">
        <w:rPr>
          <w:rFonts w:eastAsia="Times New Roman" w:cs="Times New Roman"/>
          <w:szCs w:val="28"/>
          <w:lang w:eastAsia="ru-RU"/>
        </w:rPr>
        <w:t xml:space="preserve">Окрім цього, на виконання доручення Кабінету Міністрів України Фонд здійснює формування переліку об’єктів державного нерухомого майна, що може бути передано в оренду, який оприлюднюється на офіційному </w:t>
      </w:r>
      <w:proofErr w:type="spellStart"/>
      <w:r w:rsidRPr="00242020">
        <w:rPr>
          <w:rFonts w:eastAsia="Times New Roman" w:cs="Times New Roman"/>
          <w:szCs w:val="28"/>
          <w:lang w:eastAsia="ru-RU"/>
        </w:rPr>
        <w:t>веб-сайті</w:t>
      </w:r>
      <w:proofErr w:type="spellEnd"/>
      <w:r w:rsidRPr="00242020">
        <w:rPr>
          <w:rFonts w:eastAsia="Times New Roman" w:cs="Times New Roman"/>
          <w:szCs w:val="28"/>
          <w:lang w:eastAsia="ru-RU"/>
        </w:rPr>
        <w:t xml:space="preserve"> Фонду та щокварталу оновлюється.</w:t>
      </w:r>
    </w:p>
    <w:p w:rsidR="005F2598" w:rsidRPr="00242020" w:rsidRDefault="005F2598" w:rsidP="00102753">
      <w:pPr>
        <w:widowControl/>
        <w:jc w:val="both"/>
        <w:rPr>
          <w:rFonts w:eastAsia="Times New Roman" w:cs="Times New Roman"/>
          <w:szCs w:val="28"/>
          <w:lang w:eastAsia="ru-RU"/>
        </w:rPr>
      </w:pPr>
      <w:r w:rsidRPr="00242020">
        <w:rPr>
          <w:rFonts w:eastAsia="Times New Roman" w:cs="Times New Roman"/>
          <w:szCs w:val="28"/>
          <w:lang w:eastAsia="ru-RU"/>
        </w:rPr>
        <w:t xml:space="preserve">На сьогодні Фондом у регіонах України спільно з підпорядкованими структурними підрозділами Національної поліції України проводиться робота з оформлення договорів оренди державного майна з метою розміщення міжрегіональних підрозділів Національної поліції України. </w:t>
      </w:r>
    </w:p>
    <w:p w:rsidR="005F2598" w:rsidRPr="00242020" w:rsidRDefault="005F2598" w:rsidP="00102753">
      <w:pPr>
        <w:jc w:val="both"/>
        <w:rPr>
          <w:rFonts w:eastAsia="Times New Roman" w:cs="Times New Roman"/>
          <w:sz w:val="16"/>
          <w:szCs w:val="16"/>
          <w:lang w:eastAsia="ru-RU"/>
        </w:rPr>
      </w:pPr>
    </w:p>
    <w:p w:rsidR="005F2598" w:rsidRPr="00242020" w:rsidRDefault="005F2598" w:rsidP="00102753">
      <w:pPr>
        <w:jc w:val="both"/>
        <w:rPr>
          <w:rFonts w:eastAsia="Times New Roman" w:cs="Times New Roman"/>
          <w:szCs w:val="20"/>
          <w:lang w:eastAsia="ru-RU"/>
        </w:rPr>
      </w:pPr>
      <w:r w:rsidRPr="00242020">
        <w:rPr>
          <w:rFonts w:eastAsia="Times New Roman" w:cs="Times New Roman"/>
          <w:szCs w:val="20"/>
          <w:lang w:eastAsia="ru-RU"/>
        </w:rPr>
        <w:t>Відповідно до Закону України «Про оренду державного та комунального майна» регіональні відділення Фонду виступають орендодавцями державного майна, до повноважень яких належать, зокрема, функції контролю за виконанням умов договорів оренди та використанням орендованого майна.</w:t>
      </w:r>
    </w:p>
    <w:p w:rsidR="005F2598" w:rsidRPr="00242020" w:rsidRDefault="005F2598" w:rsidP="00102753">
      <w:pPr>
        <w:jc w:val="both"/>
        <w:rPr>
          <w:rFonts w:eastAsia="Times New Roman" w:cs="Times New Roman"/>
          <w:szCs w:val="20"/>
          <w:lang w:eastAsia="ru-RU"/>
        </w:rPr>
      </w:pPr>
      <w:r w:rsidRPr="00242020">
        <w:rPr>
          <w:rFonts w:eastAsia="Times New Roman" w:cs="Times New Roman"/>
          <w:szCs w:val="20"/>
          <w:lang w:eastAsia="ru-RU"/>
        </w:rPr>
        <w:t xml:space="preserve">Станом на 01 січня 2017 року загальна кількість договорів, орендодавцями за якими виступають регіональні відділення Фонду, становить </w:t>
      </w:r>
      <w:r w:rsidRPr="00242020">
        <w:rPr>
          <w:rFonts w:eastAsia="Times New Roman" w:cs="Times New Roman"/>
          <w:b/>
          <w:szCs w:val="20"/>
          <w:lang w:eastAsia="ru-RU"/>
        </w:rPr>
        <w:t>19 089</w:t>
      </w:r>
      <w:r w:rsidRPr="00242020">
        <w:rPr>
          <w:rFonts w:eastAsia="Times New Roman" w:cs="Times New Roman"/>
          <w:szCs w:val="20"/>
          <w:lang w:eastAsia="ru-RU"/>
        </w:rPr>
        <w:t>.</w:t>
      </w:r>
    </w:p>
    <w:p w:rsidR="005F2598" w:rsidRPr="00242020" w:rsidRDefault="005F2598" w:rsidP="00102753">
      <w:pPr>
        <w:jc w:val="both"/>
        <w:rPr>
          <w:rFonts w:eastAsia="Times New Roman" w:cs="Times New Roman"/>
          <w:szCs w:val="20"/>
          <w:lang w:eastAsia="ru-RU"/>
        </w:rPr>
      </w:pPr>
      <w:r w:rsidRPr="00242020">
        <w:rPr>
          <w:rFonts w:eastAsia="Arial Unicode MS" w:cs="Times New Roman"/>
          <w:szCs w:val="28"/>
          <w:lang w:eastAsia="ru-RU"/>
        </w:rPr>
        <w:t xml:space="preserve">З метою виконання встановленого </w:t>
      </w:r>
      <w:r w:rsidRPr="00242020">
        <w:rPr>
          <w:rFonts w:eastAsia="Times New Roman" w:cs="Times New Roman"/>
          <w:szCs w:val="28"/>
          <w:lang w:eastAsia="ru-RU"/>
        </w:rPr>
        <w:t xml:space="preserve">Законом України «Про Державний бюджет України на 2016 рік» </w:t>
      </w:r>
      <w:r w:rsidRPr="00242020">
        <w:rPr>
          <w:rFonts w:eastAsia="Arial Unicode MS" w:cs="Times New Roman"/>
          <w:szCs w:val="28"/>
          <w:lang w:eastAsia="ru-RU"/>
        </w:rPr>
        <w:t>річного бюджетного завдання з надходження від орендної плати наказом Фонду від 04 лютого 2016 року № 204 встановлено відповідні завдання регіональним відділенням Фонду.</w:t>
      </w:r>
    </w:p>
    <w:p w:rsidR="005F2598" w:rsidRPr="00242020" w:rsidRDefault="005F2598" w:rsidP="00102753">
      <w:pPr>
        <w:jc w:val="both"/>
        <w:rPr>
          <w:rFonts w:eastAsia="Times New Roman" w:cs="Times New Roman"/>
          <w:szCs w:val="20"/>
          <w:lang w:eastAsia="ru-RU"/>
        </w:rPr>
      </w:pPr>
      <w:r w:rsidRPr="00242020">
        <w:rPr>
          <w:rFonts w:eastAsia="Times New Roman" w:cs="Times New Roman"/>
          <w:szCs w:val="20"/>
          <w:lang w:eastAsia="ru-RU"/>
        </w:rPr>
        <w:t xml:space="preserve">У звітному періоді регіональні відділення Фонду забезпечили надходження коштів від оренди державного майна до державного бюджету в розмірі </w:t>
      </w:r>
      <w:r w:rsidRPr="00242020">
        <w:rPr>
          <w:rFonts w:eastAsia="Times New Roman" w:cs="Times New Roman"/>
          <w:b/>
          <w:szCs w:val="20"/>
          <w:lang w:eastAsia="ru-RU"/>
        </w:rPr>
        <w:t>974,901</w:t>
      </w:r>
      <w:r w:rsidRPr="00242020">
        <w:rPr>
          <w:rFonts w:eastAsia="Times New Roman" w:cs="Times New Roman"/>
          <w:szCs w:val="20"/>
          <w:lang w:eastAsia="ru-RU"/>
        </w:rPr>
        <w:t xml:space="preserve"> </w:t>
      </w:r>
      <w:proofErr w:type="spellStart"/>
      <w:r w:rsidRPr="00242020">
        <w:rPr>
          <w:rFonts w:eastAsia="Times New Roman" w:cs="Times New Roman"/>
          <w:szCs w:val="20"/>
          <w:lang w:eastAsia="ru-RU"/>
        </w:rPr>
        <w:t>млн</w:t>
      </w:r>
      <w:proofErr w:type="spellEnd"/>
      <w:r w:rsidRPr="00242020">
        <w:rPr>
          <w:rFonts w:eastAsia="Times New Roman" w:cs="Times New Roman"/>
          <w:szCs w:val="20"/>
          <w:lang w:eastAsia="ru-RU"/>
        </w:rPr>
        <w:t> грн.</w:t>
      </w:r>
    </w:p>
    <w:p w:rsidR="005F2598" w:rsidRPr="00242020" w:rsidRDefault="005F2598" w:rsidP="00102753">
      <w:pPr>
        <w:jc w:val="both"/>
        <w:rPr>
          <w:rFonts w:eastAsia="Times New Roman" w:cs="Times New Roman"/>
          <w:szCs w:val="20"/>
          <w:lang w:eastAsia="ru-RU"/>
        </w:rPr>
      </w:pPr>
      <w:r w:rsidRPr="00242020">
        <w:rPr>
          <w:rFonts w:eastAsia="Times New Roman" w:cs="Times New Roman"/>
          <w:szCs w:val="20"/>
          <w:lang w:eastAsia="ru-RU"/>
        </w:rPr>
        <w:t>Виконання регіональними відділеннями Фонду завдання з надходження коштів від оренди державного майна наведено у таблиці 3.</w:t>
      </w:r>
      <w:r w:rsidR="00681794" w:rsidRPr="00242020">
        <w:rPr>
          <w:rFonts w:eastAsia="Times New Roman" w:cs="Times New Roman"/>
          <w:szCs w:val="20"/>
          <w:lang w:eastAsia="ru-RU"/>
        </w:rPr>
        <w:t>3</w:t>
      </w:r>
      <w:r w:rsidRPr="00242020">
        <w:rPr>
          <w:rFonts w:eastAsia="Times New Roman" w:cs="Times New Roman"/>
          <w:szCs w:val="20"/>
          <w:lang w:eastAsia="ru-RU"/>
        </w:rPr>
        <w:t>.</w:t>
      </w:r>
    </w:p>
    <w:p w:rsidR="005F2598" w:rsidRPr="00242020" w:rsidRDefault="005F2598" w:rsidP="005F2598">
      <w:pPr>
        <w:jc w:val="right"/>
        <w:rPr>
          <w:rFonts w:eastAsia="Times New Roman" w:cs="Times New Roman"/>
          <w:sz w:val="24"/>
          <w:szCs w:val="24"/>
          <w:lang w:eastAsia="ru-RU"/>
        </w:rPr>
      </w:pPr>
      <w:r w:rsidRPr="00242020">
        <w:rPr>
          <w:rFonts w:eastAsia="Times New Roman" w:cs="Times New Roman"/>
          <w:b/>
          <w:sz w:val="24"/>
          <w:szCs w:val="24"/>
          <w:lang w:eastAsia="ru-RU"/>
        </w:rPr>
        <w:t>Таблиця 3.</w:t>
      </w:r>
      <w:r w:rsidR="00681794" w:rsidRPr="00242020">
        <w:rPr>
          <w:rFonts w:eastAsia="Times New Roman" w:cs="Times New Roman"/>
          <w:b/>
          <w:sz w:val="24"/>
          <w:szCs w:val="24"/>
          <w:lang w:eastAsia="ru-RU"/>
        </w:rPr>
        <w:t>3</w:t>
      </w:r>
    </w:p>
    <w:p w:rsidR="005F2598" w:rsidRPr="00242020" w:rsidRDefault="005F2598" w:rsidP="005F2598">
      <w:pPr>
        <w:ind w:right="-5" w:firstLine="0"/>
        <w:jc w:val="center"/>
        <w:rPr>
          <w:rFonts w:eastAsia="Times New Roman" w:cs="Times New Roman"/>
          <w:b/>
          <w:szCs w:val="28"/>
          <w:lang w:eastAsia="ru-RU"/>
        </w:rPr>
      </w:pPr>
      <w:r w:rsidRPr="00242020">
        <w:rPr>
          <w:rFonts w:eastAsia="Times New Roman" w:cs="Times New Roman"/>
          <w:b/>
          <w:szCs w:val="28"/>
          <w:lang w:eastAsia="ru-RU"/>
        </w:rPr>
        <w:t>Виконання регіональними відділеннями Фонду річного планового завдання з надходження коштів від оренди державного майна до Державного бюджету України у 2016 році</w:t>
      </w:r>
    </w:p>
    <w:p w:rsidR="005F2598" w:rsidRPr="00242020" w:rsidRDefault="005F2598" w:rsidP="005F2598">
      <w:pPr>
        <w:ind w:right="-5" w:firstLine="0"/>
        <w:jc w:val="center"/>
        <w:rPr>
          <w:rFonts w:eastAsia="Times New Roman" w:cs="Times New Roman"/>
          <w:sz w:val="16"/>
          <w:szCs w:val="16"/>
          <w:lang w:eastAsia="ru-RU"/>
        </w:rPr>
      </w:pPr>
    </w:p>
    <w:tbl>
      <w:tblPr>
        <w:tblW w:w="9286" w:type="dxa"/>
        <w:jc w:val="center"/>
        <w:tblLayout w:type="fixed"/>
        <w:tblCellMar>
          <w:left w:w="30" w:type="dxa"/>
          <w:right w:w="30" w:type="dxa"/>
        </w:tblCellMar>
        <w:tblLook w:val="0000"/>
      </w:tblPr>
      <w:tblGrid>
        <w:gridCol w:w="478"/>
        <w:gridCol w:w="2615"/>
        <w:gridCol w:w="2135"/>
        <w:gridCol w:w="2471"/>
        <w:gridCol w:w="1587"/>
      </w:tblGrid>
      <w:tr w:rsidR="005F2598" w:rsidRPr="00242020" w:rsidTr="00CF5745">
        <w:trPr>
          <w:trHeight w:val="451"/>
          <w:jc w:val="center"/>
        </w:trPr>
        <w:tc>
          <w:tcPr>
            <w:tcW w:w="478" w:type="dxa"/>
            <w:tcBorders>
              <w:top w:val="single" w:sz="6" w:space="0" w:color="auto"/>
              <w:left w:val="single" w:sz="6" w:space="0" w:color="auto"/>
              <w:bottom w:val="nil"/>
              <w:right w:val="single" w:sz="6" w:space="0" w:color="auto"/>
            </w:tcBorders>
            <w:shd w:val="solid" w:color="FFFFFF" w:fill="auto"/>
            <w:vAlign w:val="center"/>
          </w:tcPr>
          <w:p w:rsidR="005F2598" w:rsidRPr="00242020" w:rsidRDefault="005F2598" w:rsidP="005F2598">
            <w:pPr>
              <w:adjustRightInd w:val="0"/>
              <w:ind w:firstLine="0"/>
              <w:jc w:val="center"/>
              <w:rPr>
                <w:rFonts w:eastAsia="Times New Roman" w:cs="Times New Roman"/>
                <w:b/>
                <w:bCs/>
                <w:color w:val="000000"/>
                <w:sz w:val="24"/>
                <w:szCs w:val="24"/>
                <w:lang w:eastAsia="ru-RU"/>
              </w:rPr>
            </w:pPr>
            <w:r w:rsidRPr="00242020">
              <w:rPr>
                <w:rFonts w:eastAsia="Times New Roman" w:cs="Times New Roman"/>
                <w:b/>
                <w:bCs/>
                <w:color w:val="000000"/>
                <w:sz w:val="24"/>
                <w:szCs w:val="24"/>
                <w:lang w:eastAsia="ru-RU"/>
              </w:rPr>
              <w:t>№ з/п</w:t>
            </w:r>
          </w:p>
        </w:tc>
        <w:tc>
          <w:tcPr>
            <w:tcW w:w="2615" w:type="dxa"/>
            <w:tcBorders>
              <w:top w:val="single" w:sz="6" w:space="0" w:color="auto"/>
              <w:left w:val="single" w:sz="6" w:space="0" w:color="auto"/>
              <w:bottom w:val="nil"/>
              <w:right w:val="single" w:sz="6" w:space="0" w:color="auto"/>
            </w:tcBorders>
            <w:shd w:val="solid" w:color="FFFFFF" w:fill="auto"/>
            <w:vAlign w:val="center"/>
          </w:tcPr>
          <w:p w:rsidR="005F2598" w:rsidRPr="00242020" w:rsidRDefault="005F2598" w:rsidP="005F2598">
            <w:pPr>
              <w:adjustRightInd w:val="0"/>
              <w:ind w:firstLine="0"/>
              <w:jc w:val="center"/>
              <w:rPr>
                <w:rFonts w:eastAsia="Times New Roman" w:cs="Times New Roman"/>
                <w:b/>
                <w:color w:val="000000"/>
                <w:sz w:val="24"/>
                <w:szCs w:val="24"/>
                <w:lang w:eastAsia="ru-RU"/>
              </w:rPr>
            </w:pPr>
            <w:r w:rsidRPr="00242020">
              <w:rPr>
                <w:rFonts w:eastAsia="Times New Roman" w:cs="Times New Roman"/>
                <w:b/>
                <w:color w:val="000000"/>
                <w:sz w:val="24"/>
                <w:szCs w:val="24"/>
                <w:lang w:eastAsia="ru-RU"/>
              </w:rPr>
              <w:t>Регіональне відділення Фонду по області (місту):</w:t>
            </w:r>
          </w:p>
        </w:tc>
        <w:tc>
          <w:tcPr>
            <w:tcW w:w="2135" w:type="dxa"/>
            <w:tcBorders>
              <w:top w:val="single" w:sz="6" w:space="0" w:color="auto"/>
              <w:left w:val="single" w:sz="6" w:space="0" w:color="auto"/>
              <w:bottom w:val="nil"/>
              <w:right w:val="single" w:sz="6" w:space="0" w:color="auto"/>
            </w:tcBorders>
            <w:shd w:val="solid" w:color="FFFFFF" w:fill="auto"/>
          </w:tcPr>
          <w:p w:rsidR="005F2598" w:rsidRPr="00242020" w:rsidRDefault="005F2598" w:rsidP="005F2598">
            <w:pPr>
              <w:ind w:firstLine="0"/>
              <w:jc w:val="center"/>
              <w:rPr>
                <w:rFonts w:eastAsia="Times New Roman" w:cs="Times New Roman"/>
                <w:b/>
                <w:bCs/>
                <w:sz w:val="22"/>
                <w:lang w:eastAsia="ru-RU"/>
              </w:rPr>
            </w:pPr>
            <w:r w:rsidRPr="00242020">
              <w:rPr>
                <w:rFonts w:eastAsia="Times New Roman" w:cs="Times New Roman"/>
                <w:b/>
                <w:bCs/>
                <w:sz w:val="22"/>
                <w:lang w:eastAsia="ru-RU"/>
              </w:rPr>
              <w:t>Планове завдання на 2016 рік, встановлене наказом Фонду від 04 лютого 2016 року № 204 (</w:t>
            </w:r>
            <w:proofErr w:type="spellStart"/>
            <w:r w:rsidRPr="00242020">
              <w:rPr>
                <w:rFonts w:eastAsia="Times New Roman" w:cs="Times New Roman"/>
                <w:b/>
                <w:bCs/>
                <w:sz w:val="22"/>
                <w:lang w:eastAsia="ru-RU"/>
              </w:rPr>
              <w:t>млн</w:t>
            </w:r>
            <w:proofErr w:type="spellEnd"/>
            <w:r w:rsidRPr="00242020">
              <w:rPr>
                <w:rFonts w:eastAsia="Times New Roman" w:cs="Times New Roman"/>
                <w:b/>
                <w:bCs/>
                <w:sz w:val="22"/>
                <w:lang w:eastAsia="ru-RU"/>
              </w:rPr>
              <w:t xml:space="preserve"> </w:t>
            </w:r>
            <w:proofErr w:type="spellStart"/>
            <w:r w:rsidRPr="00242020">
              <w:rPr>
                <w:rFonts w:eastAsia="Times New Roman" w:cs="Times New Roman"/>
                <w:b/>
                <w:bCs/>
                <w:sz w:val="22"/>
                <w:lang w:eastAsia="ru-RU"/>
              </w:rPr>
              <w:t>грн</w:t>
            </w:r>
            <w:proofErr w:type="spellEnd"/>
            <w:r w:rsidRPr="00242020">
              <w:rPr>
                <w:rFonts w:eastAsia="Times New Roman" w:cs="Times New Roman"/>
                <w:b/>
                <w:bCs/>
                <w:sz w:val="22"/>
                <w:lang w:eastAsia="ru-RU"/>
              </w:rPr>
              <w:t>)</w:t>
            </w:r>
          </w:p>
        </w:tc>
        <w:tc>
          <w:tcPr>
            <w:tcW w:w="2471" w:type="dxa"/>
            <w:tcBorders>
              <w:top w:val="single" w:sz="6" w:space="0" w:color="auto"/>
              <w:left w:val="single" w:sz="6" w:space="0" w:color="auto"/>
              <w:bottom w:val="nil"/>
              <w:right w:val="single" w:sz="6" w:space="0" w:color="auto"/>
            </w:tcBorders>
            <w:shd w:val="solid" w:color="FFFFFF" w:fill="auto"/>
            <w:vAlign w:val="center"/>
          </w:tcPr>
          <w:p w:rsidR="005F2598" w:rsidRPr="00242020" w:rsidRDefault="005F2598" w:rsidP="005F2598">
            <w:pPr>
              <w:ind w:firstLine="0"/>
              <w:jc w:val="center"/>
              <w:rPr>
                <w:rFonts w:eastAsia="Times New Roman" w:cs="Times New Roman"/>
                <w:b/>
                <w:bCs/>
                <w:sz w:val="24"/>
                <w:szCs w:val="24"/>
                <w:lang w:eastAsia="ru-RU"/>
              </w:rPr>
            </w:pPr>
            <w:r w:rsidRPr="00242020">
              <w:rPr>
                <w:rFonts w:eastAsia="Times New Roman" w:cs="Times New Roman"/>
                <w:b/>
                <w:bCs/>
                <w:sz w:val="24"/>
                <w:szCs w:val="24"/>
                <w:lang w:eastAsia="ru-RU"/>
              </w:rPr>
              <w:t>Надходження орендної плати за січень-грудень 2016 р. (</w:t>
            </w:r>
            <w:proofErr w:type="spellStart"/>
            <w:r w:rsidRPr="00242020">
              <w:rPr>
                <w:rFonts w:eastAsia="Times New Roman" w:cs="Times New Roman"/>
                <w:b/>
                <w:bCs/>
                <w:sz w:val="24"/>
                <w:szCs w:val="24"/>
                <w:lang w:eastAsia="ru-RU"/>
              </w:rPr>
              <w:t>млн</w:t>
            </w:r>
            <w:proofErr w:type="spellEnd"/>
            <w:r w:rsidRPr="00242020">
              <w:rPr>
                <w:rFonts w:eastAsia="Times New Roman" w:cs="Times New Roman"/>
                <w:b/>
                <w:bCs/>
                <w:sz w:val="24"/>
                <w:szCs w:val="24"/>
                <w:lang w:eastAsia="ru-RU"/>
              </w:rPr>
              <w:t xml:space="preserve"> </w:t>
            </w:r>
            <w:proofErr w:type="spellStart"/>
            <w:r w:rsidRPr="00242020">
              <w:rPr>
                <w:rFonts w:eastAsia="Times New Roman" w:cs="Times New Roman"/>
                <w:b/>
                <w:bCs/>
                <w:sz w:val="24"/>
                <w:szCs w:val="24"/>
                <w:lang w:eastAsia="ru-RU"/>
              </w:rPr>
              <w:t>грн</w:t>
            </w:r>
            <w:proofErr w:type="spellEnd"/>
            <w:r w:rsidRPr="00242020">
              <w:rPr>
                <w:rStyle w:val="afa"/>
                <w:rFonts w:eastAsia="Times New Roman" w:cs="Times New Roman"/>
                <w:b/>
                <w:bCs/>
                <w:sz w:val="24"/>
                <w:szCs w:val="24"/>
                <w:lang w:eastAsia="ru-RU"/>
              </w:rPr>
              <w:footnoteReference w:customMarkFollows="1" w:id="4"/>
              <w:sym w:font="Symbol" w:char="F02A"/>
            </w:r>
            <w:r w:rsidRPr="00242020">
              <w:rPr>
                <w:rFonts w:eastAsia="Times New Roman" w:cs="Times New Roman"/>
                <w:b/>
                <w:bCs/>
                <w:sz w:val="24"/>
                <w:szCs w:val="24"/>
                <w:lang w:eastAsia="ru-RU"/>
              </w:rPr>
              <w:t>)</w:t>
            </w:r>
          </w:p>
        </w:tc>
        <w:tc>
          <w:tcPr>
            <w:tcW w:w="1587" w:type="dxa"/>
            <w:tcBorders>
              <w:top w:val="single" w:sz="6" w:space="0" w:color="auto"/>
              <w:left w:val="single" w:sz="6" w:space="0" w:color="auto"/>
              <w:bottom w:val="nil"/>
              <w:right w:val="single" w:sz="6" w:space="0" w:color="auto"/>
            </w:tcBorders>
            <w:vAlign w:val="center"/>
          </w:tcPr>
          <w:p w:rsidR="005F2598" w:rsidRPr="00242020" w:rsidRDefault="005F2598" w:rsidP="005F2598">
            <w:pPr>
              <w:ind w:firstLine="0"/>
              <w:jc w:val="center"/>
              <w:rPr>
                <w:rFonts w:eastAsia="Times New Roman" w:cs="Times New Roman"/>
                <w:b/>
                <w:bCs/>
                <w:sz w:val="24"/>
                <w:szCs w:val="24"/>
                <w:lang w:eastAsia="ru-RU"/>
              </w:rPr>
            </w:pPr>
            <w:r w:rsidRPr="00242020">
              <w:rPr>
                <w:rFonts w:eastAsia="Times New Roman" w:cs="Times New Roman"/>
                <w:b/>
                <w:bCs/>
                <w:sz w:val="24"/>
                <w:szCs w:val="24"/>
                <w:lang w:eastAsia="ru-RU"/>
              </w:rPr>
              <w:t>Виконання планового завдання, %</w:t>
            </w:r>
          </w:p>
        </w:tc>
      </w:tr>
      <w:tr w:rsidR="00E161FD" w:rsidRPr="00242020" w:rsidTr="00CF5745">
        <w:trPr>
          <w:trHeight w:val="243"/>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E161FD">
            <w:pPr>
              <w:adjustRightInd w:val="0"/>
              <w:ind w:firstLine="0"/>
              <w:jc w:val="center"/>
              <w:rPr>
                <w:rFonts w:eastAsia="Times New Roman" w:cs="Times New Roman"/>
                <w:color w:val="000000"/>
                <w:sz w:val="22"/>
                <w:lang w:eastAsia="ru-RU"/>
              </w:rPr>
            </w:pPr>
            <w:r w:rsidRPr="00242020">
              <w:rPr>
                <w:rFonts w:eastAsia="Times New Roman" w:cs="Times New Roman"/>
                <w:color w:val="000000"/>
                <w:sz w:val="22"/>
                <w:lang w:eastAsia="ru-RU"/>
              </w:rPr>
              <w:t>1</w:t>
            </w: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E161FD">
            <w:pPr>
              <w:adjustRightInd w:val="0"/>
              <w:ind w:firstLine="0"/>
              <w:jc w:val="center"/>
              <w:rPr>
                <w:rFonts w:eastAsia="Times New Roman" w:cs="Times New Roman"/>
                <w:color w:val="000000"/>
                <w:sz w:val="22"/>
                <w:lang w:eastAsia="ru-RU"/>
              </w:rPr>
            </w:pPr>
            <w:r w:rsidRPr="00242020">
              <w:rPr>
                <w:rFonts w:eastAsia="Times New Roman" w:cs="Times New Roman"/>
                <w:color w:val="000000"/>
                <w:sz w:val="22"/>
                <w:lang w:eastAsia="ru-RU"/>
              </w:rPr>
              <w:t>2</w:t>
            </w:r>
          </w:p>
        </w:tc>
        <w:tc>
          <w:tcPr>
            <w:tcW w:w="2135"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E161FD">
            <w:pPr>
              <w:widowControl/>
              <w:ind w:firstLine="0"/>
              <w:jc w:val="center"/>
              <w:rPr>
                <w:rFonts w:eastAsia="Times New Roman" w:cs="Times New Roman"/>
                <w:sz w:val="22"/>
                <w:lang w:eastAsia="ru-RU"/>
              </w:rPr>
            </w:pPr>
            <w:r w:rsidRPr="00242020">
              <w:rPr>
                <w:rFonts w:eastAsia="Times New Roman" w:cs="Times New Roman"/>
                <w:sz w:val="22"/>
                <w:lang w:eastAsia="ru-RU"/>
              </w:rPr>
              <w:t>3</w:t>
            </w: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E161FD" w:rsidRPr="00242020" w:rsidRDefault="00E161FD" w:rsidP="00E161FD">
            <w:pPr>
              <w:widowControl/>
              <w:ind w:firstLine="0"/>
              <w:jc w:val="center"/>
              <w:rPr>
                <w:rFonts w:eastAsia="Times New Roman" w:cs="Times New Roman"/>
                <w:sz w:val="22"/>
                <w:lang w:eastAsia="ru-RU"/>
              </w:rPr>
            </w:pPr>
            <w:r w:rsidRPr="00242020">
              <w:rPr>
                <w:rFonts w:eastAsia="Times New Roman" w:cs="Times New Roman"/>
                <w:sz w:val="22"/>
                <w:lang w:eastAsia="ru-RU"/>
              </w:rPr>
              <w:t>4</w:t>
            </w:r>
          </w:p>
        </w:tc>
        <w:tc>
          <w:tcPr>
            <w:tcW w:w="1587" w:type="dxa"/>
            <w:tcBorders>
              <w:top w:val="single" w:sz="6" w:space="0" w:color="auto"/>
              <w:left w:val="single" w:sz="6" w:space="0" w:color="auto"/>
              <w:bottom w:val="single" w:sz="6" w:space="0" w:color="auto"/>
              <w:right w:val="single" w:sz="6" w:space="0" w:color="auto"/>
            </w:tcBorders>
            <w:vAlign w:val="center"/>
          </w:tcPr>
          <w:p w:rsidR="00E161FD" w:rsidRPr="00242020" w:rsidRDefault="00E161FD" w:rsidP="00E161FD">
            <w:pPr>
              <w:widowControl/>
              <w:ind w:firstLine="0"/>
              <w:jc w:val="center"/>
              <w:rPr>
                <w:rFonts w:eastAsia="Times New Roman" w:cs="Times New Roman"/>
                <w:sz w:val="22"/>
                <w:lang w:eastAsia="ru-RU"/>
              </w:rPr>
            </w:pPr>
            <w:r w:rsidRPr="00242020">
              <w:rPr>
                <w:rFonts w:eastAsia="Times New Roman" w:cs="Times New Roman"/>
                <w:sz w:val="22"/>
                <w:lang w:eastAsia="ru-RU"/>
              </w:rPr>
              <w:t>5</w:t>
            </w:r>
          </w:p>
        </w:tc>
      </w:tr>
      <w:tr w:rsidR="005F2598" w:rsidRPr="00242020" w:rsidTr="00CF5745">
        <w:trPr>
          <w:trHeight w:val="243"/>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5F2598" w:rsidRPr="00242020" w:rsidRDefault="005F2598" w:rsidP="005F2598">
            <w:pPr>
              <w:adjustRightInd w:val="0"/>
              <w:ind w:firstLine="0"/>
              <w:jc w:val="center"/>
              <w:rPr>
                <w:rFonts w:eastAsia="Times New Roman" w:cs="Times New Roman"/>
                <w:color w:val="000000"/>
                <w:sz w:val="24"/>
                <w:szCs w:val="24"/>
                <w:lang w:eastAsia="ru-RU"/>
              </w:rPr>
            </w:pPr>
            <w:r w:rsidRPr="00242020">
              <w:rPr>
                <w:rFonts w:eastAsia="Times New Roman" w:cs="Times New Roman"/>
                <w:color w:val="000000"/>
                <w:sz w:val="24"/>
                <w:szCs w:val="24"/>
                <w:lang w:eastAsia="ru-RU"/>
              </w:rPr>
              <w:t>1</w:t>
            </w: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5F2598" w:rsidRPr="00242020" w:rsidRDefault="005F2598" w:rsidP="005F2598">
            <w:pPr>
              <w:adjustRightInd w:val="0"/>
              <w:ind w:firstLine="0"/>
              <w:jc w:val="both"/>
              <w:rPr>
                <w:rFonts w:eastAsia="Times New Roman" w:cs="Times New Roman"/>
                <w:color w:val="000000"/>
                <w:sz w:val="24"/>
                <w:szCs w:val="24"/>
                <w:lang w:eastAsia="ru-RU"/>
              </w:rPr>
            </w:pPr>
            <w:r w:rsidRPr="00242020">
              <w:rPr>
                <w:rFonts w:eastAsia="Times New Roman" w:cs="Times New Roman"/>
                <w:color w:val="000000"/>
                <w:sz w:val="24"/>
                <w:szCs w:val="24"/>
                <w:lang w:eastAsia="ru-RU"/>
              </w:rPr>
              <w:t xml:space="preserve">Вінницькій </w:t>
            </w:r>
          </w:p>
        </w:tc>
        <w:tc>
          <w:tcPr>
            <w:tcW w:w="2135" w:type="dxa"/>
            <w:tcBorders>
              <w:top w:val="single" w:sz="6" w:space="0" w:color="auto"/>
              <w:left w:val="single" w:sz="6" w:space="0" w:color="auto"/>
              <w:bottom w:val="single" w:sz="6" w:space="0" w:color="auto"/>
              <w:right w:val="single" w:sz="6" w:space="0" w:color="auto"/>
            </w:tcBorders>
            <w:shd w:val="solid" w:color="FFFFFF" w:fill="auto"/>
          </w:tcPr>
          <w:p w:rsidR="005F2598" w:rsidRPr="00242020" w:rsidRDefault="005F2598"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10,2</w:t>
            </w: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5F2598" w:rsidRPr="00242020" w:rsidRDefault="005F2598"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15,067</w:t>
            </w:r>
          </w:p>
        </w:tc>
        <w:tc>
          <w:tcPr>
            <w:tcW w:w="1587" w:type="dxa"/>
            <w:tcBorders>
              <w:top w:val="single" w:sz="6" w:space="0" w:color="auto"/>
              <w:left w:val="single" w:sz="6" w:space="0" w:color="auto"/>
              <w:bottom w:val="single" w:sz="6" w:space="0" w:color="auto"/>
              <w:right w:val="single" w:sz="6" w:space="0" w:color="auto"/>
            </w:tcBorders>
            <w:vAlign w:val="center"/>
          </w:tcPr>
          <w:p w:rsidR="005F2598" w:rsidRPr="00242020" w:rsidRDefault="005F2598"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147,7</w:t>
            </w:r>
          </w:p>
        </w:tc>
      </w:tr>
      <w:tr w:rsidR="005F2598" w:rsidRPr="00242020" w:rsidTr="00CF5745">
        <w:trPr>
          <w:trHeight w:val="243"/>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5F2598" w:rsidRPr="00242020" w:rsidRDefault="005F2598" w:rsidP="005F2598">
            <w:pPr>
              <w:adjustRightInd w:val="0"/>
              <w:ind w:firstLine="0"/>
              <w:jc w:val="center"/>
              <w:rPr>
                <w:rFonts w:eastAsia="Times New Roman" w:cs="Times New Roman"/>
                <w:color w:val="000000"/>
                <w:sz w:val="24"/>
                <w:szCs w:val="24"/>
                <w:lang w:eastAsia="ru-RU"/>
              </w:rPr>
            </w:pPr>
            <w:r w:rsidRPr="00242020">
              <w:rPr>
                <w:rFonts w:eastAsia="Times New Roman" w:cs="Times New Roman"/>
                <w:color w:val="000000"/>
                <w:sz w:val="24"/>
                <w:szCs w:val="24"/>
                <w:lang w:eastAsia="ru-RU"/>
              </w:rPr>
              <w:t>2</w:t>
            </w: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5F2598" w:rsidRPr="00242020" w:rsidRDefault="005F2598" w:rsidP="005F2598">
            <w:pPr>
              <w:adjustRightInd w:val="0"/>
              <w:ind w:firstLine="0"/>
              <w:jc w:val="both"/>
              <w:rPr>
                <w:rFonts w:eastAsia="Times New Roman" w:cs="Times New Roman"/>
                <w:color w:val="000000"/>
                <w:sz w:val="24"/>
                <w:szCs w:val="24"/>
                <w:lang w:eastAsia="ru-RU"/>
              </w:rPr>
            </w:pPr>
            <w:r w:rsidRPr="00242020">
              <w:rPr>
                <w:rFonts w:eastAsia="Times New Roman" w:cs="Times New Roman"/>
                <w:color w:val="000000"/>
                <w:sz w:val="24"/>
                <w:szCs w:val="24"/>
                <w:lang w:eastAsia="ru-RU"/>
              </w:rPr>
              <w:t>Волинській</w:t>
            </w:r>
          </w:p>
        </w:tc>
        <w:tc>
          <w:tcPr>
            <w:tcW w:w="2135" w:type="dxa"/>
            <w:tcBorders>
              <w:top w:val="single" w:sz="6" w:space="0" w:color="auto"/>
              <w:left w:val="single" w:sz="6" w:space="0" w:color="auto"/>
              <w:bottom w:val="single" w:sz="6" w:space="0" w:color="auto"/>
              <w:right w:val="single" w:sz="6" w:space="0" w:color="auto"/>
            </w:tcBorders>
            <w:shd w:val="solid" w:color="FFFFFF" w:fill="auto"/>
          </w:tcPr>
          <w:p w:rsidR="005F2598" w:rsidRPr="00242020" w:rsidRDefault="005F2598"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4,0</w:t>
            </w: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5F2598" w:rsidRPr="00242020" w:rsidRDefault="005F2598"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5,948</w:t>
            </w:r>
          </w:p>
        </w:tc>
        <w:tc>
          <w:tcPr>
            <w:tcW w:w="1587" w:type="dxa"/>
            <w:tcBorders>
              <w:top w:val="single" w:sz="6" w:space="0" w:color="auto"/>
              <w:left w:val="single" w:sz="6" w:space="0" w:color="auto"/>
              <w:bottom w:val="single" w:sz="6" w:space="0" w:color="auto"/>
              <w:right w:val="single" w:sz="6" w:space="0" w:color="auto"/>
            </w:tcBorders>
            <w:vAlign w:val="center"/>
          </w:tcPr>
          <w:p w:rsidR="005F2598" w:rsidRPr="00242020" w:rsidRDefault="005F2598"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148,7</w:t>
            </w:r>
          </w:p>
        </w:tc>
      </w:tr>
      <w:tr w:rsidR="005F2598" w:rsidRPr="00242020" w:rsidTr="00CF5745">
        <w:trPr>
          <w:trHeight w:val="246"/>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5F2598" w:rsidRPr="00242020" w:rsidRDefault="005F2598" w:rsidP="005F2598">
            <w:pPr>
              <w:adjustRightInd w:val="0"/>
              <w:ind w:firstLine="0"/>
              <w:jc w:val="center"/>
              <w:rPr>
                <w:rFonts w:eastAsia="Times New Roman" w:cs="Times New Roman"/>
                <w:color w:val="000000"/>
                <w:sz w:val="24"/>
                <w:szCs w:val="24"/>
                <w:lang w:eastAsia="ru-RU"/>
              </w:rPr>
            </w:pPr>
            <w:r w:rsidRPr="00242020">
              <w:rPr>
                <w:rFonts w:eastAsia="Times New Roman" w:cs="Times New Roman"/>
                <w:color w:val="000000"/>
                <w:sz w:val="24"/>
                <w:szCs w:val="24"/>
                <w:lang w:eastAsia="ru-RU"/>
              </w:rPr>
              <w:t>3</w:t>
            </w: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5F2598" w:rsidRPr="00242020" w:rsidRDefault="005F2598" w:rsidP="005F2598">
            <w:pPr>
              <w:adjustRightInd w:val="0"/>
              <w:ind w:firstLine="0"/>
              <w:jc w:val="both"/>
              <w:rPr>
                <w:rFonts w:eastAsia="Times New Roman" w:cs="Times New Roman"/>
                <w:color w:val="000000"/>
                <w:sz w:val="24"/>
                <w:szCs w:val="24"/>
                <w:lang w:eastAsia="ru-RU"/>
              </w:rPr>
            </w:pPr>
            <w:r w:rsidRPr="00242020">
              <w:rPr>
                <w:rFonts w:eastAsia="Times New Roman" w:cs="Times New Roman"/>
                <w:color w:val="000000"/>
                <w:sz w:val="24"/>
                <w:szCs w:val="24"/>
                <w:lang w:eastAsia="ru-RU"/>
              </w:rPr>
              <w:t>Дніпропетровській</w:t>
            </w:r>
          </w:p>
        </w:tc>
        <w:tc>
          <w:tcPr>
            <w:tcW w:w="2135" w:type="dxa"/>
            <w:tcBorders>
              <w:top w:val="single" w:sz="6" w:space="0" w:color="auto"/>
              <w:left w:val="single" w:sz="6" w:space="0" w:color="auto"/>
              <w:bottom w:val="single" w:sz="6" w:space="0" w:color="auto"/>
              <w:right w:val="single" w:sz="6" w:space="0" w:color="auto"/>
            </w:tcBorders>
            <w:shd w:val="solid" w:color="FFFFFF" w:fill="auto"/>
          </w:tcPr>
          <w:p w:rsidR="005F2598" w:rsidRPr="00242020" w:rsidRDefault="005F2598"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26,0</w:t>
            </w: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5F2598" w:rsidRPr="00242020" w:rsidRDefault="005F2598"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44,737</w:t>
            </w:r>
          </w:p>
        </w:tc>
        <w:tc>
          <w:tcPr>
            <w:tcW w:w="1587" w:type="dxa"/>
            <w:tcBorders>
              <w:top w:val="single" w:sz="6" w:space="0" w:color="auto"/>
              <w:left w:val="single" w:sz="6" w:space="0" w:color="auto"/>
              <w:bottom w:val="single" w:sz="6" w:space="0" w:color="auto"/>
              <w:right w:val="single" w:sz="6" w:space="0" w:color="auto"/>
            </w:tcBorders>
            <w:vAlign w:val="center"/>
          </w:tcPr>
          <w:p w:rsidR="005F2598" w:rsidRPr="00242020" w:rsidRDefault="005F2598"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172,1</w:t>
            </w:r>
          </w:p>
        </w:tc>
      </w:tr>
      <w:tr w:rsidR="00E161FD" w:rsidRPr="00242020" w:rsidTr="00CF5745">
        <w:trPr>
          <w:trHeight w:val="243"/>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2769BF">
            <w:pPr>
              <w:adjustRightInd w:val="0"/>
              <w:ind w:firstLine="0"/>
              <w:jc w:val="center"/>
              <w:rPr>
                <w:rFonts w:eastAsia="Times New Roman" w:cs="Times New Roman"/>
                <w:color w:val="000000"/>
                <w:sz w:val="22"/>
                <w:lang w:eastAsia="ru-RU"/>
              </w:rPr>
            </w:pPr>
            <w:r w:rsidRPr="00242020">
              <w:rPr>
                <w:rFonts w:eastAsia="Times New Roman" w:cs="Times New Roman"/>
                <w:color w:val="000000"/>
                <w:sz w:val="22"/>
                <w:lang w:eastAsia="ru-RU"/>
              </w:rPr>
              <w:lastRenderedPageBreak/>
              <w:t>1</w:t>
            </w: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2769BF">
            <w:pPr>
              <w:adjustRightInd w:val="0"/>
              <w:ind w:firstLine="0"/>
              <w:jc w:val="center"/>
              <w:rPr>
                <w:rFonts w:eastAsia="Times New Roman" w:cs="Times New Roman"/>
                <w:color w:val="000000"/>
                <w:sz w:val="22"/>
                <w:lang w:eastAsia="ru-RU"/>
              </w:rPr>
            </w:pPr>
            <w:r w:rsidRPr="00242020">
              <w:rPr>
                <w:rFonts w:eastAsia="Times New Roman" w:cs="Times New Roman"/>
                <w:color w:val="000000"/>
                <w:sz w:val="22"/>
                <w:lang w:eastAsia="ru-RU"/>
              </w:rPr>
              <w:t>2</w:t>
            </w:r>
          </w:p>
        </w:tc>
        <w:tc>
          <w:tcPr>
            <w:tcW w:w="2135"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2769BF">
            <w:pPr>
              <w:widowControl/>
              <w:ind w:firstLine="0"/>
              <w:jc w:val="center"/>
              <w:rPr>
                <w:rFonts w:eastAsia="Times New Roman" w:cs="Times New Roman"/>
                <w:sz w:val="22"/>
                <w:lang w:eastAsia="ru-RU"/>
              </w:rPr>
            </w:pPr>
            <w:r w:rsidRPr="00242020">
              <w:rPr>
                <w:rFonts w:eastAsia="Times New Roman" w:cs="Times New Roman"/>
                <w:sz w:val="22"/>
                <w:lang w:eastAsia="ru-RU"/>
              </w:rPr>
              <w:t>3</w:t>
            </w: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E161FD" w:rsidRPr="00242020" w:rsidRDefault="00E161FD" w:rsidP="002769BF">
            <w:pPr>
              <w:widowControl/>
              <w:ind w:firstLine="0"/>
              <w:jc w:val="center"/>
              <w:rPr>
                <w:rFonts w:eastAsia="Times New Roman" w:cs="Times New Roman"/>
                <w:sz w:val="22"/>
                <w:lang w:eastAsia="ru-RU"/>
              </w:rPr>
            </w:pPr>
            <w:r w:rsidRPr="00242020">
              <w:rPr>
                <w:rFonts w:eastAsia="Times New Roman" w:cs="Times New Roman"/>
                <w:sz w:val="22"/>
                <w:lang w:eastAsia="ru-RU"/>
              </w:rPr>
              <w:t>4</w:t>
            </w:r>
          </w:p>
        </w:tc>
        <w:tc>
          <w:tcPr>
            <w:tcW w:w="1587" w:type="dxa"/>
            <w:tcBorders>
              <w:top w:val="single" w:sz="6" w:space="0" w:color="auto"/>
              <w:left w:val="single" w:sz="6" w:space="0" w:color="auto"/>
              <w:bottom w:val="single" w:sz="6" w:space="0" w:color="auto"/>
              <w:right w:val="single" w:sz="6" w:space="0" w:color="auto"/>
            </w:tcBorders>
            <w:vAlign w:val="center"/>
          </w:tcPr>
          <w:p w:rsidR="00E161FD" w:rsidRPr="00242020" w:rsidRDefault="00E161FD" w:rsidP="002769BF">
            <w:pPr>
              <w:widowControl/>
              <w:ind w:firstLine="0"/>
              <w:jc w:val="center"/>
              <w:rPr>
                <w:rFonts w:eastAsia="Times New Roman" w:cs="Times New Roman"/>
                <w:sz w:val="22"/>
                <w:lang w:eastAsia="ru-RU"/>
              </w:rPr>
            </w:pPr>
            <w:r w:rsidRPr="00242020">
              <w:rPr>
                <w:rFonts w:eastAsia="Times New Roman" w:cs="Times New Roman"/>
                <w:sz w:val="22"/>
                <w:lang w:eastAsia="ru-RU"/>
              </w:rPr>
              <w:t>5</w:t>
            </w:r>
          </w:p>
        </w:tc>
      </w:tr>
      <w:tr w:rsidR="00E161FD" w:rsidRPr="00242020" w:rsidTr="00CF5745">
        <w:trPr>
          <w:trHeight w:val="243"/>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5F2598">
            <w:pPr>
              <w:adjustRightInd w:val="0"/>
              <w:ind w:firstLine="0"/>
              <w:jc w:val="center"/>
              <w:rPr>
                <w:rFonts w:eastAsia="Times New Roman" w:cs="Times New Roman"/>
                <w:color w:val="000000"/>
                <w:sz w:val="24"/>
                <w:szCs w:val="24"/>
                <w:lang w:eastAsia="ru-RU"/>
              </w:rPr>
            </w:pPr>
            <w:r w:rsidRPr="00242020">
              <w:rPr>
                <w:rFonts w:eastAsia="Times New Roman" w:cs="Times New Roman"/>
                <w:color w:val="000000"/>
                <w:sz w:val="24"/>
                <w:szCs w:val="24"/>
                <w:lang w:eastAsia="ru-RU"/>
              </w:rPr>
              <w:t>4</w:t>
            </w: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5F2598">
            <w:pPr>
              <w:adjustRightInd w:val="0"/>
              <w:ind w:firstLine="0"/>
              <w:jc w:val="both"/>
              <w:rPr>
                <w:rFonts w:eastAsia="Times New Roman" w:cs="Times New Roman"/>
                <w:color w:val="000000"/>
                <w:sz w:val="24"/>
                <w:szCs w:val="24"/>
                <w:lang w:eastAsia="ru-RU"/>
              </w:rPr>
            </w:pPr>
            <w:r w:rsidRPr="00242020">
              <w:rPr>
                <w:rFonts w:eastAsia="Times New Roman" w:cs="Times New Roman"/>
                <w:color w:val="000000"/>
                <w:sz w:val="24"/>
                <w:szCs w:val="24"/>
                <w:lang w:eastAsia="ru-RU"/>
              </w:rPr>
              <w:t>Донецькій</w:t>
            </w:r>
          </w:p>
        </w:tc>
        <w:tc>
          <w:tcPr>
            <w:tcW w:w="2135"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5F2598">
            <w:pPr>
              <w:widowControl/>
              <w:ind w:firstLine="0"/>
              <w:jc w:val="center"/>
              <w:rPr>
                <w:rFonts w:eastAsia="Times New Roman" w:cs="Times New Roman"/>
                <w:sz w:val="24"/>
                <w:szCs w:val="24"/>
                <w:lang w:eastAsia="ru-RU"/>
              </w:rPr>
            </w:pP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E161FD" w:rsidRPr="00242020" w:rsidRDefault="00E161FD"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55,091</w:t>
            </w:r>
          </w:p>
        </w:tc>
        <w:tc>
          <w:tcPr>
            <w:tcW w:w="1587" w:type="dxa"/>
            <w:tcBorders>
              <w:top w:val="single" w:sz="6" w:space="0" w:color="auto"/>
              <w:left w:val="single" w:sz="6" w:space="0" w:color="auto"/>
              <w:bottom w:val="single" w:sz="6" w:space="0" w:color="auto"/>
              <w:right w:val="single" w:sz="6" w:space="0" w:color="auto"/>
            </w:tcBorders>
            <w:vAlign w:val="center"/>
          </w:tcPr>
          <w:p w:rsidR="00E161FD" w:rsidRPr="00242020" w:rsidRDefault="00E161FD" w:rsidP="005F2598">
            <w:pPr>
              <w:widowControl/>
              <w:ind w:firstLine="0"/>
              <w:jc w:val="center"/>
              <w:rPr>
                <w:rFonts w:eastAsia="Times New Roman" w:cs="Times New Roman"/>
                <w:sz w:val="24"/>
                <w:szCs w:val="24"/>
                <w:lang w:eastAsia="ru-RU"/>
              </w:rPr>
            </w:pPr>
            <w:r w:rsidRPr="00242020">
              <w:rPr>
                <w:rFonts w:eastAsia="Times New Roman" w:cs="Times New Roman"/>
                <w:sz w:val="24"/>
                <w:vertAlign w:val="superscript"/>
                <w:lang w:eastAsia="ru-RU"/>
              </w:rPr>
              <w:footnoteReference w:customMarkFollows="1" w:id="5"/>
              <w:t>**</w:t>
            </w:r>
          </w:p>
        </w:tc>
      </w:tr>
      <w:tr w:rsidR="00E161FD" w:rsidRPr="00242020" w:rsidTr="00CF5745">
        <w:trPr>
          <w:trHeight w:val="274"/>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5F2598">
            <w:pPr>
              <w:adjustRightInd w:val="0"/>
              <w:ind w:firstLine="0"/>
              <w:jc w:val="center"/>
              <w:rPr>
                <w:rFonts w:eastAsia="Times New Roman" w:cs="Times New Roman"/>
                <w:color w:val="000000"/>
                <w:sz w:val="24"/>
                <w:szCs w:val="24"/>
                <w:lang w:eastAsia="ru-RU"/>
              </w:rPr>
            </w:pPr>
            <w:r w:rsidRPr="00242020">
              <w:rPr>
                <w:rFonts w:eastAsia="Times New Roman" w:cs="Times New Roman"/>
                <w:color w:val="000000"/>
                <w:sz w:val="24"/>
                <w:szCs w:val="24"/>
                <w:lang w:eastAsia="ru-RU"/>
              </w:rPr>
              <w:t>5</w:t>
            </w: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5F2598">
            <w:pPr>
              <w:adjustRightInd w:val="0"/>
              <w:ind w:firstLine="0"/>
              <w:jc w:val="both"/>
              <w:rPr>
                <w:rFonts w:eastAsia="Times New Roman" w:cs="Times New Roman"/>
                <w:color w:val="000000"/>
                <w:sz w:val="24"/>
                <w:szCs w:val="24"/>
                <w:lang w:eastAsia="ru-RU"/>
              </w:rPr>
            </w:pPr>
            <w:r w:rsidRPr="00242020">
              <w:rPr>
                <w:rFonts w:eastAsia="Times New Roman" w:cs="Times New Roman"/>
                <w:color w:val="000000"/>
                <w:sz w:val="24"/>
                <w:szCs w:val="24"/>
                <w:lang w:eastAsia="ru-RU"/>
              </w:rPr>
              <w:t>Житомирській</w:t>
            </w:r>
          </w:p>
        </w:tc>
        <w:tc>
          <w:tcPr>
            <w:tcW w:w="2135"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5,9</w:t>
            </w: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E161FD" w:rsidRPr="00242020" w:rsidRDefault="00E161FD"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7,760</w:t>
            </w:r>
          </w:p>
        </w:tc>
        <w:tc>
          <w:tcPr>
            <w:tcW w:w="1587" w:type="dxa"/>
            <w:tcBorders>
              <w:top w:val="single" w:sz="6" w:space="0" w:color="auto"/>
              <w:left w:val="single" w:sz="6" w:space="0" w:color="auto"/>
              <w:bottom w:val="single" w:sz="6" w:space="0" w:color="auto"/>
              <w:right w:val="single" w:sz="6" w:space="0" w:color="auto"/>
            </w:tcBorders>
            <w:vAlign w:val="center"/>
          </w:tcPr>
          <w:p w:rsidR="00E161FD" w:rsidRPr="00242020" w:rsidRDefault="00E161FD"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131,5</w:t>
            </w:r>
          </w:p>
        </w:tc>
      </w:tr>
      <w:tr w:rsidR="00E161FD" w:rsidRPr="00242020" w:rsidTr="00CF5745">
        <w:trPr>
          <w:trHeight w:val="270"/>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5F2598">
            <w:pPr>
              <w:adjustRightInd w:val="0"/>
              <w:ind w:firstLine="0"/>
              <w:jc w:val="center"/>
              <w:rPr>
                <w:rFonts w:eastAsia="Times New Roman" w:cs="Times New Roman"/>
                <w:color w:val="000000"/>
                <w:sz w:val="24"/>
                <w:szCs w:val="24"/>
                <w:lang w:eastAsia="ru-RU"/>
              </w:rPr>
            </w:pPr>
            <w:r w:rsidRPr="00242020">
              <w:rPr>
                <w:rFonts w:eastAsia="Times New Roman" w:cs="Times New Roman"/>
                <w:color w:val="000000"/>
                <w:sz w:val="24"/>
                <w:szCs w:val="24"/>
                <w:lang w:eastAsia="ru-RU"/>
              </w:rPr>
              <w:t>6</w:t>
            </w: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5F2598">
            <w:pPr>
              <w:adjustRightInd w:val="0"/>
              <w:ind w:firstLine="0"/>
              <w:jc w:val="both"/>
              <w:rPr>
                <w:rFonts w:eastAsia="Times New Roman" w:cs="Times New Roman"/>
                <w:color w:val="000000"/>
                <w:sz w:val="24"/>
                <w:szCs w:val="24"/>
                <w:lang w:eastAsia="ru-RU"/>
              </w:rPr>
            </w:pPr>
            <w:r w:rsidRPr="00242020">
              <w:rPr>
                <w:rFonts w:eastAsia="Times New Roman" w:cs="Times New Roman"/>
                <w:color w:val="000000"/>
                <w:sz w:val="24"/>
                <w:szCs w:val="24"/>
                <w:lang w:eastAsia="ru-RU"/>
              </w:rPr>
              <w:t>Закарпатській</w:t>
            </w:r>
          </w:p>
        </w:tc>
        <w:tc>
          <w:tcPr>
            <w:tcW w:w="2135"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4,8</w:t>
            </w: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E161FD" w:rsidRPr="00242020" w:rsidRDefault="00E161FD"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6,595</w:t>
            </w:r>
          </w:p>
        </w:tc>
        <w:tc>
          <w:tcPr>
            <w:tcW w:w="1587" w:type="dxa"/>
            <w:tcBorders>
              <w:top w:val="single" w:sz="6" w:space="0" w:color="auto"/>
              <w:left w:val="single" w:sz="6" w:space="0" w:color="auto"/>
              <w:bottom w:val="single" w:sz="6" w:space="0" w:color="auto"/>
              <w:right w:val="single" w:sz="6" w:space="0" w:color="auto"/>
            </w:tcBorders>
            <w:vAlign w:val="center"/>
          </w:tcPr>
          <w:p w:rsidR="00E161FD" w:rsidRPr="00242020" w:rsidRDefault="00E161FD"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137,4</w:t>
            </w:r>
          </w:p>
        </w:tc>
      </w:tr>
      <w:tr w:rsidR="00E161FD" w:rsidRPr="00242020" w:rsidTr="00CF5745">
        <w:trPr>
          <w:trHeight w:val="243"/>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5F2598">
            <w:pPr>
              <w:adjustRightInd w:val="0"/>
              <w:spacing w:line="178" w:lineRule="atLeast"/>
              <w:ind w:firstLine="0"/>
              <w:jc w:val="center"/>
              <w:rPr>
                <w:rFonts w:eastAsia="Times New Roman" w:cs="Times New Roman"/>
                <w:color w:val="000000"/>
                <w:sz w:val="24"/>
                <w:szCs w:val="24"/>
                <w:lang w:eastAsia="ru-RU"/>
              </w:rPr>
            </w:pPr>
            <w:r w:rsidRPr="00242020">
              <w:rPr>
                <w:rFonts w:eastAsia="Times New Roman" w:cs="Times New Roman"/>
                <w:color w:val="000000"/>
                <w:sz w:val="24"/>
                <w:szCs w:val="24"/>
                <w:lang w:eastAsia="ru-RU"/>
              </w:rPr>
              <w:t>7</w:t>
            </w: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5F2598">
            <w:pPr>
              <w:adjustRightInd w:val="0"/>
              <w:ind w:firstLine="0"/>
              <w:jc w:val="both"/>
              <w:rPr>
                <w:rFonts w:eastAsia="Times New Roman" w:cs="Times New Roman"/>
                <w:color w:val="000000"/>
                <w:sz w:val="24"/>
                <w:szCs w:val="24"/>
                <w:lang w:eastAsia="ru-RU"/>
              </w:rPr>
            </w:pPr>
            <w:r w:rsidRPr="00242020">
              <w:rPr>
                <w:rFonts w:eastAsia="Times New Roman" w:cs="Times New Roman"/>
                <w:color w:val="000000"/>
                <w:sz w:val="24"/>
                <w:szCs w:val="24"/>
                <w:lang w:eastAsia="ru-RU"/>
              </w:rPr>
              <w:t>Запорізькій</w:t>
            </w:r>
          </w:p>
        </w:tc>
        <w:tc>
          <w:tcPr>
            <w:tcW w:w="2135"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10,8</w:t>
            </w: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E161FD" w:rsidRPr="00242020" w:rsidRDefault="00E161FD"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14,243</w:t>
            </w:r>
          </w:p>
        </w:tc>
        <w:tc>
          <w:tcPr>
            <w:tcW w:w="1587" w:type="dxa"/>
            <w:tcBorders>
              <w:top w:val="single" w:sz="6" w:space="0" w:color="auto"/>
              <w:left w:val="single" w:sz="6" w:space="0" w:color="auto"/>
              <w:bottom w:val="single" w:sz="6" w:space="0" w:color="auto"/>
              <w:right w:val="single" w:sz="6" w:space="0" w:color="auto"/>
            </w:tcBorders>
            <w:vAlign w:val="center"/>
          </w:tcPr>
          <w:p w:rsidR="00E161FD" w:rsidRPr="00242020" w:rsidRDefault="00E161FD"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131,9</w:t>
            </w:r>
          </w:p>
        </w:tc>
      </w:tr>
      <w:tr w:rsidR="00E161FD" w:rsidRPr="00242020" w:rsidTr="00CF5745">
        <w:trPr>
          <w:trHeight w:val="142"/>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5F2598">
            <w:pPr>
              <w:adjustRightInd w:val="0"/>
              <w:spacing w:line="178" w:lineRule="atLeast"/>
              <w:ind w:firstLine="0"/>
              <w:jc w:val="center"/>
              <w:rPr>
                <w:rFonts w:eastAsia="Times New Roman" w:cs="Times New Roman"/>
                <w:color w:val="000000"/>
                <w:sz w:val="24"/>
                <w:szCs w:val="24"/>
                <w:lang w:eastAsia="ru-RU"/>
              </w:rPr>
            </w:pPr>
            <w:r w:rsidRPr="00242020">
              <w:rPr>
                <w:rFonts w:eastAsia="Times New Roman" w:cs="Times New Roman"/>
                <w:color w:val="000000"/>
                <w:sz w:val="24"/>
                <w:szCs w:val="24"/>
                <w:lang w:eastAsia="ru-RU"/>
              </w:rPr>
              <w:t>8</w:t>
            </w: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5F2598">
            <w:pPr>
              <w:adjustRightInd w:val="0"/>
              <w:spacing w:line="178" w:lineRule="atLeast"/>
              <w:ind w:firstLine="0"/>
              <w:jc w:val="both"/>
              <w:rPr>
                <w:rFonts w:eastAsia="Times New Roman" w:cs="Times New Roman"/>
                <w:color w:val="000000"/>
                <w:sz w:val="24"/>
                <w:szCs w:val="24"/>
                <w:lang w:eastAsia="ru-RU"/>
              </w:rPr>
            </w:pPr>
            <w:r w:rsidRPr="00242020">
              <w:rPr>
                <w:rFonts w:eastAsia="Times New Roman" w:cs="Times New Roman"/>
                <w:color w:val="000000"/>
                <w:sz w:val="24"/>
                <w:szCs w:val="24"/>
                <w:lang w:eastAsia="ru-RU"/>
              </w:rPr>
              <w:t>Івано-Франківській</w:t>
            </w:r>
          </w:p>
        </w:tc>
        <w:tc>
          <w:tcPr>
            <w:tcW w:w="2135"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7,0</w:t>
            </w: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E161FD" w:rsidRPr="00242020" w:rsidRDefault="00E161FD"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11,233</w:t>
            </w:r>
          </w:p>
        </w:tc>
        <w:tc>
          <w:tcPr>
            <w:tcW w:w="1587" w:type="dxa"/>
            <w:tcBorders>
              <w:top w:val="single" w:sz="6" w:space="0" w:color="auto"/>
              <w:left w:val="single" w:sz="6" w:space="0" w:color="auto"/>
              <w:bottom w:val="single" w:sz="6" w:space="0" w:color="auto"/>
              <w:right w:val="single" w:sz="6" w:space="0" w:color="auto"/>
            </w:tcBorders>
            <w:vAlign w:val="center"/>
          </w:tcPr>
          <w:p w:rsidR="00E161FD" w:rsidRPr="00242020" w:rsidRDefault="00E161FD"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160,5</w:t>
            </w:r>
          </w:p>
        </w:tc>
      </w:tr>
      <w:tr w:rsidR="00E161FD" w:rsidRPr="00242020" w:rsidTr="00CF5745">
        <w:trPr>
          <w:trHeight w:val="243"/>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5F2598">
            <w:pPr>
              <w:adjustRightInd w:val="0"/>
              <w:ind w:firstLine="0"/>
              <w:jc w:val="center"/>
              <w:rPr>
                <w:rFonts w:eastAsia="Times New Roman" w:cs="Times New Roman"/>
                <w:color w:val="000000"/>
                <w:sz w:val="24"/>
                <w:szCs w:val="24"/>
                <w:lang w:eastAsia="ru-RU"/>
              </w:rPr>
            </w:pPr>
            <w:r w:rsidRPr="00242020">
              <w:rPr>
                <w:rFonts w:eastAsia="Times New Roman" w:cs="Times New Roman"/>
                <w:color w:val="000000"/>
                <w:sz w:val="24"/>
                <w:szCs w:val="24"/>
                <w:lang w:eastAsia="ru-RU"/>
              </w:rPr>
              <w:t>9</w:t>
            </w: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5F2598">
            <w:pPr>
              <w:adjustRightInd w:val="0"/>
              <w:ind w:firstLine="0"/>
              <w:jc w:val="both"/>
              <w:rPr>
                <w:rFonts w:eastAsia="Times New Roman" w:cs="Times New Roman"/>
                <w:color w:val="000000"/>
                <w:sz w:val="24"/>
                <w:szCs w:val="24"/>
                <w:lang w:eastAsia="ru-RU"/>
              </w:rPr>
            </w:pPr>
            <w:r w:rsidRPr="00242020">
              <w:rPr>
                <w:rFonts w:eastAsia="Times New Roman" w:cs="Times New Roman"/>
                <w:color w:val="000000"/>
                <w:sz w:val="24"/>
                <w:szCs w:val="24"/>
                <w:lang w:eastAsia="ru-RU"/>
              </w:rPr>
              <w:t>м. Києву</w:t>
            </w:r>
          </w:p>
        </w:tc>
        <w:tc>
          <w:tcPr>
            <w:tcW w:w="2135" w:type="dxa"/>
            <w:tcBorders>
              <w:top w:val="single" w:sz="6" w:space="0" w:color="auto"/>
              <w:left w:val="single" w:sz="6" w:space="0" w:color="auto"/>
              <w:bottom w:val="single" w:sz="6" w:space="0" w:color="auto"/>
              <w:right w:val="single" w:sz="6" w:space="0" w:color="auto"/>
            </w:tcBorders>
            <w:shd w:val="solid" w:color="FFFFFF" w:fill="auto"/>
            <w:vAlign w:val="center"/>
          </w:tcPr>
          <w:p w:rsidR="00E161FD" w:rsidRPr="00242020" w:rsidRDefault="00E161FD"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161,0</w:t>
            </w: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E161FD" w:rsidRPr="00242020" w:rsidRDefault="00E161FD"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193,556</w:t>
            </w:r>
          </w:p>
        </w:tc>
        <w:tc>
          <w:tcPr>
            <w:tcW w:w="1587" w:type="dxa"/>
            <w:tcBorders>
              <w:top w:val="single" w:sz="6" w:space="0" w:color="auto"/>
              <w:left w:val="single" w:sz="6" w:space="0" w:color="auto"/>
              <w:bottom w:val="single" w:sz="6" w:space="0" w:color="auto"/>
              <w:right w:val="single" w:sz="6" w:space="0" w:color="auto"/>
            </w:tcBorders>
            <w:vAlign w:val="center"/>
          </w:tcPr>
          <w:p w:rsidR="00E161FD" w:rsidRPr="00242020" w:rsidRDefault="00E161FD"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120,2</w:t>
            </w:r>
          </w:p>
        </w:tc>
      </w:tr>
      <w:tr w:rsidR="00E161FD" w:rsidRPr="00242020" w:rsidTr="00CF5745">
        <w:trPr>
          <w:trHeight w:val="243"/>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5F2598">
            <w:pPr>
              <w:adjustRightInd w:val="0"/>
              <w:ind w:firstLine="0"/>
              <w:jc w:val="center"/>
              <w:rPr>
                <w:rFonts w:eastAsia="Times New Roman" w:cs="Times New Roman"/>
                <w:color w:val="000000"/>
                <w:sz w:val="24"/>
                <w:szCs w:val="24"/>
                <w:lang w:eastAsia="ru-RU"/>
              </w:rPr>
            </w:pPr>
            <w:r w:rsidRPr="00242020">
              <w:rPr>
                <w:rFonts w:eastAsia="Times New Roman" w:cs="Times New Roman"/>
                <w:color w:val="000000"/>
                <w:sz w:val="24"/>
                <w:szCs w:val="24"/>
                <w:lang w:eastAsia="ru-RU"/>
              </w:rPr>
              <w:t>10</w:t>
            </w: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5F2598">
            <w:pPr>
              <w:adjustRightInd w:val="0"/>
              <w:ind w:firstLine="0"/>
              <w:jc w:val="both"/>
              <w:rPr>
                <w:rFonts w:eastAsia="Times New Roman" w:cs="Times New Roman"/>
                <w:color w:val="000000"/>
                <w:sz w:val="24"/>
                <w:szCs w:val="24"/>
                <w:lang w:eastAsia="ru-RU"/>
              </w:rPr>
            </w:pPr>
            <w:r w:rsidRPr="00242020">
              <w:rPr>
                <w:rFonts w:eastAsia="Times New Roman" w:cs="Times New Roman"/>
                <w:color w:val="000000"/>
                <w:sz w:val="24"/>
                <w:szCs w:val="24"/>
                <w:lang w:eastAsia="ru-RU"/>
              </w:rPr>
              <w:t>Київській</w:t>
            </w:r>
          </w:p>
        </w:tc>
        <w:tc>
          <w:tcPr>
            <w:tcW w:w="2135" w:type="dxa"/>
            <w:tcBorders>
              <w:top w:val="single" w:sz="6" w:space="0" w:color="auto"/>
              <w:left w:val="single" w:sz="6" w:space="0" w:color="auto"/>
              <w:bottom w:val="single" w:sz="6" w:space="0" w:color="auto"/>
              <w:right w:val="single" w:sz="6" w:space="0" w:color="auto"/>
            </w:tcBorders>
            <w:shd w:val="solid" w:color="FFFFFF" w:fill="auto"/>
            <w:vAlign w:val="center"/>
          </w:tcPr>
          <w:p w:rsidR="00E161FD" w:rsidRPr="00242020" w:rsidRDefault="00E161FD" w:rsidP="005F2598">
            <w:pPr>
              <w:widowControl/>
              <w:ind w:firstLine="0"/>
              <w:jc w:val="center"/>
              <w:rPr>
                <w:rFonts w:eastAsia="Times New Roman" w:cs="Times New Roman"/>
                <w:sz w:val="24"/>
                <w:szCs w:val="24"/>
                <w:lang w:eastAsia="ru-RU"/>
              </w:rPr>
            </w:pPr>
            <w:r w:rsidRPr="00242020">
              <w:rPr>
                <w:rFonts w:eastAsia="Times New Roman" w:cs="Arial"/>
                <w:sz w:val="24"/>
                <w:szCs w:val="24"/>
                <w:lang w:eastAsia="ru-RU"/>
              </w:rPr>
              <w:t>75,0</w:t>
            </w: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E161FD" w:rsidRPr="00242020" w:rsidRDefault="00E161FD"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122,106</w:t>
            </w:r>
          </w:p>
        </w:tc>
        <w:tc>
          <w:tcPr>
            <w:tcW w:w="1587" w:type="dxa"/>
            <w:tcBorders>
              <w:top w:val="single" w:sz="6" w:space="0" w:color="auto"/>
              <w:left w:val="single" w:sz="6" w:space="0" w:color="auto"/>
              <w:bottom w:val="single" w:sz="6" w:space="0" w:color="auto"/>
              <w:right w:val="single" w:sz="6" w:space="0" w:color="auto"/>
            </w:tcBorders>
            <w:vAlign w:val="center"/>
          </w:tcPr>
          <w:p w:rsidR="00E161FD" w:rsidRPr="00242020" w:rsidRDefault="00E161FD"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162,8</w:t>
            </w:r>
          </w:p>
        </w:tc>
      </w:tr>
      <w:tr w:rsidR="00E161FD" w:rsidRPr="00242020" w:rsidTr="00CF5745">
        <w:trPr>
          <w:trHeight w:val="281"/>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5F2598">
            <w:pPr>
              <w:adjustRightInd w:val="0"/>
              <w:ind w:firstLine="0"/>
              <w:jc w:val="center"/>
              <w:rPr>
                <w:rFonts w:eastAsia="Times New Roman" w:cs="Times New Roman"/>
                <w:color w:val="000000"/>
                <w:sz w:val="24"/>
                <w:szCs w:val="24"/>
                <w:lang w:eastAsia="ru-RU"/>
              </w:rPr>
            </w:pPr>
            <w:r w:rsidRPr="00242020">
              <w:rPr>
                <w:rFonts w:eastAsia="Times New Roman" w:cs="Times New Roman"/>
                <w:color w:val="000000"/>
                <w:sz w:val="24"/>
                <w:szCs w:val="24"/>
                <w:lang w:eastAsia="ru-RU"/>
              </w:rPr>
              <w:t>11</w:t>
            </w: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5F2598">
            <w:pPr>
              <w:adjustRightInd w:val="0"/>
              <w:ind w:firstLine="0"/>
              <w:jc w:val="both"/>
              <w:rPr>
                <w:rFonts w:eastAsia="Times New Roman" w:cs="Times New Roman"/>
                <w:color w:val="000000"/>
                <w:sz w:val="24"/>
                <w:szCs w:val="24"/>
                <w:lang w:eastAsia="ru-RU"/>
              </w:rPr>
            </w:pPr>
            <w:r w:rsidRPr="00242020">
              <w:rPr>
                <w:rFonts w:eastAsia="Times New Roman" w:cs="Times New Roman"/>
                <w:color w:val="000000"/>
                <w:sz w:val="24"/>
                <w:szCs w:val="24"/>
                <w:lang w:eastAsia="ru-RU"/>
              </w:rPr>
              <w:t>Кіровоградській</w:t>
            </w:r>
          </w:p>
        </w:tc>
        <w:tc>
          <w:tcPr>
            <w:tcW w:w="2135" w:type="dxa"/>
            <w:tcBorders>
              <w:top w:val="single" w:sz="6" w:space="0" w:color="auto"/>
              <w:left w:val="single" w:sz="6" w:space="0" w:color="auto"/>
              <w:bottom w:val="single" w:sz="6" w:space="0" w:color="auto"/>
              <w:right w:val="single" w:sz="6" w:space="0" w:color="auto"/>
            </w:tcBorders>
            <w:shd w:val="solid" w:color="FFFFFF" w:fill="auto"/>
            <w:vAlign w:val="center"/>
          </w:tcPr>
          <w:p w:rsidR="00E161FD" w:rsidRPr="00242020" w:rsidRDefault="00E161FD" w:rsidP="005F2598">
            <w:pPr>
              <w:ind w:firstLine="0"/>
              <w:jc w:val="center"/>
              <w:rPr>
                <w:rFonts w:eastAsia="Times New Roman" w:cs="Arial"/>
                <w:sz w:val="24"/>
                <w:szCs w:val="24"/>
                <w:lang w:eastAsia="ru-RU"/>
              </w:rPr>
            </w:pPr>
            <w:r w:rsidRPr="00242020">
              <w:rPr>
                <w:rFonts w:eastAsia="Times New Roman" w:cs="Arial"/>
                <w:sz w:val="24"/>
                <w:szCs w:val="24"/>
                <w:lang w:eastAsia="ru-RU"/>
              </w:rPr>
              <w:t>2,9</w:t>
            </w: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E161FD" w:rsidRPr="00242020" w:rsidRDefault="00E161FD"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4,271</w:t>
            </w:r>
          </w:p>
        </w:tc>
        <w:tc>
          <w:tcPr>
            <w:tcW w:w="1587" w:type="dxa"/>
            <w:tcBorders>
              <w:top w:val="single" w:sz="6" w:space="0" w:color="auto"/>
              <w:left w:val="single" w:sz="6" w:space="0" w:color="auto"/>
              <w:bottom w:val="single" w:sz="6" w:space="0" w:color="auto"/>
              <w:right w:val="single" w:sz="6" w:space="0" w:color="auto"/>
            </w:tcBorders>
            <w:vAlign w:val="center"/>
          </w:tcPr>
          <w:p w:rsidR="00E161FD" w:rsidRPr="00242020" w:rsidRDefault="00E161FD"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147,3</w:t>
            </w:r>
          </w:p>
        </w:tc>
      </w:tr>
      <w:tr w:rsidR="00E161FD" w:rsidRPr="00242020" w:rsidTr="00CF5745">
        <w:trPr>
          <w:trHeight w:val="243"/>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5F2598">
            <w:pPr>
              <w:adjustRightInd w:val="0"/>
              <w:ind w:firstLine="0"/>
              <w:jc w:val="center"/>
              <w:rPr>
                <w:rFonts w:eastAsia="Times New Roman" w:cs="Times New Roman"/>
                <w:color w:val="000000"/>
                <w:sz w:val="24"/>
                <w:szCs w:val="24"/>
                <w:lang w:eastAsia="ru-RU"/>
              </w:rPr>
            </w:pPr>
            <w:r w:rsidRPr="00242020">
              <w:rPr>
                <w:rFonts w:eastAsia="Times New Roman" w:cs="Times New Roman"/>
                <w:color w:val="000000"/>
                <w:sz w:val="24"/>
                <w:szCs w:val="24"/>
                <w:lang w:eastAsia="ru-RU"/>
              </w:rPr>
              <w:t>12</w:t>
            </w: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5F2598">
            <w:pPr>
              <w:adjustRightInd w:val="0"/>
              <w:ind w:firstLine="0"/>
              <w:jc w:val="both"/>
              <w:rPr>
                <w:rFonts w:eastAsia="Times New Roman" w:cs="Times New Roman"/>
                <w:color w:val="000000"/>
                <w:sz w:val="24"/>
                <w:szCs w:val="24"/>
                <w:lang w:eastAsia="ru-RU"/>
              </w:rPr>
            </w:pPr>
            <w:r w:rsidRPr="00242020">
              <w:rPr>
                <w:rFonts w:eastAsia="Times New Roman" w:cs="Times New Roman"/>
                <w:color w:val="000000"/>
                <w:sz w:val="24"/>
                <w:szCs w:val="24"/>
                <w:lang w:eastAsia="ru-RU"/>
              </w:rPr>
              <w:t>Луганській</w:t>
            </w:r>
          </w:p>
        </w:tc>
        <w:tc>
          <w:tcPr>
            <w:tcW w:w="2135" w:type="dxa"/>
            <w:tcBorders>
              <w:top w:val="single" w:sz="6" w:space="0" w:color="auto"/>
              <w:left w:val="single" w:sz="6" w:space="0" w:color="auto"/>
              <w:bottom w:val="single" w:sz="6" w:space="0" w:color="auto"/>
              <w:right w:val="single" w:sz="6" w:space="0" w:color="auto"/>
            </w:tcBorders>
            <w:shd w:val="solid" w:color="FFFFFF" w:fill="auto"/>
            <w:vAlign w:val="center"/>
          </w:tcPr>
          <w:p w:rsidR="00E161FD" w:rsidRPr="00242020" w:rsidRDefault="00E161FD" w:rsidP="005F2598">
            <w:pPr>
              <w:ind w:firstLine="0"/>
              <w:jc w:val="center"/>
              <w:rPr>
                <w:rFonts w:eastAsia="Times New Roman" w:cs="Arial"/>
                <w:sz w:val="24"/>
                <w:szCs w:val="24"/>
                <w:lang w:eastAsia="ru-RU"/>
              </w:rPr>
            </w:pP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E161FD" w:rsidRPr="00242020" w:rsidRDefault="00E161FD"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10,389</w:t>
            </w:r>
          </w:p>
        </w:tc>
        <w:tc>
          <w:tcPr>
            <w:tcW w:w="1587" w:type="dxa"/>
            <w:tcBorders>
              <w:top w:val="single" w:sz="6" w:space="0" w:color="auto"/>
              <w:left w:val="single" w:sz="6" w:space="0" w:color="auto"/>
              <w:bottom w:val="single" w:sz="6" w:space="0" w:color="auto"/>
              <w:right w:val="single" w:sz="6" w:space="0" w:color="auto"/>
            </w:tcBorders>
            <w:vAlign w:val="center"/>
          </w:tcPr>
          <w:p w:rsidR="00E161FD" w:rsidRPr="00242020" w:rsidRDefault="00E161FD" w:rsidP="005F2598">
            <w:pPr>
              <w:widowControl/>
              <w:ind w:firstLine="0"/>
              <w:jc w:val="center"/>
              <w:rPr>
                <w:rFonts w:eastAsia="Times New Roman" w:cs="Times New Roman"/>
                <w:sz w:val="24"/>
                <w:szCs w:val="24"/>
                <w:vertAlign w:val="superscript"/>
                <w:lang w:eastAsia="ru-RU"/>
              </w:rPr>
            </w:pPr>
            <w:r w:rsidRPr="00242020">
              <w:rPr>
                <w:rFonts w:eastAsia="Times New Roman" w:cs="Times New Roman"/>
                <w:sz w:val="24"/>
                <w:szCs w:val="24"/>
                <w:vertAlign w:val="superscript"/>
                <w:lang w:eastAsia="ru-RU"/>
              </w:rPr>
              <w:t>**</w:t>
            </w:r>
          </w:p>
        </w:tc>
      </w:tr>
      <w:tr w:rsidR="00E161FD" w:rsidRPr="00242020" w:rsidTr="00CF5745">
        <w:trPr>
          <w:trHeight w:val="243"/>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5F2598">
            <w:pPr>
              <w:adjustRightInd w:val="0"/>
              <w:ind w:firstLine="0"/>
              <w:jc w:val="center"/>
              <w:rPr>
                <w:rFonts w:eastAsia="Times New Roman" w:cs="Times New Roman"/>
                <w:color w:val="000000"/>
                <w:sz w:val="24"/>
                <w:szCs w:val="24"/>
                <w:lang w:eastAsia="ru-RU"/>
              </w:rPr>
            </w:pPr>
            <w:r w:rsidRPr="00242020">
              <w:rPr>
                <w:rFonts w:eastAsia="Times New Roman" w:cs="Times New Roman"/>
                <w:color w:val="000000"/>
                <w:sz w:val="24"/>
                <w:szCs w:val="24"/>
                <w:lang w:eastAsia="ru-RU"/>
              </w:rPr>
              <w:t>13</w:t>
            </w: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5F2598">
            <w:pPr>
              <w:adjustRightInd w:val="0"/>
              <w:ind w:firstLine="0"/>
              <w:jc w:val="both"/>
              <w:rPr>
                <w:rFonts w:eastAsia="Times New Roman" w:cs="Times New Roman"/>
                <w:color w:val="000000"/>
                <w:sz w:val="24"/>
                <w:szCs w:val="24"/>
                <w:lang w:eastAsia="ru-RU"/>
              </w:rPr>
            </w:pPr>
            <w:r w:rsidRPr="00242020">
              <w:rPr>
                <w:rFonts w:eastAsia="Times New Roman" w:cs="Times New Roman"/>
                <w:color w:val="000000"/>
                <w:sz w:val="24"/>
                <w:szCs w:val="24"/>
                <w:lang w:eastAsia="ru-RU"/>
              </w:rPr>
              <w:t>Львівській</w:t>
            </w:r>
          </w:p>
        </w:tc>
        <w:tc>
          <w:tcPr>
            <w:tcW w:w="2135" w:type="dxa"/>
            <w:tcBorders>
              <w:top w:val="single" w:sz="6" w:space="0" w:color="auto"/>
              <w:left w:val="single" w:sz="6" w:space="0" w:color="auto"/>
              <w:bottom w:val="single" w:sz="6" w:space="0" w:color="auto"/>
              <w:right w:val="single" w:sz="6" w:space="0" w:color="auto"/>
            </w:tcBorders>
            <w:shd w:val="solid" w:color="FFFFFF" w:fill="auto"/>
            <w:vAlign w:val="center"/>
          </w:tcPr>
          <w:p w:rsidR="00E161FD" w:rsidRPr="00242020" w:rsidRDefault="00E161FD" w:rsidP="005F2598">
            <w:pPr>
              <w:ind w:firstLine="0"/>
              <w:jc w:val="center"/>
              <w:rPr>
                <w:rFonts w:eastAsia="Times New Roman" w:cs="Times New Roman"/>
                <w:sz w:val="24"/>
                <w:szCs w:val="24"/>
                <w:lang w:eastAsia="ru-RU"/>
              </w:rPr>
            </w:pPr>
            <w:r w:rsidRPr="00242020">
              <w:rPr>
                <w:rFonts w:eastAsia="Times New Roman" w:cs="Times New Roman"/>
                <w:sz w:val="24"/>
                <w:szCs w:val="24"/>
                <w:lang w:eastAsia="ru-RU"/>
              </w:rPr>
              <w:t>30,0</w:t>
            </w: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E161FD" w:rsidRPr="00242020" w:rsidRDefault="00E161FD"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53,699</w:t>
            </w:r>
          </w:p>
        </w:tc>
        <w:tc>
          <w:tcPr>
            <w:tcW w:w="1587" w:type="dxa"/>
            <w:tcBorders>
              <w:top w:val="single" w:sz="6" w:space="0" w:color="auto"/>
              <w:left w:val="single" w:sz="6" w:space="0" w:color="auto"/>
              <w:bottom w:val="single" w:sz="6" w:space="0" w:color="auto"/>
              <w:right w:val="single" w:sz="6" w:space="0" w:color="auto"/>
            </w:tcBorders>
            <w:vAlign w:val="center"/>
          </w:tcPr>
          <w:p w:rsidR="00E161FD" w:rsidRPr="00242020" w:rsidRDefault="00E161FD"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179,0</w:t>
            </w:r>
          </w:p>
        </w:tc>
      </w:tr>
      <w:tr w:rsidR="00E161FD" w:rsidRPr="00242020" w:rsidTr="00CF5745">
        <w:trPr>
          <w:trHeight w:val="246"/>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5F2598">
            <w:pPr>
              <w:adjustRightInd w:val="0"/>
              <w:ind w:firstLine="0"/>
              <w:jc w:val="center"/>
              <w:rPr>
                <w:rFonts w:eastAsia="Times New Roman" w:cs="Times New Roman"/>
                <w:color w:val="000000"/>
                <w:sz w:val="24"/>
                <w:szCs w:val="24"/>
                <w:lang w:eastAsia="ru-RU"/>
              </w:rPr>
            </w:pPr>
            <w:r w:rsidRPr="00242020">
              <w:rPr>
                <w:rFonts w:eastAsia="Times New Roman" w:cs="Times New Roman"/>
                <w:color w:val="000000"/>
                <w:sz w:val="24"/>
                <w:szCs w:val="24"/>
                <w:lang w:eastAsia="ru-RU"/>
              </w:rPr>
              <w:t>14</w:t>
            </w: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5F2598">
            <w:pPr>
              <w:adjustRightInd w:val="0"/>
              <w:ind w:firstLine="0"/>
              <w:jc w:val="both"/>
              <w:rPr>
                <w:rFonts w:eastAsia="Times New Roman" w:cs="Times New Roman"/>
                <w:color w:val="000000"/>
                <w:sz w:val="24"/>
                <w:szCs w:val="24"/>
                <w:lang w:eastAsia="ru-RU"/>
              </w:rPr>
            </w:pPr>
            <w:r w:rsidRPr="00242020">
              <w:rPr>
                <w:rFonts w:eastAsia="Times New Roman" w:cs="Times New Roman"/>
                <w:color w:val="000000"/>
                <w:sz w:val="24"/>
                <w:szCs w:val="24"/>
                <w:lang w:eastAsia="ru-RU"/>
              </w:rPr>
              <w:t>Миколаївській</w:t>
            </w:r>
          </w:p>
        </w:tc>
        <w:tc>
          <w:tcPr>
            <w:tcW w:w="2135" w:type="dxa"/>
            <w:tcBorders>
              <w:top w:val="single" w:sz="6" w:space="0" w:color="auto"/>
              <w:left w:val="single" w:sz="6" w:space="0" w:color="auto"/>
              <w:bottom w:val="single" w:sz="6" w:space="0" w:color="auto"/>
              <w:right w:val="single" w:sz="6" w:space="0" w:color="auto"/>
            </w:tcBorders>
            <w:shd w:val="solid" w:color="FFFFFF" w:fill="auto"/>
            <w:vAlign w:val="center"/>
          </w:tcPr>
          <w:p w:rsidR="00E161FD" w:rsidRPr="00242020" w:rsidRDefault="00E161FD" w:rsidP="005F2598">
            <w:pPr>
              <w:ind w:firstLine="0"/>
              <w:jc w:val="center"/>
              <w:rPr>
                <w:rFonts w:eastAsia="Times New Roman" w:cs="Times New Roman"/>
                <w:sz w:val="24"/>
                <w:szCs w:val="24"/>
                <w:lang w:eastAsia="ru-RU"/>
              </w:rPr>
            </w:pPr>
            <w:r w:rsidRPr="00242020">
              <w:rPr>
                <w:rFonts w:eastAsia="Times New Roman" w:cs="Times New Roman"/>
                <w:sz w:val="24"/>
                <w:szCs w:val="24"/>
                <w:lang w:eastAsia="ru-RU"/>
              </w:rPr>
              <w:t>16,5</w:t>
            </w: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E161FD" w:rsidRPr="00242020" w:rsidRDefault="00E161FD"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30,413</w:t>
            </w:r>
          </w:p>
        </w:tc>
        <w:tc>
          <w:tcPr>
            <w:tcW w:w="1587" w:type="dxa"/>
            <w:tcBorders>
              <w:top w:val="single" w:sz="6" w:space="0" w:color="auto"/>
              <w:left w:val="single" w:sz="6" w:space="0" w:color="auto"/>
              <w:bottom w:val="single" w:sz="6" w:space="0" w:color="auto"/>
              <w:right w:val="single" w:sz="6" w:space="0" w:color="auto"/>
            </w:tcBorders>
            <w:vAlign w:val="center"/>
          </w:tcPr>
          <w:p w:rsidR="00E161FD" w:rsidRPr="00242020" w:rsidRDefault="00E161FD"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184,3</w:t>
            </w:r>
          </w:p>
        </w:tc>
      </w:tr>
      <w:tr w:rsidR="00E161FD" w:rsidRPr="00242020" w:rsidTr="00CF5745">
        <w:trPr>
          <w:trHeight w:val="243"/>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5F2598">
            <w:pPr>
              <w:adjustRightInd w:val="0"/>
              <w:ind w:firstLine="0"/>
              <w:jc w:val="center"/>
              <w:rPr>
                <w:rFonts w:eastAsia="Times New Roman" w:cs="Times New Roman"/>
                <w:color w:val="000000"/>
                <w:sz w:val="24"/>
                <w:szCs w:val="24"/>
                <w:lang w:eastAsia="ru-RU"/>
              </w:rPr>
            </w:pPr>
            <w:r w:rsidRPr="00242020">
              <w:rPr>
                <w:rFonts w:eastAsia="Times New Roman" w:cs="Times New Roman"/>
                <w:color w:val="000000"/>
                <w:sz w:val="24"/>
                <w:szCs w:val="24"/>
                <w:lang w:eastAsia="ru-RU"/>
              </w:rPr>
              <w:t>15</w:t>
            </w: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5F2598">
            <w:pPr>
              <w:adjustRightInd w:val="0"/>
              <w:ind w:firstLine="0"/>
              <w:jc w:val="both"/>
              <w:rPr>
                <w:rFonts w:eastAsia="Times New Roman" w:cs="Times New Roman"/>
                <w:color w:val="000000"/>
                <w:sz w:val="24"/>
                <w:szCs w:val="24"/>
                <w:lang w:eastAsia="ru-RU"/>
              </w:rPr>
            </w:pPr>
            <w:r w:rsidRPr="00242020">
              <w:rPr>
                <w:rFonts w:eastAsia="Times New Roman" w:cs="Times New Roman"/>
                <w:color w:val="000000"/>
                <w:sz w:val="24"/>
                <w:szCs w:val="24"/>
                <w:lang w:eastAsia="ru-RU"/>
              </w:rPr>
              <w:t>Одеській</w:t>
            </w:r>
          </w:p>
        </w:tc>
        <w:tc>
          <w:tcPr>
            <w:tcW w:w="2135" w:type="dxa"/>
            <w:tcBorders>
              <w:top w:val="single" w:sz="6" w:space="0" w:color="auto"/>
              <w:left w:val="single" w:sz="6" w:space="0" w:color="auto"/>
              <w:bottom w:val="single" w:sz="6" w:space="0" w:color="auto"/>
              <w:right w:val="single" w:sz="6" w:space="0" w:color="auto"/>
            </w:tcBorders>
            <w:shd w:val="solid" w:color="FFFFFF" w:fill="auto"/>
            <w:vAlign w:val="center"/>
          </w:tcPr>
          <w:p w:rsidR="00E161FD" w:rsidRPr="00242020" w:rsidRDefault="00E161FD" w:rsidP="005F2598">
            <w:pPr>
              <w:ind w:firstLine="0"/>
              <w:jc w:val="center"/>
              <w:rPr>
                <w:rFonts w:eastAsia="Times New Roman" w:cs="Times New Roman"/>
                <w:sz w:val="24"/>
                <w:szCs w:val="24"/>
                <w:lang w:eastAsia="ru-RU"/>
              </w:rPr>
            </w:pPr>
            <w:r w:rsidRPr="00242020">
              <w:rPr>
                <w:rFonts w:eastAsia="Times New Roman" w:cs="Times New Roman"/>
                <w:sz w:val="24"/>
                <w:szCs w:val="24"/>
                <w:lang w:eastAsia="ru-RU"/>
              </w:rPr>
              <w:t>93,5</w:t>
            </w: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E161FD" w:rsidRPr="00242020" w:rsidRDefault="00E161FD"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211,125</w:t>
            </w:r>
          </w:p>
        </w:tc>
        <w:tc>
          <w:tcPr>
            <w:tcW w:w="1587" w:type="dxa"/>
            <w:tcBorders>
              <w:top w:val="single" w:sz="6" w:space="0" w:color="auto"/>
              <w:left w:val="single" w:sz="6" w:space="0" w:color="auto"/>
              <w:bottom w:val="single" w:sz="6" w:space="0" w:color="auto"/>
              <w:right w:val="single" w:sz="6" w:space="0" w:color="auto"/>
            </w:tcBorders>
            <w:vAlign w:val="center"/>
          </w:tcPr>
          <w:p w:rsidR="00E161FD" w:rsidRPr="00242020" w:rsidRDefault="00E161FD"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225,8</w:t>
            </w:r>
          </w:p>
        </w:tc>
      </w:tr>
      <w:tr w:rsidR="00E161FD" w:rsidRPr="00242020" w:rsidTr="00CF5745">
        <w:trPr>
          <w:trHeight w:val="243"/>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5F2598">
            <w:pPr>
              <w:adjustRightInd w:val="0"/>
              <w:ind w:firstLine="0"/>
              <w:jc w:val="center"/>
              <w:rPr>
                <w:rFonts w:eastAsia="Times New Roman" w:cs="Times New Roman"/>
                <w:color w:val="000000"/>
                <w:sz w:val="24"/>
                <w:szCs w:val="24"/>
                <w:lang w:eastAsia="ru-RU"/>
              </w:rPr>
            </w:pPr>
            <w:r w:rsidRPr="00242020">
              <w:rPr>
                <w:rFonts w:eastAsia="Times New Roman" w:cs="Times New Roman"/>
                <w:color w:val="000000"/>
                <w:sz w:val="24"/>
                <w:szCs w:val="24"/>
                <w:lang w:eastAsia="ru-RU"/>
              </w:rPr>
              <w:t>16</w:t>
            </w: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5F2598">
            <w:pPr>
              <w:adjustRightInd w:val="0"/>
              <w:ind w:firstLine="0"/>
              <w:jc w:val="both"/>
              <w:rPr>
                <w:rFonts w:eastAsia="Times New Roman" w:cs="Times New Roman"/>
                <w:color w:val="000000"/>
                <w:sz w:val="24"/>
                <w:szCs w:val="24"/>
                <w:lang w:eastAsia="ru-RU"/>
              </w:rPr>
            </w:pPr>
            <w:r w:rsidRPr="00242020">
              <w:rPr>
                <w:rFonts w:eastAsia="Times New Roman" w:cs="Times New Roman"/>
                <w:color w:val="000000"/>
                <w:sz w:val="24"/>
                <w:szCs w:val="24"/>
                <w:lang w:eastAsia="ru-RU"/>
              </w:rPr>
              <w:t>Полтавській</w:t>
            </w:r>
          </w:p>
        </w:tc>
        <w:tc>
          <w:tcPr>
            <w:tcW w:w="2135" w:type="dxa"/>
            <w:tcBorders>
              <w:top w:val="single" w:sz="6" w:space="0" w:color="auto"/>
              <w:left w:val="single" w:sz="6" w:space="0" w:color="auto"/>
              <w:bottom w:val="single" w:sz="6" w:space="0" w:color="auto"/>
              <w:right w:val="single" w:sz="6" w:space="0" w:color="auto"/>
            </w:tcBorders>
            <w:shd w:val="solid" w:color="FFFFFF" w:fill="auto"/>
            <w:vAlign w:val="center"/>
          </w:tcPr>
          <w:p w:rsidR="00E161FD" w:rsidRPr="00242020" w:rsidRDefault="00E161FD" w:rsidP="005F2598">
            <w:pPr>
              <w:ind w:firstLine="0"/>
              <w:jc w:val="center"/>
              <w:rPr>
                <w:rFonts w:eastAsia="Times New Roman" w:cs="Times New Roman"/>
                <w:sz w:val="24"/>
                <w:szCs w:val="24"/>
                <w:lang w:eastAsia="ru-RU"/>
              </w:rPr>
            </w:pPr>
            <w:r w:rsidRPr="00242020">
              <w:rPr>
                <w:rFonts w:eastAsia="Times New Roman" w:cs="Times New Roman"/>
                <w:sz w:val="24"/>
                <w:szCs w:val="24"/>
                <w:lang w:eastAsia="ru-RU"/>
              </w:rPr>
              <w:t>31,0</w:t>
            </w: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E161FD" w:rsidRPr="00242020" w:rsidRDefault="00E161FD"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33,748</w:t>
            </w:r>
          </w:p>
        </w:tc>
        <w:tc>
          <w:tcPr>
            <w:tcW w:w="1587" w:type="dxa"/>
            <w:tcBorders>
              <w:top w:val="single" w:sz="6" w:space="0" w:color="auto"/>
              <w:left w:val="single" w:sz="6" w:space="0" w:color="auto"/>
              <w:bottom w:val="single" w:sz="6" w:space="0" w:color="auto"/>
              <w:right w:val="single" w:sz="6" w:space="0" w:color="auto"/>
            </w:tcBorders>
            <w:vAlign w:val="center"/>
          </w:tcPr>
          <w:p w:rsidR="00E161FD" w:rsidRPr="00242020" w:rsidRDefault="00E161FD"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108,9</w:t>
            </w:r>
          </w:p>
        </w:tc>
      </w:tr>
      <w:tr w:rsidR="00E161FD" w:rsidRPr="00242020" w:rsidTr="00CF5745">
        <w:trPr>
          <w:trHeight w:val="243"/>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5F2598">
            <w:pPr>
              <w:adjustRightInd w:val="0"/>
              <w:ind w:firstLine="0"/>
              <w:jc w:val="center"/>
              <w:rPr>
                <w:rFonts w:eastAsia="Times New Roman" w:cs="Times New Roman"/>
                <w:color w:val="000000"/>
                <w:sz w:val="24"/>
                <w:szCs w:val="24"/>
                <w:lang w:eastAsia="ru-RU"/>
              </w:rPr>
            </w:pPr>
            <w:r w:rsidRPr="00242020">
              <w:rPr>
                <w:rFonts w:eastAsia="Times New Roman" w:cs="Times New Roman"/>
                <w:color w:val="000000"/>
                <w:sz w:val="24"/>
                <w:szCs w:val="24"/>
                <w:lang w:eastAsia="ru-RU"/>
              </w:rPr>
              <w:t>17</w:t>
            </w: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5F2598">
            <w:pPr>
              <w:adjustRightInd w:val="0"/>
              <w:ind w:firstLine="0"/>
              <w:jc w:val="both"/>
              <w:rPr>
                <w:rFonts w:eastAsia="Times New Roman" w:cs="Times New Roman"/>
                <w:color w:val="000000"/>
                <w:sz w:val="24"/>
                <w:szCs w:val="24"/>
                <w:lang w:eastAsia="ru-RU"/>
              </w:rPr>
            </w:pPr>
            <w:r w:rsidRPr="00242020">
              <w:rPr>
                <w:rFonts w:eastAsia="Times New Roman" w:cs="Times New Roman"/>
                <w:color w:val="000000"/>
                <w:sz w:val="24"/>
                <w:szCs w:val="24"/>
                <w:lang w:eastAsia="ru-RU"/>
              </w:rPr>
              <w:t>Рівненській</w:t>
            </w:r>
          </w:p>
        </w:tc>
        <w:tc>
          <w:tcPr>
            <w:tcW w:w="2135" w:type="dxa"/>
            <w:tcBorders>
              <w:top w:val="single" w:sz="6" w:space="0" w:color="auto"/>
              <w:left w:val="single" w:sz="6" w:space="0" w:color="auto"/>
              <w:bottom w:val="single" w:sz="6" w:space="0" w:color="auto"/>
              <w:right w:val="single" w:sz="6" w:space="0" w:color="auto"/>
            </w:tcBorders>
            <w:shd w:val="solid" w:color="FFFFFF" w:fill="auto"/>
            <w:vAlign w:val="center"/>
          </w:tcPr>
          <w:p w:rsidR="00E161FD" w:rsidRPr="00242020" w:rsidRDefault="00E161FD" w:rsidP="005F2598">
            <w:pPr>
              <w:ind w:firstLine="0"/>
              <w:jc w:val="center"/>
              <w:rPr>
                <w:rFonts w:eastAsia="Times New Roman" w:cs="Times New Roman"/>
                <w:sz w:val="24"/>
                <w:szCs w:val="24"/>
                <w:lang w:eastAsia="ru-RU"/>
              </w:rPr>
            </w:pPr>
            <w:r w:rsidRPr="00242020">
              <w:rPr>
                <w:rFonts w:eastAsia="Times New Roman" w:cs="Times New Roman"/>
                <w:sz w:val="24"/>
                <w:szCs w:val="24"/>
                <w:lang w:eastAsia="ru-RU"/>
              </w:rPr>
              <w:t>4,7</w:t>
            </w: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E161FD" w:rsidRPr="00242020" w:rsidRDefault="00E161FD"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6,195</w:t>
            </w:r>
          </w:p>
        </w:tc>
        <w:tc>
          <w:tcPr>
            <w:tcW w:w="1587" w:type="dxa"/>
            <w:tcBorders>
              <w:top w:val="single" w:sz="6" w:space="0" w:color="auto"/>
              <w:left w:val="single" w:sz="6" w:space="0" w:color="auto"/>
              <w:bottom w:val="single" w:sz="6" w:space="0" w:color="auto"/>
              <w:right w:val="single" w:sz="6" w:space="0" w:color="auto"/>
            </w:tcBorders>
            <w:vAlign w:val="center"/>
          </w:tcPr>
          <w:p w:rsidR="00E161FD" w:rsidRPr="00242020" w:rsidRDefault="00E161FD"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131,8</w:t>
            </w:r>
          </w:p>
        </w:tc>
      </w:tr>
      <w:tr w:rsidR="00E161FD" w:rsidRPr="00242020" w:rsidTr="00CF5745">
        <w:trPr>
          <w:trHeight w:val="243"/>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5F2598">
            <w:pPr>
              <w:adjustRightInd w:val="0"/>
              <w:ind w:firstLine="0"/>
              <w:jc w:val="center"/>
              <w:rPr>
                <w:rFonts w:eastAsia="Times New Roman" w:cs="Times New Roman"/>
                <w:color w:val="000000"/>
                <w:sz w:val="24"/>
                <w:szCs w:val="24"/>
                <w:lang w:eastAsia="ru-RU"/>
              </w:rPr>
            </w:pPr>
            <w:r w:rsidRPr="00242020">
              <w:rPr>
                <w:rFonts w:eastAsia="Times New Roman" w:cs="Times New Roman"/>
                <w:color w:val="000000"/>
                <w:sz w:val="24"/>
                <w:szCs w:val="24"/>
                <w:lang w:eastAsia="ru-RU"/>
              </w:rPr>
              <w:t>18</w:t>
            </w: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5F2598">
            <w:pPr>
              <w:adjustRightInd w:val="0"/>
              <w:ind w:firstLine="0"/>
              <w:jc w:val="both"/>
              <w:rPr>
                <w:rFonts w:eastAsia="Times New Roman" w:cs="Times New Roman"/>
                <w:color w:val="000000"/>
                <w:sz w:val="24"/>
                <w:szCs w:val="24"/>
                <w:lang w:eastAsia="ru-RU"/>
              </w:rPr>
            </w:pPr>
            <w:r w:rsidRPr="00242020">
              <w:rPr>
                <w:rFonts w:eastAsia="Times New Roman" w:cs="Times New Roman"/>
                <w:color w:val="000000"/>
                <w:sz w:val="24"/>
                <w:szCs w:val="24"/>
                <w:lang w:eastAsia="ru-RU"/>
              </w:rPr>
              <w:t>Сумській</w:t>
            </w:r>
          </w:p>
        </w:tc>
        <w:tc>
          <w:tcPr>
            <w:tcW w:w="2135" w:type="dxa"/>
            <w:tcBorders>
              <w:top w:val="single" w:sz="6" w:space="0" w:color="auto"/>
              <w:left w:val="single" w:sz="6" w:space="0" w:color="auto"/>
              <w:bottom w:val="single" w:sz="6" w:space="0" w:color="auto"/>
              <w:right w:val="single" w:sz="6" w:space="0" w:color="auto"/>
            </w:tcBorders>
            <w:shd w:val="solid" w:color="FFFFFF" w:fill="auto"/>
            <w:vAlign w:val="center"/>
          </w:tcPr>
          <w:p w:rsidR="00E161FD" w:rsidRPr="00242020" w:rsidRDefault="00E161FD" w:rsidP="005F2598">
            <w:pPr>
              <w:ind w:firstLine="0"/>
              <w:jc w:val="center"/>
              <w:rPr>
                <w:rFonts w:eastAsia="Times New Roman" w:cs="Times New Roman"/>
                <w:sz w:val="24"/>
                <w:szCs w:val="24"/>
                <w:lang w:eastAsia="ru-RU"/>
              </w:rPr>
            </w:pPr>
            <w:r w:rsidRPr="00242020">
              <w:rPr>
                <w:rFonts w:eastAsia="Times New Roman" w:cs="Times New Roman"/>
                <w:sz w:val="24"/>
                <w:szCs w:val="24"/>
                <w:lang w:eastAsia="ru-RU"/>
              </w:rPr>
              <w:t>6,7</w:t>
            </w: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E161FD" w:rsidRPr="00242020" w:rsidRDefault="00E161FD"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12,649</w:t>
            </w:r>
          </w:p>
        </w:tc>
        <w:tc>
          <w:tcPr>
            <w:tcW w:w="1587" w:type="dxa"/>
            <w:tcBorders>
              <w:top w:val="single" w:sz="6" w:space="0" w:color="auto"/>
              <w:left w:val="single" w:sz="6" w:space="0" w:color="auto"/>
              <w:bottom w:val="single" w:sz="6" w:space="0" w:color="auto"/>
              <w:right w:val="single" w:sz="6" w:space="0" w:color="auto"/>
            </w:tcBorders>
            <w:vAlign w:val="center"/>
          </w:tcPr>
          <w:p w:rsidR="00E161FD" w:rsidRPr="00242020" w:rsidRDefault="00E161FD"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188,8</w:t>
            </w:r>
          </w:p>
        </w:tc>
      </w:tr>
      <w:tr w:rsidR="00E161FD" w:rsidRPr="00242020" w:rsidTr="00CF5745">
        <w:trPr>
          <w:trHeight w:val="254"/>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5F2598">
            <w:pPr>
              <w:adjustRightInd w:val="0"/>
              <w:ind w:firstLine="0"/>
              <w:jc w:val="center"/>
              <w:rPr>
                <w:rFonts w:eastAsia="Times New Roman" w:cs="Times New Roman"/>
                <w:color w:val="000000"/>
                <w:sz w:val="24"/>
                <w:szCs w:val="24"/>
                <w:lang w:eastAsia="ru-RU"/>
              </w:rPr>
            </w:pPr>
            <w:r w:rsidRPr="00242020">
              <w:rPr>
                <w:rFonts w:eastAsia="Times New Roman" w:cs="Times New Roman"/>
                <w:color w:val="000000"/>
                <w:sz w:val="24"/>
                <w:szCs w:val="24"/>
                <w:lang w:eastAsia="ru-RU"/>
              </w:rPr>
              <w:t>19</w:t>
            </w: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5F2598">
            <w:pPr>
              <w:adjustRightInd w:val="0"/>
              <w:ind w:firstLine="0"/>
              <w:jc w:val="both"/>
              <w:rPr>
                <w:rFonts w:eastAsia="Times New Roman" w:cs="Times New Roman"/>
                <w:color w:val="000000"/>
                <w:sz w:val="24"/>
                <w:szCs w:val="24"/>
                <w:lang w:eastAsia="ru-RU"/>
              </w:rPr>
            </w:pPr>
            <w:r w:rsidRPr="00242020">
              <w:rPr>
                <w:rFonts w:eastAsia="Times New Roman" w:cs="Times New Roman"/>
                <w:color w:val="000000"/>
                <w:sz w:val="24"/>
                <w:szCs w:val="24"/>
                <w:lang w:eastAsia="ru-RU"/>
              </w:rPr>
              <w:t>Тернопільській</w:t>
            </w:r>
          </w:p>
        </w:tc>
        <w:tc>
          <w:tcPr>
            <w:tcW w:w="2135" w:type="dxa"/>
            <w:tcBorders>
              <w:top w:val="single" w:sz="6" w:space="0" w:color="auto"/>
              <w:left w:val="single" w:sz="6" w:space="0" w:color="auto"/>
              <w:bottom w:val="single" w:sz="6" w:space="0" w:color="auto"/>
              <w:right w:val="single" w:sz="6" w:space="0" w:color="auto"/>
            </w:tcBorders>
            <w:shd w:val="solid" w:color="FFFFFF" w:fill="auto"/>
            <w:vAlign w:val="center"/>
          </w:tcPr>
          <w:p w:rsidR="00E161FD" w:rsidRPr="00242020" w:rsidRDefault="00E161FD" w:rsidP="005F2598">
            <w:pPr>
              <w:ind w:firstLine="0"/>
              <w:jc w:val="center"/>
              <w:rPr>
                <w:rFonts w:eastAsia="Times New Roman" w:cs="Times New Roman"/>
                <w:sz w:val="24"/>
                <w:szCs w:val="24"/>
                <w:lang w:eastAsia="ru-RU"/>
              </w:rPr>
            </w:pPr>
            <w:r w:rsidRPr="00242020">
              <w:rPr>
                <w:rFonts w:eastAsia="Times New Roman" w:cs="Times New Roman"/>
                <w:sz w:val="24"/>
                <w:szCs w:val="24"/>
                <w:lang w:eastAsia="ru-RU"/>
              </w:rPr>
              <w:t>5,3</w:t>
            </w: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E161FD" w:rsidRPr="00242020" w:rsidRDefault="00E161FD"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9,407</w:t>
            </w:r>
          </w:p>
        </w:tc>
        <w:tc>
          <w:tcPr>
            <w:tcW w:w="1587" w:type="dxa"/>
            <w:tcBorders>
              <w:top w:val="single" w:sz="6" w:space="0" w:color="auto"/>
              <w:left w:val="single" w:sz="6" w:space="0" w:color="auto"/>
              <w:bottom w:val="single" w:sz="6" w:space="0" w:color="auto"/>
              <w:right w:val="single" w:sz="6" w:space="0" w:color="auto"/>
            </w:tcBorders>
            <w:vAlign w:val="center"/>
          </w:tcPr>
          <w:p w:rsidR="00E161FD" w:rsidRPr="00242020" w:rsidRDefault="00E161FD"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177,5</w:t>
            </w:r>
          </w:p>
        </w:tc>
      </w:tr>
      <w:tr w:rsidR="00E161FD" w:rsidRPr="00242020" w:rsidTr="00CF5745">
        <w:trPr>
          <w:trHeight w:val="243"/>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5F2598">
            <w:pPr>
              <w:adjustRightInd w:val="0"/>
              <w:ind w:firstLine="0"/>
              <w:jc w:val="center"/>
              <w:rPr>
                <w:rFonts w:eastAsia="Times New Roman" w:cs="Times New Roman"/>
                <w:color w:val="000000"/>
                <w:sz w:val="24"/>
                <w:szCs w:val="24"/>
                <w:lang w:eastAsia="ru-RU"/>
              </w:rPr>
            </w:pPr>
            <w:r w:rsidRPr="00242020">
              <w:rPr>
                <w:rFonts w:eastAsia="Times New Roman" w:cs="Times New Roman"/>
                <w:color w:val="000000"/>
                <w:sz w:val="24"/>
                <w:szCs w:val="24"/>
                <w:lang w:eastAsia="ru-RU"/>
              </w:rPr>
              <w:t>20</w:t>
            </w: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5F2598">
            <w:pPr>
              <w:adjustRightInd w:val="0"/>
              <w:ind w:firstLine="0"/>
              <w:jc w:val="both"/>
              <w:rPr>
                <w:rFonts w:eastAsia="Times New Roman" w:cs="Times New Roman"/>
                <w:color w:val="000000"/>
                <w:sz w:val="24"/>
                <w:szCs w:val="24"/>
                <w:lang w:eastAsia="ru-RU"/>
              </w:rPr>
            </w:pPr>
            <w:r w:rsidRPr="00242020">
              <w:rPr>
                <w:rFonts w:eastAsia="Times New Roman" w:cs="Times New Roman"/>
                <w:color w:val="000000"/>
                <w:sz w:val="24"/>
                <w:szCs w:val="24"/>
                <w:lang w:eastAsia="ru-RU"/>
              </w:rPr>
              <w:t xml:space="preserve">Харківській </w:t>
            </w:r>
          </w:p>
        </w:tc>
        <w:tc>
          <w:tcPr>
            <w:tcW w:w="2135" w:type="dxa"/>
            <w:tcBorders>
              <w:top w:val="single" w:sz="6" w:space="0" w:color="auto"/>
              <w:left w:val="single" w:sz="6" w:space="0" w:color="auto"/>
              <w:bottom w:val="single" w:sz="6" w:space="0" w:color="auto"/>
              <w:right w:val="single" w:sz="6" w:space="0" w:color="auto"/>
            </w:tcBorders>
            <w:shd w:val="solid" w:color="FFFFFF" w:fill="auto"/>
            <w:vAlign w:val="center"/>
          </w:tcPr>
          <w:p w:rsidR="00E161FD" w:rsidRPr="00242020" w:rsidRDefault="00E161FD" w:rsidP="005F2598">
            <w:pPr>
              <w:ind w:firstLine="0"/>
              <w:jc w:val="center"/>
              <w:rPr>
                <w:rFonts w:eastAsia="Times New Roman" w:cs="Times New Roman"/>
                <w:sz w:val="24"/>
                <w:szCs w:val="24"/>
                <w:lang w:eastAsia="ru-RU"/>
              </w:rPr>
            </w:pPr>
            <w:r w:rsidRPr="00242020">
              <w:rPr>
                <w:rFonts w:eastAsia="Times New Roman" w:cs="Times New Roman"/>
                <w:sz w:val="24"/>
                <w:szCs w:val="24"/>
                <w:lang w:eastAsia="ru-RU"/>
              </w:rPr>
              <w:t>35,8</w:t>
            </w: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E161FD" w:rsidRPr="00242020" w:rsidRDefault="00E161FD"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43,680</w:t>
            </w:r>
          </w:p>
        </w:tc>
        <w:tc>
          <w:tcPr>
            <w:tcW w:w="1587" w:type="dxa"/>
            <w:tcBorders>
              <w:top w:val="single" w:sz="6" w:space="0" w:color="auto"/>
              <w:left w:val="single" w:sz="6" w:space="0" w:color="auto"/>
              <w:bottom w:val="single" w:sz="6" w:space="0" w:color="auto"/>
              <w:right w:val="single" w:sz="6" w:space="0" w:color="auto"/>
            </w:tcBorders>
            <w:vAlign w:val="center"/>
          </w:tcPr>
          <w:p w:rsidR="00E161FD" w:rsidRPr="00242020" w:rsidRDefault="00E161FD"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122,0</w:t>
            </w:r>
          </w:p>
        </w:tc>
      </w:tr>
      <w:tr w:rsidR="00E161FD" w:rsidRPr="00242020" w:rsidTr="00CF5745">
        <w:trPr>
          <w:trHeight w:val="243"/>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5F2598">
            <w:pPr>
              <w:adjustRightInd w:val="0"/>
              <w:ind w:firstLine="0"/>
              <w:jc w:val="center"/>
              <w:rPr>
                <w:rFonts w:eastAsia="Times New Roman" w:cs="Times New Roman"/>
                <w:color w:val="000000"/>
                <w:sz w:val="24"/>
                <w:szCs w:val="24"/>
                <w:lang w:eastAsia="ru-RU"/>
              </w:rPr>
            </w:pPr>
            <w:r w:rsidRPr="00242020">
              <w:rPr>
                <w:rFonts w:eastAsia="Times New Roman" w:cs="Times New Roman"/>
                <w:color w:val="000000"/>
                <w:sz w:val="24"/>
                <w:szCs w:val="24"/>
                <w:lang w:eastAsia="ru-RU"/>
              </w:rPr>
              <w:t>21</w:t>
            </w: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5F2598">
            <w:pPr>
              <w:adjustRightInd w:val="0"/>
              <w:ind w:firstLine="0"/>
              <w:jc w:val="both"/>
              <w:rPr>
                <w:rFonts w:eastAsia="Times New Roman" w:cs="Times New Roman"/>
                <w:color w:val="000000"/>
                <w:sz w:val="24"/>
                <w:szCs w:val="24"/>
                <w:lang w:eastAsia="ru-RU"/>
              </w:rPr>
            </w:pPr>
            <w:r w:rsidRPr="00242020">
              <w:rPr>
                <w:rFonts w:eastAsia="Times New Roman" w:cs="Times New Roman"/>
                <w:color w:val="000000"/>
                <w:sz w:val="24"/>
                <w:szCs w:val="24"/>
                <w:lang w:eastAsia="ru-RU"/>
              </w:rPr>
              <w:t>Херсонській</w:t>
            </w:r>
          </w:p>
        </w:tc>
        <w:tc>
          <w:tcPr>
            <w:tcW w:w="2135" w:type="dxa"/>
            <w:tcBorders>
              <w:top w:val="single" w:sz="6" w:space="0" w:color="auto"/>
              <w:left w:val="single" w:sz="6" w:space="0" w:color="auto"/>
              <w:bottom w:val="single" w:sz="6" w:space="0" w:color="auto"/>
              <w:right w:val="single" w:sz="6" w:space="0" w:color="auto"/>
            </w:tcBorders>
            <w:shd w:val="solid" w:color="FFFFFF" w:fill="auto"/>
            <w:vAlign w:val="center"/>
          </w:tcPr>
          <w:p w:rsidR="00E161FD" w:rsidRPr="00242020" w:rsidRDefault="00E161FD" w:rsidP="005F2598">
            <w:pPr>
              <w:ind w:firstLine="0"/>
              <w:jc w:val="center"/>
              <w:rPr>
                <w:rFonts w:eastAsia="Times New Roman" w:cs="Times New Roman"/>
                <w:sz w:val="24"/>
                <w:szCs w:val="24"/>
                <w:lang w:eastAsia="ru-RU"/>
              </w:rPr>
            </w:pPr>
            <w:r w:rsidRPr="00242020">
              <w:rPr>
                <w:rFonts w:eastAsia="Times New Roman" w:cs="Times New Roman"/>
                <w:sz w:val="24"/>
                <w:szCs w:val="24"/>
                <w:lang w:eastAsia="ru-RU"/>
              </w:rPr>
              <w:t>4,1</w:t>
            </w: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E161FD" w:rsidRPr="00242020" w:rsidRDefault="00E161FD"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7,142</w:t>
            </w:r>
          </w:p>
        </w:tc>
        <w:tc>
          <w:tcPr>
            <w:tcW w:w="1587" w:type="dxa"/>
            <w:tcBorders>
              <w:top w:val="single" w:sz="6" w:space="0" w:color="auto"/>
              <w:left w:val="single" w:sz="6" w:space="0" w:color="auto"/>
              <w:bottom w:val="single" w:sz="6" w:space="0" w:color="auto"/>
              <w:right w:val="single" w:sz="6" w:space="0" w:color="auto"/>
            </w:tcBorders>
            <w:vAlign w:val="center"/>
          </w:tcPr>
          <w:p w:rsidR="00E161FD" w:rsidRPr="00242020" w:rsidRDefault="00E161FD"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174,2</w:t>
            </w:r>
          </w:p>
        </w:tc>
      </w:tr>
      <w:tr w:rsidR="00E161FD" w:rsidRPr="00242020" w:rsidTr="00CF5745">
        <w:trPr>
          <w:trHeight w:val="167"/>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5F2598">
            <w:pPr>
              <w:adjustRightInd w:val="0"/>
              <w:ind w:firstLine="0"/>
              <w:jc w:val="center"/>
              <w:rPr>
                <w:rFonts w:eastAsia="Times New Roman" w:cs="Times New Roman"/>
                <w:color w:val="000000"/>
                <w:sz w:val="24"/>
                <w:szCs w:val="24"/>
                <w:lang w:eastAsia="ru-RU"/>
              </w:rPr>
            </w:pPr>
            <w:r w:rsidRPr="00242020">
              <w:rPr>
                <w:rFonts w:eastAsia="Times New Roman" w:cs="Times New Roman"/>
                <w:color w:val="000000"/>
                <w:sz w:val="24"/>
                <w:szCs w:val="24"/>
                <w:lang w:eastAsia="ru-RU"/>
              </w:rPr>
              <w:t>22</w:t>
            </w: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5F2598">
            <w:pPr>
              <w:adjustRightInd w:val="0"/>
              <w:spacing w:line="210" w:lineRule="atLeast"/>
              <w:ind w:firstLine="0"/>
              <w:jc w:val="both"/>
              <w:rPr>
                <w:rFonts w:eastAsia="Times New Roman" w:cs="Times New Roman"/>
                <w:color w:val="000000"/>
                <w:sz w:val="24"/>
                <w:szCs w:val="24"/>
                <w:lang w:eastAsia="ru-RU"/>
              </w:rPr>
            </w:pPr>
            <w:r w:rsidRPr="00242020">
              <w:rPr>
                <w:rFonts w:eastAsia="Times New Roman" w:cs="Times New Roman"/>
                <w:color w:val="000000"/>
                <w:sz w:val="24"/>
                <w:szCs w:val="24"/>
                <w:lang w:eastAsia="ru-RU"/>
              </w:rPr>
              <w:t>Хмельницькій</w:t>
            </w:r>
          </w:p>
        </w:tc>
        <w:tc>
          <w:tcPr>
            <w:tcW w:w="2135" w:type="dxa"/>
            <w:tcBorders>
              <w:top w:val="single" w:sz="6" w:space="0" w:color="auto"/>
              <w:left w:val="single" w:sz="6" w:space="0" w:color="auto"/>
              <w:bottom w:val="single" w:sz="6" w:space="0" w:color="auto"/>
              <w:right w:val="single" w:sz="6" w:space="0" w:color="auto"/>
            </w:tcBorders>
            <w:shd w:val="solid" w:color="FFFFFF" w:fill="auto"/>
            <w:vAlign w:val="center"/>
          </w:tcPr>
          <w:p w:rsidR="00E161FD" w:rsidRPr="00242020" w:rsidRDefault="00E161FD" w:rsidP="005F2598">
            <w:pPr>
              <w:ind w:firstLine="0"/>
              <w:jc w:val="center"/>
              <w:rPr>
                <w:rFonts w:eastAsia="Times New Roman" w:cs="Times New Roman"/>
                <w:sz w:val="24"/>
                <w:szCs w:val="24"/>
                <w:lang w:eastAsia="ru-RU"/>
              </w:rPr>
            </w:pPr>
            <w:r w:rsidRPr="00242020">
              <w:rPr>
                <w:rFonts w:eastAsia="Times New Roman" w:cs="Times New Roman"/>
                <w:sz w:val="24"/>
                <w:szCs w:val="24"/>
                <w:lang w:eastAsia="ru-RU"/>
              </w:rPr>
              <w:t>13,2</w:t>
            </w: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E161FD" w:rsidRPr="00242020" w:rsidRDefault="00E161FD"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20,149</w:t>
            </w:r>
          </w:p>
        </w:tc>
        <w:tc>
          <w:tcPr>
            <w:tcW w:w="1587" w:type="dxa"/>
            <w:tcBorders>
              <w:top w:val="single" w:sz="6" w:space="0" w:color="auto"/>
              <w:left w:val="single" w:sz="6" w:space="0" w:color="auto"/>
              <w:bottom w:val="single" w:sz="6" w:space="0" w:color="auto"/>
              <w:right w:val="single" w:sz="6" w:space="0" w:color="auto"/>
            </w:tcBorders>
            <w:vAlign w:val="center"/>
          </w:tcPr>
          <w:p w:rsidR="00E161FD" w:rsidRPr="00242020" w:rsidRDefault="00E161FD"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152,6</w:t>
            </w:r>
          </w:p>
        </w:tc>
      </w:tr>
      <w:tr w:rsidR="00E161FD" w:rsidRPr="00242020" w:rsidTr="00CF5745">
        <w:trPr>
          <w:trHeight w:val="243"/>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5F2598">
            <w:pPr>
              <w:adjustRightInd w:val="0"/>
              <w:ind w:firstLine="0"/>
              <w:jc w:val="center"/>
              <w:rPr>
                <w:rFonts w:eastAsia="Times New Roman" w:cs="Times New Roman"/>
                <w:color w:val="000000"/>
                <w:sz w:val="24"/>
                <w:szCs w:val="24"/>
                <w:lang w:eastAsia="ru-RU"/>
              </w:rPr>
            </w:pPr>
            <w:r w:rsidRPr="00242020">
              <w:rPr>
                <w:rFonts w:eastAsia="Times New Roman" w:cs="Times New Roman"/>
                <w:color w:val="000000"/>
                <w:sz w:val="24"/>
                <w:szCs w:val="24"/>
                <w:lang w:eastAsia="ru-RU"/>
              </w:rPr>
              <w:t>23</w:t>
            </w: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5F2598">
            <w:pPr>
              <w:adjustRightInd w:val="0"/>
              <w:ind w:firstLine="0"/>
              <w:jc w:val="both"/>
              <w:rPr>
                <w:rFonts w:eastAsia="Times New Roman" w:cs="Times New Roman"/>
                <w:color w:val="000000"/>
                <w:sz w:val="24"/>
                <w:szCs w:val="24"/>
                <w:lang w:eastAsia="ru-RU"/>
              </w:rPr>
            </w:pPr>
            <w:r w:rsidRPr="00242020">
              <w:rPr>
                <w:rFonts w:eastAsia="Times New Roman" w:cs="Times New Roman"/>
                <w:color w:val="000000"/>
                <w:sz w:val="24"/>
                <w:szCs w:val="24"/>
                <w:lang w:eastAsia="ru-RU"/>
              </w:rPr>
              <w:t>Черкаській</w:t>
            </w:r>
          </w:p>
        </w:tc>
        <w:tc>
          <w:tcPr>
            <w:tcW w:w="2135" w:type="dxa"/>
            <w:tcBorders>
              <w:top w:val="single" w:sz="6" w:space="0" w:color="auto"/>
              <w:left w:val="single" w:sz="6" w:space="0" w:color="auto"/>
              <w:bottom w:val="single" w:sz="6" w:space="0" w:color="auto"/>
              <w:right w:val="single" w:sz="6" w:space="0" w:color="auto"/>
            </w:tcBorders>
            <w:shd w:val="solid" w:color="FFFFFF" w:fill="auto"/>
            <w:vAlign w:val="center"/>
          </w:tcPr>
          <w:p w:rsidR="00E161FD" w:rsidRPr="00242020" w:rsidRDefault="00E161FD" w:rsidP="005F2598">
            <w:pPr>
              <w:ind w:firstLine="0"/>
              <w:jc w:val="center"/>
              <w:rPr>
                <w:rFonts w:eastAsia="Times New Roman" w:cs="Times New Roman"/>
                <w:sz w:val="24"/>
                <w:szCs w:val="24"/>
                <w:lang w:eastAsia="ru-RU"/>
              </w:rPr>
            </w:pPr>
            <w:r w:rsidRPr="00242020">
              <w:rPr>
                <w:rFonts w:eastAsia="Times New Roman" w:cs="Times New Roman"/>
                <w:sz w:val="24"/>
                <w:szCs w:val="24"/>
                <w:lang w:eastAsia="ru-RU"/>
              </w:rPr>
              <w:t>28,0</w:t>
            </w: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E161FD" w:rsidRPr="00242020" w:rsidRDefault="00E161FD"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40,809</w:t>
            </w:r>
          </w:p>
        </w:tc>
        <w:tc>
          <w:tcPr>
            <w:tcW w:w="1587" w:type="dxa"/>
            <w:tcBorders>
              <w:top w:val="single" w:sz="6" w:space="0" w:color="auto"/>
              <w:left w:val="single" w:sz="6" w:space="0" w:color="auto"/>
              <w:bottom w:val="single" w:sz="6" w:space="0" w:color="auto"/>
              <w:right w:val="single" w:sz="6" w:space="0" w:color="auto"/>
            </w:tcBorders>
            <w:vAlign w:val="center"/>
          </w:tcPr>
          <w:p w:rsidR="00E161FD" w:rsidRPr="00242020" w:rsidRDefault="00E161FD"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145,7</w:t>
            </w:r>
          </w:p>
        </w:tc>
      </w:tr>
      <w:tr w:rsidR="00E161FD" w:rsidRPr="00242020" w:rsidTr="00CF5745">
        <w:trPr>
          <w:trHeight w:val="243"/>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5F2598">
            <w:pPr>
              <w:adjustRightInd w:val="0"/>
              <w:ind w:firstLine="0"/>
              <w:jc w:val="center"/>
              <w:rPr>
                <w:rFonts w:eastAsia="Times New Roman" w:cs="Times New Roman"/>
                <w:color w:val="000000"/>
                <w:sz w:val="24"/>
                <w:szCs w:val="24"/>
                <w:lang w:eastAsia="ru-RU"/>
              </w:rPr>
            </w:pPr>
            <w:r w:rsidRPr="00242020">
              <w:rPr>
                <w:rFonts w:eastAsia="Times New Roman" w:cs="Times New Roman"/>
                <w:color w:val="000000"/>
                <w:sz w:val="24"/>
                <w:szCs w:val="24"/>
                <w:lang w:eastAsia="ru-RU"/>
              </w:rPr>
              <w:t>24</w:t>
            </w: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5F2598">
            <w:pPr>
              <w:adjustRightInd w:val="0"/>
              <w:ind w:firstLine="0"/>
              <w:jc w:val="both"/>
              <w:rPr>
                <w:rFonts w:eastAsia="Times New Roman" w:cs="Times New Roman"/>
                <w:color w:val="000000"/>
                <w:sz w:val="24"/>
                <w:szCs w:val="24"/>
                <w:lang w:eastAsia="ru-RU"/>
              </w:rPr>
            </w:pPr>
            <w:r w:rsidRPr="00242020">
              <w:rPr>
                <w:rFonts w:eastAsia="Times New Roman" w:cs="Times New Roman"/>
                <w:color w:val="000000"/>
                <w:sz w:val="24"/>
                <w:szCs w:val="24"/>
                <w:lang w:eastAsia="ru-RU"/>
              </w:rPr>
              <w:t>Чернівецькій</w:t>
            </w:r>
          </w:p>
        </w:tc>
        <w:tc>
          <w:tcPr>
            <w:tcW w:w="2135" w:type="dxa"/>
            <w:tcBorders>
              <w:top w:val="single" w:sz="6" w:space="0" w:color="auto"/>
              <w:left w:val="single" w:sz="6" w:space="0" w:color="auto"/>
              <w:bottom w:val="single" w:sz="6" w:space="0" w:color="auto"/>
              <w:right w:val="single" w:sz="6" w:space="0" w:color="auto"/>
            </w:tcBorders>
            <w:shd w:val="solid" w:color="FFFFFF" w:fill="auto"/>
            <w:vAlign w:val="center"/>
          </w:tcPr>
          <w:p w:rsidR="00E161FD" w:rsidRPr="00242020" w:rsidRDefault="00E161FD" w:rsidP="005F2598">
            <w:pPr>
              <w:ind w:firstLine="0"/>
              <w:jc w:val="center"/>
              <w:rPr>
                <w:rFonts w:eastAsia="Times New Roman" w:cs="Times New Roman"/>
                <w:sz w:val="24"/>
                <w:szCs w:val="24"/>
                <w:lang w:eastAsia="ru-RU"/>
              </w:rPr>
            </w:pPr>
            <w:r w:rsidRPr="00242020">
              <w:rPr>
                <w:rFonts w:eastAsia="Times New Roman" w:cs="Times New Roman"/>
                <w:sz w:val="24"/>
                <w:szCs w:val="24"/>
                <w:lang w:eastAsia="ru-RU"/>
              </w:rPr>
              <w:t>2,5</w:t>
            </w: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E161FD" w:rsidRPr="00242020" w:rsidRDefault="00E161FD"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3,802</w:t>
            </w:r>
          </w:p>
        </w:tc>
        <w:tc>
          <w:tcPr>
            <w:tcW w:w="1587" w:type="dxa"/>
            <w:tcBorders>
              <w:top w:val="single" w:sz="6" w:space="0" w:color="auto"/>
              <w:left w:val="single" w:sz="6" w:space="0" w:color="auto"/>
              <w:bottom w:val="single" w:sz="6" w:space="0" w:color="auto"/>
              <w:right w:val="single" w:sz="6" w:space="0" w:color="auto"/>
            </w:tcBorders>
            <w:vAlign w:val="center"/>
          </w:tcPr>
          <w:p w:rsidR="00E161FD" w:rsidRPr="00242020" w:rsidRDefault="00E161FD"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152,1</w:t>
            </w:r>
          </w:p>
        </w:tc>
      </w:tr>
      <w:tr w:rsidR="00E161FD" w:rsidRPr="00242020" w:rsidTr="00CF5745">
        <w:trPr>
          <w:trHeight w:val="243"/>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5F2598">
            <w:pPr>
              <w:adjustRightInd w:val="0"/>
              <w:ind w:firstLine="0"/>
              <w:jc w:val="center"/>
              <w:rPr>
                <w:rFonts w:eastAsia="Times New Roman" w:cs="Times New Roman"/>
                <w:color w:val="000000"/>
                <w:sz w:val="24"/>
                <w:szCs w:val="24"/>
                <w:lang w:eastAsia="ru-RU"/>
              </w:rPr>
            </w:pPr>
            <w:r w:rsidRPr="00242020">
              <w:rPr>
                <w:rFonts w:eastAsia="Times New Roman" w:cs="Times New Roman"/>
                <w:color w:val="000000"/>
                <w:sz w:val="24"/>
                <w:szCs w:val="24"/>
                <w:lang w:eastAsia="ru-RU"/>
              </w:rPr>
              <w:t>25</w:t>
            </w: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5F2598">
            <w:pPr>
              <w:adjustRightInd w:val="0"/>
              <w:ind w:firstLine="0"/>
              <w:jc w:val="both"/>
              <w:rPr>
                <w:rFonts w:eastAsia="Times New Roman" w:cs="Times New Roman"/>
                <w:color w:val="000000"/>
                <w:sz w:val="24"/>
                <w:szCs w:val="24"/>
                <w:lang w:eastAsia="ru-RU"/>
              </w:rPr>
            </w:pPr>
            <w:r w:rsidRPr="00242020">
              <w:rPr>
                <w:rFonts w:eastAsia="Times New Roman" w:cs="Times New Roman"/>
                <w:color w:val="000000"/>
                <w:sz w:val="24"/>
                <w:szCs w:val="24"/>
                <w:lang w:eastAsia="ru-RU"/>
              </w:rPr>
              <w:t>Чернігівській</w:t>
            </w:r>
          </w:p>
        </w:tc>
        <w:tc>
          <w:tcPr>
            <w:tcW w:w="2135" w:type="dxa"/>
            <w:tcBorders>
              <w:top w:val="single" w:sz="6" w:space="0" w:color="auto"/>
              <w:left w:val="single" w:sz="6" w:space="0" w:color="auto"/>
              <w:bottom w:val="single" w:sz="6" w:space="0" w:color="auto"/>
              <w:right w:val="single" w:sz="6" w:space="0" w:color="auto"/>
            </w:tcBorders>
            <w:shd w:val="solid" w:color="FFFFFF" w:fill="auto"/>
            <w:vAlign w:val="center"/>
          </w:tcPr>
          <w:p w:rsidR="00E161FD" w:rsidRPr="00242020" w:rsidRDefault="00E161FD" w:rsidP="005F2598">
            <w:pPr>
              <w:ind w:firstLine="0"/>
              <w:jc w:val="center"/>
              <w:rPr>
                <w:rFonts w:eastAsia="Times New Roman" w:cs="Times New Roman"/>
                <w:sz w:val="24"/>
                <w:szCs w:val="24"/>
                <w:lang w:eastAsia="ru-RU"/>
              </w:rPr>
            </w:pPr>
            <w:r w:rsidRPr="00242020">
              <w:rPr>
                <w:rFonts w:eastAsia="Times New Roman" w:cs="Times New Roman"/>
                <w:sz w:val="24"/>
                <w:szCs w:val="24"/>
                <w:lang w:eastAsia="ru-RU"/>
              </w:rPr>
              <w:t>8,8</w:t>
            </w: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E161FD" w:rsidRPr="00242020" w:rsidRDefault="00E161FD"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11,087</w:t>
            </w:r>
          </w:p>
        </w:tc>
        <w:tc>
          <w:tcPr>
            <w:tcW w:w="1587" w:type="dxa"/>
            <w:tcBorders>
              <w:top w:val="single" w:sz="6" w:space="0" w:color="auto"/>
              <w:left w:val="single" w:sz="6" w:space="0" w:color="auto"/>
              <w:bottom w:val="single" w:sz="6" w:space="0" w:color="auto"/>
              <w:right w:val="single" w:sz="6" w:space="0" w:color="auto"/>
            </w:tcBorders>
            <w:vAlign w:val="center"/>
          </w:tcPr>
          <w:p w:rsidR="00E161FD" w:rsidRPr="00242020" w:rsidRDefault="00E161FD" w:rsidP="005F2598">
            <w:pPr>
              <w:widowControl/>
              <w:ind w:firstLine="0"/>
              <w:jc w:val="center"/>
              <w:rPr>
                <w:rFonts w:eastAsia="Times New Roman" w:cs="Times New Roman"/>
                <w:sz w:val="24"/>
                <w:szCs w:val="24"/>
                <w:lang w:eastAsia="ru-RU"/>
              </w:rPr>
            </w:pPr>
            <w:r w:rsidRPr="00242020">
              <w:rPr>
                <w:rFonts w:eastAsia="Times New Roman" w:cs="Times New Roman"/>
                <w:sz w:val="24"/>
                <w:szCs w:val="24"/>
                <w:lang w:eastAsia="ru-RU"/>
              </w:rPr>
              <w:t>126,0</w:t>
            </w:r>
          </w:p>
        </w:tc>
      </w:tr>
      <w:tr w:rsidR="00E161FD" w:rsidRPr="00242020" w:rsidTr="00CF5745">
        <w:trPr>
          <w:trHeight w:val="243"/>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5F2598">
            <w:pPr>
              <w:adjustRightInd w:val="0"/>
              <w:ind w:firstLine="0"/>
              <w:jc w:val="center"/>
              <w:rPr>
                <w:rFonts w:eastAsia="Times New Roman" w:cs="Times New Roman"/>
                <w:color w:val="000000"/>
                <w:sz w:val="24"/>
                <w:szCs w:val="24"/>
                <w:lang w:eastAsia="ru-RU"/>
              </w:rPr>
            </w:pP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E161FD" w:rsidRPr="00242020" w:rsidRDefault="00E161FD" w:rsidP="005F2598">
            <w:pPr>
              <w:adjustRightInd w:val="0"/>
              <w:ind w:firstLine="0"/>
              <w:jc w:val="both"/>
              <w:rPr>
                <w:rFonts w:eastAsia="Times New Roman" w:cs="Times New Roman"/>
                <w:color w:val="000000"/>
                <w:sz w:val="24"/>
                <w:szCs w:val="24"/>
                <w:lang w:eastAsia="ru-RU"/>
              </w:rPr>
            </w:pPr>
            <w:r w:rsidRPr="00242020">
              <w:rPr>
                <w:rFonts w:eastAsia="Times New Roman" w:cs="Times New Roman"/>
                <w:b/>
                <w:color w:val="000000"/>
                <w:sz w:val="24"/>
                <w:szCs w:val="24"/>
                <w:lang w:eastAsia="ru-RU"/>
              </w:rPr>
              <w:t>Разом</w:t>
            </w:r>
          </w:p>
        </w:tc>
        <w:tc>
          <w:tcPr>
            <w:tcW w:w="2135" w:type="dxa"/>
            <w:tcBorders>
              <w:top w:val="single" w:sz="6" w:space="0" w:color="auto"/>
              <w:left w:val="single" w:sz="6" w:space="0" w:color="auto"/>
              <w:bottom w:val="single" w:sz="6" w:space="0" w:color="auto"/>
              <w:right w:val="single" w:sz="6" w:space="0" w:color="auto"/>
            </w:tcBorders>
            <w:shd w:val="solid" w:color="FFFFFF" w:fill="auto"/>
            <w:vAlign w:val="center"/>
          </w:tcPr>
          <w:p w:rsidR="00E161FD" w:rsidRPr="00242020" w:rsidRDefault="00E161FD" w:rsidP="005F2598">
            <w:pPr>
              <w:ind w:firstLine="0"/>
              <w:jc w:val="center"/>
              <w:rPr>
                <w:rFonts w:eastAsia="Times New Roman" w:cs="Times New Roman"/>
                <w:b/>
                <w:sz w:val="24"/>
                <w:szCs w:val="24"/>
                <w:lang w:eastAsia="ru-RU"/>
              </w:rPr>
            </w:pPr>
            <w:r w:rsidRPr="00242020">
              <w:rPr>
                <w:rFonts w:eastAsia="Times New Roman" w:cs="Times New Roman"/>
                <w:b/>
                <w:sz w:val="24"/>
                <w:szCs w:val="24"/>
                <w:lang w:eastAsia="ru-RU"/>
              </w:rPr>
              <w:t>587,7</w:t>
            </w: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E161FD" w:rsidRPr="00242020" w:rsidRDefault="00E161FD" w:rsidP="005F2598">
            <w:pPr>
              <w:widowControl/>
              <w:ind w:firstLine="0"/>
              <w:jc w:val="center"/>
              <w:rPr>
                <w:rFonts w:eastAsia="Times New Roman" w:cs="Times New Roman"/>
                <w:b/>
                <w:sz w:val="24"/>
                <w:szCs w:val="24"/>
                <w:lang w:eastAsia="ru-RU"/>
              </w:rPr>
            </w:pPr>
            <w:r w:rsidRPr="00242020">
              <w:rPr>
                <w:rFonts w:eastAsia="Times New Roman" w:cs="Times New Roman"/>
                <w:b/>
                <w:sz w:val="24"/>
                <w:szCs w:val="24"/>
                <w:lang w:eastAsia="ru-RU"/>
              </w:rPr>
              <w:t>974,901</w:t>
            </w:r>
          </w:p>
        </w:tc>
        <w:tc>
          <w:tcPr>
            <w:tcW w:w="1587" w:type="dxa"/>
            <w:tcBorders>
              <w:top w:val="single" w:sz="6" w:space="0" w:color="auto"/>
              <w:left w:val="single" w:sz="6" w:space="0" w:color="auto"/>
              <w:bottom w:val="single" w:sz="6" w:space="0" w:color="auto"/>
              <w:right w:val="single" w:sz="6" w:space="0" w:color="auto"/>
            </w:tcBorders>
            <w:vAlign w:val="center"/>
          </w:tcPr>
          <w:p w:rsidR="00E161FD" w:rsidRPr="00242020" w:rsidRDefault="00E161FD" w:rsidP="005F2598">
            <w:pPr>
              <w:widowControl/>
              <w:ind w:firstLine="0"/>
              <w:jc w:val="center"/>
              <w:rPr>
                <w:rFonts w:eastAsia="Times New Roman" w:cs="Times New Roman"/>
                <w:b/>
                <w:sz w:val="24"/>
                <w:szCs w:val="24"/>
                <w:lang w:eastAsia="ru-RU"/>
              </w:rPr>
            </w:pPr>
            <w:r w:rsidRPr="00242020">
              <w:rPr>
                <w:rFonts w:eastAsia="Times New Roman" w:cs="Times New Roman"/>
                <w:b/>
                <w:sz w:val="24"/>
                <w:szCs w:val="24"/>
                <w:lang w:eastAsia="ru-RU"/>
              </w:rPr>
              <w:t>165,88</w:t>
            </w:r>
          </w:p>
        </w:tc>
      </w:tr>
    </w:tbl>
    <w:p w:rsidR="005F2598" w:rsidRPr="00242020" w:rsidRDefault="005F2598" w:rsidP="005F2598">
      <w:pPr>
        <w:jc w:val="both"/>
        <w:rPr>
          <w:rFonts w:eastAsia="Times New Roman" w:cs="Times New Roman"/>
          <w:sz w:val="16"/>
          <w:szCs w:val="16"/>
          <w:lang w:eastAsia="ru-RU"/>
        </w:rPr>
      </w:pPr>
    </w:p>
    <w:p w:rsidR="00805AB4" w:rsidRPr="00242020" w:rsidRDefault="00805AB4" w:rsidP="00805AB4">
      <w:pPr>
        <w:jc w:val="center"/>
        <w:rPr>
          <w:rFonts w:eastAsia="Times New Roman"/>
          <w:b/>
          <w:bCs/>
          <w:sz w:val="8"/>
          <w:szCs w:val="8"/>
          <w:highlight w:val="red"/>
          <w:lang w:eastAsia="ru-RU"/>
        </w:rPr>
      </w:pPr>
    </w:p>
    <w:p w:rsidR="00805AB4" w:rsidRPr="00242020" w:rsidRDefault="00805AB4" w:rsidP="00805AB4">
      <w:pPr>
        <w:pStyle w:val="2"/>
        <w:rPr>
          <w:szCs w:val="28"/>
        </w:rPr>
      </w:pPr>
      <w:r w:rsidRPr="00242020">
        <w:t>3.4. Діяльність Фонду з питань управління державним майном</w:t>
      </w:r>
    </w:p>
    <w:p w:rsidR="006F4201" w:rsidRPr="00242020" w:rsidRDefault="006F4201" w:rsidP="006F4201">
      <w:pPr>
        <w:jc w:val="both"/>
        <w:rPr>
          <w:rFonts w:eastAsia="Times New Roman" w:cs="Times New Roman"/>
          <w:sz w:val="12"/>
          <w:szCs w:val="12"/>
          <w:lang w:eastAsia="ru-RU"/>
        </w:rPr>
      </w:pPr>
    </w:p>
    <w:p w:rsidR="005F2598" w:rsidRPr="00242020" w:rsidRDefault="005F2598" w:rsidP="00102753">
      <w:pPr>
        <w:jc w:val="both"/>
        <w:rPr>
          <w:rFonts w:eastAsia="Times New Roman" w:cs="Times New Roman"/>
          <w:szCs w:val="28"/>
          <w:lang w:eastAsia="ru-RU"/>
        </w:rPr>
      </w:pPr>
      <w:r w:rsidRPr="00242020">
        <w:rPr>
          <w:rFonts w:eastAsia="Times New Roman" w:cs="Times New Roman"/>
          <w:szCs w:val="28"/>
          <w:lang w:eastAsia="ru-RU"/>
        </w:rPr>
        <w:t xml:space="preserve">Фондом здійснюється системна робота щодо управління державним майном, яке у процесі приватизації не увійшло до статутних капіталів господарських товариств, але залишилося у них на балансі; передачі об’єктів права державної та комунальної власності; відчуження та списання об’єктів державної власності; майнових відносин із суб’єктами господарювання з недержавною формою власності. </w:t>
      </w:r>
    </w:p>
    <w:p w:rsidR="005F2598" w:rsidRPr="00242020" w:rsidRDefault="005F2598" w:rsidP="00102753">
      <w:pPr>
        <w:jc w:val="both"/>
        <w:rPr>
          <w:rFonts w:eastAsia="Times New Roman" w:cs="Times New Roman"/>
          <w:szCs w:val="28"/>
          <w:lang w:eastAsia="ru-RU"/>
        </w:rPr>
      </w:pPr>
      <w:r w:rsidRPr="00242020">
        <w:rPr>
          <w:rFonts w:eastAsia="Times New Roman" w:cs="Times New Roman"/>
          <w:szCs w:val="28"/>
          <w:lang w:eastAsia="ru-RU"/>
        </w:rPr>
        <w:t xml:space="preserve">Усього в процесі приватизації до статутних капіталів господарських товариств не включено і перебувало в управлінні державних органів приватизації понад </w:t>
      </w:r>
      <w:r w:rsidRPr="00242020">
        <w:rPr>
          <w:rFonts w:eastAsia="Times New Roman" w:cs="Times New Roman"/>
          <w:b/>
          <w:szCs w:val="28"/>
          <w:lang w:eastAsia="ru-RU"/>
        </w:rPr>
        <w:t>150 тис.</w:t>
      </w:r>
      <w:r w:rsidRPr="00242020">
        <w:rPr>
          <w:rFonts w:eastAsia="Times New Roman" w:cs="Times New Roman"/>
          <w:szCs w:val="28"/>
          <w:lang w:eastAsia="ru-RU"/>
        </w:rPr>
        <w:t xml:space="preserve"> об’єктів державної власності, обмеження або особливості приватизації яких встановлено законодавством.</w:t>
      </w:r>
    </w:p>
    <w:p w:rsidR="005F2598" w:rsidRPr="00242020" w:rsidRDefault="005F2598" w:rsidP="00102753">
      <w:pPr>
        <w:jc w:val="both"/>
        <w:rPr>
          <w:rFonts w:eastAsia="Times New Roman" w:cs="Times New Roman"/>
          <w:szCs w:val="28"/>
          <w:lang w:eastAsia="ru-RU"/>
        </w:rPr>
      </w:pPr>
      <w:r w:rsidRPr="00242020">
        <w:rPr>
          <w:rFonts w:eastAsia="Times New Roman" w:cs="Times New Roman"/>
          <w:szCs w:val="28"/>
          <w:lang w:eastAsia="ru-RU"/>
        </w:rPr>
        <w:t xml:space="preserve">Стосовно понад </w:t>
      </w:r>
      <w:r w:rsidRPr="00242020">
        <w:rPr>
          <w:rFonts w:eastAsia="Times New Roman" w:cs="Times New Roman"/>
          <w:b/>
          <w:szCs w:val="28"/>
          <w:lang w:eastAsia="ru-RU"/>
        </w:rPr>
        <w:t>120 тис.</w:t>
      </w:r>
      <w:r w:rsidRPr="00242020">
        <w:rPr>
          <w:rFonts w:eastAsia="Times New Roman" w:cs="Times New Roman"/>
          <w:szCs w:val="28"/>
          <w:lang w:eastAsia="ru-RU"/>
        </w:rPr>
        <w:t xml:space="preserve"> об’єктів прийнято і реалізовано відповідні управлінські рішення (приватизація, передача в комунальну власність, до сфери управління органів державної влади тощо).</w:t>
      </w:r>
    </w:p>
    <w:p w:rsidR="005F2598" w:rsidRPr="00242020" w:rsidRDefault="005F2598" w:rsidP="00102753">
      <w:pPr>
        <w:jc w:val="both"/>
        <w:rPr>
          <w:rFonts w:eastAsia="Times New Roman" w:cs="Times New Roman"/>
          <w:szCs w:val="28"/>
          <w:lang w:eastAsia="ru-RU"/>
        </w:rPr>
      </w:pPr>
      <w:r w:rsidRPr="00242020">
        <w:rPr>
          <w:rFonts w:eastAsia="Times New Roman" w:cs="Times New Roman"/>
          <w:szCs w:val="28"/>
          <w:lang w:eastAsia="ru-RU"/>
        </w:rPr>
        <w:t xml:space="preserve">Відповідно до наказу Фонду від 05 березня 2001 року № 357 регіональні відділення Фонду виконують функції з </w:t>
      </w:r>
      <w:r w:rsidRPr="00242020">
        <w:rPr>
          <w:rFonts w:eastAsia="Times New Roman" w:cs="Times New Roman"/>
          <w:i/>
          <w:szCs w:val="28"/>
          <w:lang w:eastAsia="ru-RU"/>
        </w:rPr>
        <w:t xml:space="preserve">управління державним майном, яке в </w:t>
      </w:r>
      <w:r w:rsidRPr="00242020">
        <w:rPr>
          <w:rFonts w:eastAsia="Times New Roman" w:cs="Times New Roman"/>
          <w:i/>
          <w:szCs w:val="28"/>
          <w:lang w:eastAsia="ru-RU"/>
        </w:rPr>
        <w:lastRenderedPageBreak/>
        <w:t>процесі приватизації не увійшло до статутних капіталів господарських товариств, але перебуває на їх балансі</w:t>
      </w:r>
      <w:r w:rsidRPr="00242020">
        <w:rPr>
          <w:rFonts w:eastAsia="Times New Roman" w:cs="Times New Roman"/>
          <w:szCs w:val="28"/>
          <w:lang w:eastAsia="ru-RU"/>
        </w:rPr>
        <w:t xml:space="preserve">, за територіальною ознакою – місцем розташування господарських товариств. </w:t>
      </w:r>
    </w:p>
    <w:p w:rsidR="005F2598" w:rsidRPr="00242020" w:rsidRDefault="005F2598" w:rsidP="00102753">
      <w:pPr>
        <w:jc w:val="both"/>
        <w:rPr>
          <w:rFonts w:eastAsia="Times New Roman" w:cs="Times New Roman"/>
          <w:szCs w:val="28"/>
          <w:lang w:eastAsia="ru-RU"/>
        </w:rPr>
      </w:pPr>
      <w:r w:rsidRPr="00242020">
        <w:rPr>
          <w:rFonts w:eastAsia="Times New Roman" w:cs="Times New Roman"/>
          <w:szCs w:val="28"/>
          <w:lang w:eastAsia="ru-RU"/>
        </w:rPr>
        <w:t>Положенням про управління державним майном, яке не увійшло до статутних капіталів господарських товариств у процесі приватизації, але перебуває на їх балансі, затвердженим спільним наказом Фонду та Міністерства економіки України від 19 травня 1999 року № 908/68 (із змінами), визначено способи управління таким державним майном.</w:t>
      </w:r>
    </w:p>
    <w:p w:rsidR="005F2598" w:rsidRPr="00242020" w:rsidRDefault="005F2598" w:rsidP="00102753">
      <w:pPr>
        <w:jc w:val="both"/>
        <w:rPr>
          <w:rFonts w:eastAsia="Times New Roman" w:cs="Times New Roman"/>
          <w:szCs w:val="20"/>
          <w:lang w:eastAsia="ru-RU"/>
        </w:rPr>
      </w:pPr>
      <w:r w:rsidRPr="00242020">
        <w:rPr>
          <w:rFonts w:eastAsia="Times New Roman" w:cs="Times New Roman"/>
          <w:szCs w:val="20"/>
          <w:lang w:eastAsia="ru-RU"/>
        </w:rPr>
        <w:t xml:space="preserve">Згідно з інформацією, внесеною регіональними відділеннями Фонду до </w:t>
      </w:r>
      <w:proofErr w:type="spellStart"/>
      <w:r w:rsidRPr="00242020">
        <w:rPr>
          <w:rFonts w:eastAsia="Times New Roman" w:cs="Times New Roman"/>
          <w:szCs w:val="20"/>
          <w:lang w:eastAsia="ru-RU"/>
        </w:rPr>
        <w:t>ІППС</w:t>
      </w:r>
      <w:proofErr w:type="spellEnd"/>
      <w:r w:rsidRPr="00242020">
        <w:rPr>
          <w:rFonts w:eastAsia="Times New Roman" w:cs="Times New Roman"/>
          <w:szCs w:val="20"/>
          <w:lang w:eastAsia="ru-RU"/>
        </w:rPr>
        <w:t xml:space="preserve"> Фонду «Етап-майно», станом на 01 січня 2017 року в державній власності перебувало </w:t>
      </w:r>
      <w:r w:rsidRPr="00242020">
        <w:rPr>
          <w:rFonts w:eastAsia="Times New Roman" w:cs="Times New Roman"/>
          <w:b/>
          <w:szCs w:val="20"/>
          <w:lang w:eastAsia="ru-RU"/>
        </w:rPr>
        <w:t>27 967</w:t>
      </w:r>
      <w:r w:rsidRPr="00242020">
        <w:rPr>
          <w:rFonts w:eastAsia="Times New Roman" w:cs="Times New Roman"/>
          <w:szCs w:val="20"/>
          <w:lang w:eastAsia="ru-RU"/>
        </w:rPr>
        <w:t xml:space="preserve"> об’єктів державної власності (без урахування об’єктів, що знаходяться на тимчасово окупованій території АР Крим та м. Севастополя), які не увійшли до статутних капіталів господарських товариств у процесі приватизації. </w:t>
      </w:r>
    </w:p>
    <w:p w:rsidR="005F2598" w:rsidRPr="00242020" w:rsidRDefault="005F2598" w:rsidP="00102753">
      <w:pPr>
        <w:jc w:val="both"/>
        <w:rPr>
          <w:rFonts w:eastAsia="Times New Roman" w:cs="Times New Roman"/>
          <w:szCs w:val="20"/>
          <w:lang w:eastAsia="ru-RU"/>
        </w:rPr>
      </w:pPr>
      <w:r w:rsidRPr="00242020">
        <w:rPr>
          <w:rFonts w:eastAsia="Times New Roman" w:cs="Times New Roman"/>
          <w:szCs w:val="20"/>
          <w:lang w:eastAsia="ru-RU"/>
        </w:rPr>
        <w:t xml:space="preserve">Протягом 2016 року регіональними відділеннями Фонду реалізовано управлінські рішення щодо </w:t>
      </w:r>
      <w:r w:rsidRPr="00242020">
        <w:rPr>
          <w:rFonts w:eastAsia="Times New Roman" w:cs="Times New Roman"/>
          <w:b/>
          <w:szCs w:val="20"/>
          <w:lang w:eastAsia="ru-RU"/>
        </w:rPr>
        <w:t>2 154</w:t>
      </w:r>
      <w:r w:rsidRPr="00242020">
        <w:rPr>
          <w:rFonts w:eastAsia="Times New Roman" w:cs="Times New Roman"/>
          <w:szCs w:val="20"/>
          <w:lang w:eastAsia="ru-RU"/>
        </w:rPr>
        <w:t xml:space="preserve"> об’єктів державної власності, зокрема:</w:t>
      </w:r>
    </w:p>
    <w:p w:rsidR="005F2598" w:rsidRPr="00242020" w:rsidRDefault="005F2598" w:rsidP="00102753">
      <w:pPr>
        <w:widowControl/>
        <w:numPr>
          <w:ilvl w:val="0"/>
          <w:numId w:val="14"/>
        </w:numPr>
        <w:tabs>
          <w:tab w:val="left" w:pos="993"/>
        </w:tabs>
        <w:ind w:left="0" w:firstLine="709"/>
        <w:jc w:val="both"/>
        <w:rPr>
          <w:rFonts w:eastAsia="Times New Roman" w:cs="Times New Roman"/>
          <w:szCs w:val="20"/>
          <w:lang w:eastAsia="ru-RU"/>
        </w:rPr>
      </w:pPr>
      <w:r w:rsidRPr="00242020">
        <w:rPr>
          <w:rFonts w:eastAsia="Times New Roman" w:cs="Times New Roman"/>
          <w:szCs w:val="20"/>
          <w:lang w:eastAsia="ru-RU"/>
        </w:rPr>
        <w:t xml:space="preserve">приватизовано – </w:t>
      </w:r>
      <w:r w:rsidRPr="00242020">
        <w:rPr>
          <w:rFonts w:eastAsia="Times New Roman" w:cs="Times New Roman"/>
          <w:b/>
          <w:szCs w:val="20"/>
          <w:lang w:eastAsia="ru-RU"/>
        </w:rPr>
        <w:t>213</w:t>
      </w:r>
      <w:r w:rsidRPr="00242020">
        <w:rPr>
          <w:rFonts w:eastAsia="Times New Roman" w:cs="Times New Roman"/>
          <w:szCs w:val="20"/>
          <w:lang w:eastAsia="ru-RU"/>
        </w:rPr>
        <w:t xml:space="preserve"> об’єктів;</w:t>
      </w:r>
    </w:p>
    <w:p w:rsidR="005F2598" w:rsidRPr="00242020" w:rsidRDefault="005F2598" w:rsidP="00102753">
      <w:pPr>
        <w:widowControl/>
        <w:numPr>
          <w:ilvl w:val="0"/>
          <w:numId w:val="14"/>
        </w:numPr>
        <w:tabs>
          <w:tab w:val="left" w:pos="993"/>
        </w:tabs>
        <w:ind w:left="0" w:firstLine="709"/>
        <w:jc w:val="both"/>
        <w:rPr>
          <w:rFonts w:eastAsia="Times New Roman" w:cs="Times New Roman"/>
          <w:szCs w:val="20"/>
          <w:lang w:eastAsia="ru-RU"/>
        </w:rPr>
      </w:pPr>
      <w:r w:rsidRPr="00242020">
        <w:rPr>
          <w:rFonts w:eastAsia="Times New Roman" w:cs="Times New Roman"/>
          <w:szCs w:val="20"/>
          <w:lang w:eastAsia="ru-RU"/>
        </w:rPr>
        <w:t xml:space="preserve">передано в оренду – </w:t>
      </w:r>
      <w:r w:rsidRPr="00242020">
        <w:rPr>
          <w:rFonts w:eastAsia="Times New Roman" w:cs="Times New Roman"/>
          <w:b/>
          <w:szCs w:val="20"/>
          <w:lang w:eastAsia="ru-RU"/>
        </w:rPr>
        <w:t>135</w:t>
      </w:r>
      <w:r w:rsidRPr="00242020">
        <w:rPr>
          <w:rFonts w:eastAsia="Times New Roman" w:cs="Times New Roman"/>
          <w:szCs w:val="20"/>
          <w:lang w:eastAsia="ru-RU"/>
        </w:rPr>
        <w:t xml:space="preserve"> об’єктів; </w:t>
      </w:r>
    </w:p>
    <w:p w:rsidR="005F2598" w:rsidRPr="00242020" w:rsidRDefault="005F2598" w:rsidP="00102753">
      <w:pPr>
        <w:widowControl/>
        <w:numPr>
          <w:ilvl w:val="0"/>
          <w:numId w:val="14"/>
        </w:numPr>
        <w:tabs>
          <w:tab w:val="left" w:pos="993"/>
        </w:tabs>
        <w:ind w:left="0" w:firstLine="709"/>
        <w:jc w:val="both"/>
        <w:rPr>
          <w:rFonts w:eastAsia="Times New Roman" w:cs="Times New Roman"/>
          <w:szCs w:val="20"/>
          <w:lang w:eastAsia="ru-RU"/>
        </w:rPr>
      </w:pPr>
      <w:r w:rsidRPr="00242020">
        <w:rPr>
          <w:rFonts w:eastAsia="Times New Roman" w:cs="Times New Roman"/>
          <w:szCs w:val="20"/>
          <w:lang w:eastAsia="ru-RU"/>
        </w:rPr>
        <w:t xml:space="preserve">передано в комунальну власність – </w:t>
      </w:r>
      <w:r w:rsidRPr="00242020">
        <w:rPr>
          <w:rFonts w:eastAsia="Times New Roman" w:cs="Times New Roman"/>
          <w:b/>
          <w:szCs w:val="20"/>
          <w:lang w:eastAsia="ru-RU"/>
        </w:rPr>
        <w:t>692</w:t>
      </w:r>
      <w:r w:rsidRPr="00242020">
        <w:rPr>
          <w:rFonts w:eastAsia="Times New Roman" w:cs="Times New Roman"/>
          <w:szCs w:val="20"/>
          <w:lang w:eastAsia="ru-RU"/>
        </w:rPr>
        <w:t xml:space="preserve"> об’єкти;</w:t>
      </w:r>
    </w:p>
    <w:p w:rsidR="005F2598" w:rsidRPr="00242020" w:rsidRDefault="005F2598" w:rsidP="00102753">
      <w:pPr>
        <w:widowControl/>
        <w:numPr>
          <w:ilvl w:val="0"/>
          <w:numId w:val="14"/>
        </w:numPr>
        <w:tabs>
          <w:tab w:val="left" w:pos="993"/>
        </w:tabs>
        <w:ind w:left="0" w:firstLine="709"/>
        <w:jc w:val="both"/>
        <w:rPr>
          <w:rFonts w:eastAsia="Times New Roman" w:cs="Times New Roman"/>
          <w:szCs w:val="20"/>
          <w:lang w:eastAsia="ru-RU"/>
        </w:rPr>
      </w:pPr>
      <w:r w:rsidRPr="00242020">
        <w:rPr>
          <w:rFonts w:eastAsia="Times New Roman" w:cs="Times New Roman"/>
          <w:szCs w:val="20"/>
          <w:lang w:eastAsia="ru-RU"/>
        </w:rPr>
        <w:t xml:space="preserve">передано господарським товариствам на умовах договору зберігання – </w:t>
      </w:r>
      <w:r w:rsidRPr="00242020">
        <w:rPr>
          <w:rFonts w:eastAsia="Times New Roman" w:cs="Times New Roman"/>
          <w:b/>
          <w:szCs w:val="20"/>
          <w:lang w:eastAsia="ru-RU"/>
        </w:rPr>
        <w:t>297</w:t>
      </w:r>
      <w:r w:rsidRPr="00242020">
        <w:rPr>
          <w:rFonts w:eastAsia="Times New Roman" w:cs="Times New Roman"/>
          <w:szCs w:val="20"/>
          <w:lang w:eastAsia="ru-RU"/>
        </w:rPr>
        <w:t xml:space="preserve"> об’єктів; </w:t>
      </w:r>
    </w:p>
    <w:p w:rsidR="005F2598" w:rsidRPr="00242020" w:rsidRDefault="005F2598" w:rsidP="00102753">
      <w:pPr>
        <w:widowControl/>
        <w:numPr>
          <w:ilvl w:val="0"/>
          <w:numId w:val="14"/>
        </w:numPr>
        <w:tabs>
          <w:tab w:val="left" w:pos="993"/>
        </w:tabs>
        <w:ind w:left="0" w:firstLine="709"/>
        <w:jc w:val="both"/>
        <w:rPr>
          <w:rFonts w:eastAsia="Times New Roman" w:cs="Times New Roman"/>
          <w:szCs w:val="20"/>
          <w:lang w:eastAsia="ru-RU"/>
        </w:rPr>
      </w:pPr>
      <w:r w:rsidRPr="00242020">
        <w:rPr>
          <w:rFonts w:eastAsia="Times New Roman" w:cs="Times New Roman"/>
          <w:szCs w:val="20"/>
          <w:lang w:eastAsia="ru-RU"/>
        </w:rPr>
        <w:t xml:space="preserve">списано – </w:t>
      </w:r>
      <w:r w:rsidRPr="00242020">
        <w:rPr>
          <w:rFonts w:eastAsia="Times New Roman" w:cs="Times New Roman"/>
          <w:b/>
          <w:szCs w:val="20"/>
          <w:lang w:eastAsia="ru-RU"/>
        </w:rPr>
        <w:t>472</w:t>
      </w:r>
      <w:r w:rsidRPr="00242020">
        <w:rPr>
          <w:rFonts w:eastAsia="Times New Roman" w:cs="Times New Roman"/>
          <w:szCs w:val="20"/>
          <w:lang w:eastAsia="ru-RU"/>
        </w:rPr>
        <w:t xml:space="preserve"> об’єкти; </w:t>
      </w:r>
    </w:p>
    <w:p w:rsidR="005F2598" w:rsidRPr="00242020" w:rsidRDefault="005F2598" w:rsidP="00102753">
      <w:pPr>
        <w:widowControl/>
        <w:numPr>
          <w:ilvl w:val="0"/>
          <w:numId w:val="14"/>
        </w:numPr>
        <w:tabs>
          <w:tab w:val="left" w:pos="993"/>
        </w:tabs>
        <w:ind w:left="0" w:firstLine="709"/>
        <w:jc w:val="both"/>
        <w:rPr>
          <w:rFonts w:eastAsia="Times New Roman" w:cs="Times New Roman"/>
          <w:szCs w:val="20"/>
          <w:lang w:eastAsia="ru-RU"/>
        </w:rPr>
      </w:pPr>
      <w:r w:rsidRPr="00242020">
        <w:rPr>
          <w:rFonts w:eastAsia="Times New Roman" w:cs="Times New Roman"/>
          <w:szCs w:val="20"/>
          <w:lang w:eastAsia="ru-RU"/>
        </w:rPr>
        <w:t xml:space="preserve">прийнято інші управлінські рішення (знято з балансу малоквартирні житлові будинки на підставі свідоцтва про право власності, відшкодовано збитки тощо) – </w:t>
      </w:r>
      <w:r w:rsidRPr="00242020">
        <w:rPr>
          <w:rFonts w:eastAsia="Times New Roman" w:cs="Times New Roman"/>
          <w:b/>
          <w:szCs w:val="20"/>
          <w:lang w:eastAsia="ru-RU"/>
        </w:rPr>
        <w:t>345</w:t>
      </w:r>
      <w:r w:rsidRPr="00242020">
        <w:rPr>
          <w:rFonts w:eastAsia="Times New Roman" w:cs="Times New Roman"/>
          <w:szCs w:val="20"/>
          <w:lang w:eastAsia="ru-RU"/>
        </w:rPr>
        <w:t xml:space="preserve"> об’єктів. </w:t>
      </w:r>
    </w:p>
    <w:p w:rsidR="005F2598" w:rsidRPr="00242020" w:rsidRDefault="005F2598" w:rsidP="00102753">
      <w:pPr>
        <w:jc w:val="both"/>
        <w:rPr>
          <w:rFonts w:eastAsia="Times New Roman" w:cs="Times New Roman"/>
          <w:szCs w:val="20"/>
          <w:lang w:eastAsia="ru-RU"/>
        </w:rPr>
      </w:pPr>
      <w:r w:rsidRPr="00242020">
        <w:rPr>
          <w:rFonts w:eastAsia="Times New Roman" w:cs="Times New Roman"/>
          <w:szCs w:val="20"/>
          <w:lang w:eastAsia="ru-RU"/>
        </w:rPr>
        <w:t>На підставі доручень та наказів Фонду регіональними відділеннями Фонду постійно проводиться робота щодо забезпечення збереження та належного використання державного майна, яке не увійшло до статутних капіталів господарських товариств у процесі приватизації, за результатами якої вживаються заходи щодо захисту майнових інтересів держави, зокрема проводиться претензійно-позовна робота з метою відшкодування збитків державі внаслідок неналежного збереження та використання зазначеного державного майна.</w:t>
      </w:r>
    </w:p>
    <w:p w:rsidR="005F2598" w:rsidRPr="00242020" w:rsidRDefault="005F2598" w:rsidP="00102753">
      <w:pPr>
        <w:jc w:val="both"/>
        <w:rPr>
          <w:rFonts w:eastAsia="Times New Roman" w:cs="Times New Roman"/>
          <w:szCs w:val="28"/>
          <w:lang w:eastAsia="ru-RU"/>
        </w:rPr>
      </w:pPr>
      <w:r w:rsidRPr="00242020">
        <w:rPr>
          <w:rFonts w:eastAsia="Times New Roman" w:cs="Times New Roman"/>
          <w:szCs w:val="20"/>
          <w:lang w:eastAsia="ru-RU"/>
        </w:rPr>
        <w:t xml:space="preserve">Так, протягом 2016 року за результатами проведеної роботи стосовно </w:t>
      </w:r>
      <w:r w:rsidRPr="00242020">
        <w:rPr>
          <w:rFonts w:eastAsia="Times New Roman" w:cs="Times New Roman"/>
          <w:b/>
          <w:szCs w:val="20"/>
          <w:lang w:eastAsia="ru-RU"/>
        </w:rPr>
        <w:t>6 931</w:t>
      </w:r>
      <w:r w:rsidRPr="00242020">
        <w:rPr>
          <w:rFonts w:eastAsia="Times New Roman" w:cs="Times New Roman"/>
          <w:szCs w:val="20"/>
          <w:lang w:eastAsia="ru-RU"/>
        </w:rPr>
        <w:t xml:space="preserve"> об’єкта державної власності, які не увійшли до статутних капіталів господарських товариств у процесі приватизації, щодо </w:t>
      </w:r>
      <w:r w:rsidRPr="00242020">
        <w:rPr>
          <w:rFonts w:eastAsia="Times New Roman" w:cs="Times New Roman"/>
          <w:b/>
          <w:szCs w:val="20"/>
          <w:lang w:eastAsia="ru-RU"/>
        </w:rPr>
        <w:t>790</w:t>
      </w:r>
      <w:r w:rsidRPr="00242020">
        <w:rPr>
          <w:rFonts w:eastAsia="Times New Roman" w:cs="Times New Roman"/>
          <w:szCs w:val="20"/>
          <w:lang w:eastAsia="ru-RU"/>
        </w:rPr>
        <w:t xml:space="preserve"> об’єктів з метою забезпечення їх збереження та належного використання надіслано звернення правоохоронним органам, Державній фінансовій інспекції України, суду, щодо </w:t>
      </w:r>
      <w:r w:rsidRPr="00242020">
        <w:rPr>
          <w:rFonts w:eastAsia="Times New Roman" w:cs="Times New Roman"/>
          <w:b/>
          <w:szCs w:val="20"/>
          <w:lang w:eastAsia="ru-RU"/>
        </w:rPr>
        <w:t xml:space="preserve">107 </w:t>
      </w:r>
      <w:r w:rsidRPr="00242020">
        <w:rPr>
          <w:rFonts w:eastAsia="Times New Roman" w:cs="Times New Roman"/>
          <w:szCs w:val="20"/>
          <w:lang w:eastAsia="ru-RU"/>
        </w:rPr>
        <w:t>об’єктів з метою відновлення майна, відшкодування збитків – суб’єктам господарювання (</w:t>
      </w:r>
      <w:proofErr w:type="spellStart"/>
      <w:r w:rsidRPr="00242020">
        <w:rPr>
          <w:rFonts w:eastAsia="Times New Roman" w:cs="Times New Roman"/>
          <w:szCs w:val="20"/>
          <w:lang w:eastAsia="ru-RU"/>
        </w:rPr>
        <w:t>балансоутримувачам</w:t>
      </w:r>
      <w:proofErr w:type="spellEnd"/>
      <w:r w:rsidRPr="00242020">
        <w:rPr>
          <w:rFonts w:eastAsia="Times New Roman" w:cs="Times New Roman"/>
          <w:szCs w:val="20"/>
          <w:lang w:eastAsia="ru-RU"/>
        </w:rPr>
        <w:t>).</w:t>
      </w:r>
    </w:p>
    <w:p w:rsidR="005F2598" w:rsidRPr="00242020" w:rsidRDefault="005F2598" w:rsidP="00102753">
      <w:pPr>
        <w:jc w:val="both"/>
        <w:rPr>
          <w:rFonts w:eastAsia="Times New Roman" w:cs="Times New Roman"/>
          <w:szCs w:val="28"/>
          <w:lang w:eastAsia="ru-RU"/>
        </w:rPr>
      </w:pPr>
      <w:r w:rsidRPr="00242020">
        <w:rPr>
          <w:rFonts w:eastAsia="Times New Roman" w:cs="Times New Roman"/>
          <w:szCs w:val="28"/>
          <w:lang w:eastAsia="ru-RU"/>
        </w:rPr>
        <w:t>У 2016 році Фондом в установленому порядку опрацьовано 9 проектів нормативно-правових актів, розроблених центральними органами виконавчої влади, з питань розпорядження позастатутним майном.</w:t>
      </w:r>
    </w:p>
    <w:p w:rsidR="005F2598" w:rsidRPr="00242020" w:rsidRDefault="005F2598" w:rsidP="00102753">
      <w:pPr>
        <w:ind w:firstLine="708"/>
        <w:jc w:val="both"/>
        <w:rPr>
          <w:rFonts w:eastAsia="Times New Roman" w:cs="Times New Roman"/>
          <w:szCs w:val="28"/>
          <w:lang w:eastAsia="ru-RU"/>
        </w:rPr>
      </w:pPr>
      <w:r w:rsidRPr="00242020">
        <w:rPr>
          <w:rFonts w:eastAsia="Times New Roman" w:cs="Times New Roman"/>
          <w:szCs w:val="28"/>
          <w:lang w:eastAsia="ru-RU"/>
        </w:rPr>
        <w:t xml:space="preserve">Зокрема, Фондом проведено роботу з опрацювання проекту Закону України «Про внесення змін до деяких законів України щодо інвентаризації </w:t>
      </w:r>
      <w:r w:rsidRPr="00242020">
        <w:rPr>
          <w:rFonts w:eastAsia="Times New Roman" w:cs="Times New Roman"/>
          <w:szCs w:val="28"/>
          <w:lang w:eastAsia="ru-RU"/>
        </w:rPr>
        <w:lastRenderedPageBreak/>
        <w:t xml:space="preserve">майна, яке знаходиться на тимчасово окупованих територіях та на території проведення антитерористичної операції», розробленого </w:t>
      </w:r>
      <w:proofErr w:type="spellStart"/>
      <w:r w:rsidRPr="006129B8">
        <w:rPr>
          <w:rFonts w:eastAsia="Times New Roman" w:cs="Times New Roman"/>
          <w:szCs w:val="20"/>
          <w:lang w:eastAsia="ru-RU"/>
        </w:rPr>
        <w:t>Мінекономрозвитку</w:t>
      </w:r>
      <w:proofErr w:type="spellEnd"/>
      <w:r w:rsidRPr="006129B8">
        <w:rPr>
          <w:rFonts w:eastAsia="Times New Roman" w:cs="Times New Roman"/>
          <w:szCs w:val="28"/>
          <w:lang w:eastAsia="ru-RU"/>
        </w:rPr>
        <w:t>.</w:t>
      </w:r>
    </w:p>
    <w:p w:rsidR="005F2598" w:rsidRPr="00242020" w:rsidRDefault="005F2598" w:rsidP="00102753">
      <w:pPr>
        <w:jc w:val="both"/>
        <w:rPr>
          <w:rFonts w:eastAsia="Times New Roman" w:cs="Times New Roman"/>
          <w:szCs w:val="28"/>
          <w:lang w:eastAsia="ru-RU"/>
        </w:rPr>
      </w:pPr>
      <w:r w:rsidRPr="00242020">
        <w:rPr>
          <w:rFonts w:eastAsia="Times New Roman" w:cs="Times New Roman"/>
          <w:szCs w:val="20"/>
          <w:lang w:eastAsia="ru-RU"/>
        </w:rPr>
        <w:t xml:space="preserve">Регіональними відділеннями Фонду здійснюється робота щодо забезпечення </w:t>
      </w:r>
      <w:r w:rsidRPr="00242020">
        <w:rPr>
          <w:rFonts w:eastAsia="Times New Roman" w:cs="Times New Roman"/>
          <w:i/>
          <w:szCs w:val="20"/>
          <w:lang w:eastAsia="ru-RU"/>
        </w:rPr>
        <w:t>проведення технічної інвентаризації захисних споруд цивільної оборони</w:t>
      </w:r>
      <w:r w:rsidRPr="00242020">
        <w:rPr>
          <w:rFonts w:eastAsia="Times New Roman" w:cs="Times New Roman"/>
          <w:szCs w:val="20"/>
          <w:lang w:eastAsia="ru-RU"/>
        </w:rPr>
        <w:t xml:space="preserve"> (цивільного захисту), які не увійшли до статутних капіталів господарських товариств у процесі приватизації.</w:t>
      </w:r>
    </w:p>
    <w:p w:rsidR="005F2598" w:rsidRPr="00242020" w:rsidRDefault="005F2598" w:rsidP="00102753">
      <w:pPr>
        <w:jc w:val="both"/>
        <w:rPr>
          <w:rFonts w:eastAsia="Times New Roman" w:cs="Times New Roman"/>
          <w:szCs w:val="20"/>
          <w:lang w:eastAsia="ru-RU"/>
        </w:rPr>
      </w:pPr>
      <w:r w:rsidRPr="00242020">
        <w:rPr>
          <w:rFonts w:eastAsia="Times New Roman" w:cs="Times New Roman"/>
          <w:szCs w:val="20"/>
          <w:lang w:eastAsia="ru-RU"/>
        </w:rPr>
        <w:t xml:space="preserve">Зведені дані про хід проведення технічної інвентаризації щокварталу надаються Державній службі України з надзвичайних ситуацій (без урахування об’єктів, що знаходяться на тимчасово окупованій території АР Крим та м. Севастополя). </w:t>
      </w:r>
    </w:p>
    <w:p w:rsidR="005F2598" w:rsidRPr="00242020" w:rsidRDefault="005F2598" w:rsidP="00102753">
      <w:pPr>
        <w:jc w:val="both"/>
        <w:rPr>
          <w:rFonts w:eastAsia="Times New Roman" w:cs="Times New Roman"/>
          <w:szCs w:val="20"/>
          <w:lang w:eastAsia="ru-RU"/>
        </w:rPr>
      </w:pPr>
      <w:r w:rsidRPr="00242020">
        <w:rPr>
          <w:rFonts w:eastAsia="Times New Roman" w:cs="Times New Roman"/>
          <w:szCs w:val="20"/>
          <w:lang w:eastAsia="ru-RU"/>
        </w:rPr>
        <w:t xml:space="preserve">За інформацією регіональних відділень Фонду, станом на 31 грудня 2016 року забезпечено проведення технічної інвентаризації щодо </w:t>
      </w:r>
      <w:r w:rsidRPr="00242020">
        <w:rPr>
          <w:rFonts w:eastAsia="Times New Roman" w:cs="Times New Roman"/>
          <w:b/>
          <w:szCs w:val="20"/>
          <w:lang w:eastAsia="ru-RU"/>
        </w:rPr>
        <w:t>1 114</w:t>
      </w:r>
      <w:r w:rsidRPr="00242020">
        <w:rPr>
          <w:rFonts w:eastAsia="Times New Roman" w:cs="Times New Roman"/>
          <w:szCs w:val="20"/>
          <w:lang w:eastAsia="ru-RU"/>
        </w:rPr>
        <w:t xml:space="preserve"> захисних споруд цивільної оборони (цивільного захисту). </w:t>
      </w:r>
    </w:p>
    <w:p w:rsidR="005F2598" w:rsidRPr="00242020" w:rsidRDefault="005F2598" w:rsidP="00102753">
      <w:pPr>
        <w:jc w:val="both"/>
        <w:rPr>
          <w:rFonts w:eastAsia="Times New Roman" w:cs="Times New Roman"/>
          <w:szCs w:val="28"/>
          <w:lang w:eastAsia="ru-RU"/>
        </w:rPr>
      </w:pPr>
      <w:r w:rsidRPr="00242020">
        <w:rPr>
          <w:rFonts w:eastAsia="Times New Roman" w:cs="Times New Roman"/>
          <w:szCs w:val="28"/>
          <w:lang w:eastAsia="ru-RU"/>
        </w:rPr>
        <w:t xml:space="preserve">Протягом 2016 року відповідно до вимог Закону України «Про передачу об’єктів права державної та комунальної власності» та постанови Кабінету Міністрів України від 21 вересня 1998 року № 1482 «Про передачу об’єктів права державної та комунальної власності» опрацьовано </w:t>
      </w:r>
      <w:r w:rsidRPr="00242020">
        <w:rPr>
          <w:rFonts w:eastAsia="Times New Roman" w:cs="Times New Roman"/>
          <w:b/>
          <w:szCs w:val="28"/>
          <w:lang w:eastAsia="ru-RU"/>
        </w:rPr>
        <w:t>2 047</w:t>
      </w:r>
      <w:r w:rsidRPr="00242020">
        <w:rPr>
          <w:rFonts w:eastAsia="Times New Roman" w:cs="Times New Roman"/>
          <w:szCs w:val="28"/>
          <w:lang w:eastAsia="ru-RU"/>
        </w:rPr>
        <w:t xml:space="preserve"> рішень щодо </w:t>
      </w:r>
      <w:r w:rsidRPr="00242020">
        <w:rPr>
          <w:rFonts w:eastAsia="Times New Roman" w:cs="Times New Roman"/>
          <w:i/>
          <w:szCs w:val="28"/>
          <w:lang w:eastAsia="ru-RU"/>
        </w:rPr>
        <w:t>передачі об’єктів права державної та комунальної власності</w:t>
      </w:r>
      <w:r w:rsidRPr="00242020">
        <w:rPr>
          <w:rFonts w:eastAsia="Times New Roman" w:cs="Times New Roman"/>
          <w:szCs w:val="28"/>
          <w:lang w:eastAsia="ru-RU"/>
        </w:rPr>
        <w:t>, у тому числі</w:t>
      </w:r>
      <w:r w:rsidR="00CC7727" w:rsidRPr="00242020">
        <w:rPr>
          <w:rFonts w:eastAsia="Times New Roman" w:cs="Times New Roman"/>
          <w:szCs w:val="28"/>
          <w:lang w:eastAsia="ru-RU"/>
        </w:rPr>
        <w:br/>
      </w:r>
      <w:r w:rsidRPr="00242020">
        <w:rPr>
          <w:rFonts w:eastAsia="Times New Roman" w:cs="Times New Roman"/>
          <w:szCs w:val="28"/>
          <w:lang w:eastAsia="ru-RU"/>
        </w:rPr>
        <w:t>145 проектів розпоряджень Кабінету Міністрів України. Підписано 3</w:t>
      </w:r>
      <w:r w:rsidRPr="00242020">
        <w:rPr>
          <w:rFonts w:eastAsia="Times New Roman" w:cs="Times New Roman"/>
          <w:b/>
          <w:szCs w:val="28"/>
          <w:lang w:eastAsia="ru-RU"/>
        </w:rPr>
        <w:t xml:space="preserve"> </w:t>
      </w:r>
      <w:r w:rsidRPr="00242020">
        <w:rPr>
          <w:rFonts w:eastAsia="Times New Roman" w:cs="Times New Roman"/>
          <w:szCs w:val="28"/>
          <w:lang w:eastAsia="ru-RU"/>
        </w:rPr>
        <w:t>спільних накази і 4 накази Фонду щодо приймання-передачі об’єктів права державної власності.</w:t>
      </w:r>
    </w:p>
    <w:p w:rsidR="005F2598" w:rsidRPr="00242020" w:rsidRDefault="005F2598" w:rsidP="00102753">
      <w:pPr>
        <w:jc w:val="both"/>
        <w:rPr>
          <w:rFonts w:eastAsia="Times New Roman" w:cs="Times New Roman"/>
          <w:szCs w:val="28"/>
          <w:lang w:eastAsia="ru-RU"/>
        </w:rPr>
      </w:pPr>
      <w:r w:rsidRPr="00242020">
        <w:rPr>
          <w:rFonts w:eastAsia="Times New Roman" w:cs="Times New Roman"/>
          <w:szCs w:val="28"/>
          <w:lang w:eastAsia="ru-RU"/>
        </w:rPr>
        <w:t>Крім того, розроблено проект постанови Кабінету Міністрів України «Про внесення змін до постанови Кабінету Міністрів України від 21 вересня 1998 р. № 1482» та 2 проекти розпоряджень Кабінету Міністрів України «Про передачу нежитлового приміщення у м. Києві в державну власність» (прийнято 08 вересня 2016 року за № 651-р), «Про передачу цілісного майнового комплексу «Спорткомплекс» у власність територіальної громади міста Кривого Рогу», опрацьовано 2 законопроекти і 7 проектів постанов Уряду з питань передачі об’єктів права державної та комунальної власності.</w:t>
      </w:r>
    </w:p>
    <w:p w:rsidR="005F2598" w:rsidRPr="00242020" w:rsidRDefault="005F2598" w:rsidP="00102753">
      <w:pPr>
        <w:jc w:val="both"/>
        <w:rPr>
          <w:rFonts w:eastAsia="Times New Roman" w:cs="Times New Roman"/>
          <w:szCs w:val="28"/>
          <w:lang w:eastAsia="ru-RU"/>
        </w:rPr>
      </w:pPr>
      <w:r w:rsidRPr="00242020">
        <w:rPr>
          <w:rFonts w:eastAsia="Times New Roman" w:cs="Times New Roman"/>
          <w:szCs w:val="28"/>
          <w:lang w:eastAsia="ru-RU"/>
        </w:rPr>
        <w:t xml:space="preserve">Також протягом звітного періоду проводилася робота щодо надання </w:t>
      </w:r>
      <w:r w:rsidRPr="00242020">
        <w:rPr>
          <w:rFonts w:eastAsia="Times New Roman" w:cs="Times New Roman"/>
          <w:i/>
          <w:szCs w:val="28"/>
          <w:lang w:eastAsia="ru-RU"/>
        </w:rPr>
        <w:t>погодження (згоди) на відчуження та списання державного майна.</w:t>
      </w:r>
    </w:p>
    <w:p w:rsidR="005F2598" w:rsidRPr="00242020" w:rsidRDefault="005F2598" w:rsidP="00102753">
      <w:pPr>
        <w:jc w:val="both"/>
        <w:rPr>
          <w:rFonts w:eastAsia="Times New Roman" w:cs="Times New Roman"/>
          <w:szCs w:val="28"/>
          <w:lang w:eastAsia="ru-RU"/>
        </w:rPr>
      </w:pPr>
      <w:r w:rsidRPr="00242020">
        <w:rPr>
          <w:rFonts w:eastAsia="Times New Roman" w:cs="Times New Roman"/>
          <w:szCs w:val="28"/>
          <w:lang w:eastAsia="ru-RU"/>
        </w:rPr>
        <w:t>Так, згідно з Порядком відчуження об’єктів державної власності, затвердженим постановою Кабінету Міністрів України від 06 червня</w:t>
      </w:r>
      <w:r w:rsidRPr="00242020">
        <w:rPr>
          <w:rFonts w:eastAsia="Times New Roman" w:cs="Times New Roman"/>
          <w:szCs w:val="28"/>
          <w:lang w:eastAsia="ru-RU"/>
        </w:rPr>
        <w:br/>
        <w:t xml:space="preserve">2007 року № 803 (із змінами), за поданням відповідних суб’єктів управління надано погодження (згоду) на відчуження </w:t>
      </w:r>
      <w:r w:rsidRPr="00242020">
        <w:rPr>
          <w:rFonts w:eastAsia="Times New Roman" w:cs="Times New Roman"/>
          <w:b/>
          <w:szCs w:val="28"/>
          <w:lang w:eastAsia="ru-RU"/>
        </w:rPr>
        <w:t>36</w:t>
      </w:r>
      <w:r w:rsidRPr="00242020">
        <w:rPr>
          <w:rFonts w:eastAsia="Times New Roman" w:cs="Times New Roman"/>
          <w:szCs w:val="28"/>
          <w:lang w:eastAsia="ru-RU"/>
        </w:rPr>
        <w:t xml:space="preserve"> об’єктів основних фондів (нерухоме майно, авіатехніка). </w:t>
      </w:r>
      <w:r w:rsidRPr="00242020">
        <w:rPr>
          <w:rFonts w:eastAsia="Times New Roman" w:cs="Times New Roman"/>
          <w:szCs w:val="20"/>
          <w:lang w:eastAsia="ru-RU"/>
        </w:rPr>
        <w:t xml:space="preserve">Погодження (згода) на відчуження зазначеного майна надавалося Фондом за умови продажу цього майна виключно на аукціоні. Незалежна оцінка вартості майна (початкова вартість), на яке надано погодження (згоду) на відчуження, становить </w:t>
      </w:r>
      <w:r w:rsidRPr="00242020">
        <w:rPr>
          <w:rFonts w:eastAsia="Times New Roman" w:cs="Times New Roman"/>
          <w:b/>
          <w:szCs w:val="20"/>
          <w:lang w:eastAsia="ru-RU"/>
        </w:rPr>
        <w:t>25,18</w:t>
      </w:r>
      <w:r w:rsidRPr="00242020">
        <w:rPr>
          <w:rFonts w:eastAsia="Times New Roman" w:cs="Times New Roman"/>
          <w:szCs w:val="20"/>
          <w:lang w:eastAsia="ru-RU"/>
        </w:rPr>
        <w:t xml:space="preserve"> </w:t>
      </w:r>
      <w:proofErr w:type="spellStart"/>
      <w:r w:rsidRPr="00242020">
        <w:rPr>
          <w:rFonts w:eastAsia="Times New Roman" w:cs="Times New Roman"/>
          <w:szCs w:val="20"/>
          <w:lang w:eastAsia="ru-RU"/>
        </w:rPr>
        <w:t>млн</w:t>
      </w:r>
      <w:proofErr w:type="spellEnd"/>
      <w:r w:rsidRPr="00242020">
        <w:rPr>
          <w:rFonts w:eastAsia="Times New Roman" w:cs="Times New Roman"/>
          <w:szCs w:val="20"/>
          <w:lang w:eastAsia="ru-RU"/>
        </w:rPr>
        <w:t xml:space="preserve"> </w:t>
      </w:r>
      <w:proofErr w:type="spellStart"/>
      <w:r w:rsidRPr="00242020">
        <w:rPr>
          <w:rFonts w:eastAsia="Times New Roman" w:cs="Times New Roman"/>
          <w:szCs w:val="20"/>
          <w:lang w:eastAsia="ru-RU"/>
        </w:rPr>
        <w:t>грн</w:t>
      </w:r>
      <w:proofErr w:type="spellEnd"/>
      <w:r w:rsidRPr="00242020">
        <w:rPr>
          <w:rFonts w:eastAsia="Times New Roman" w:cs="Times New Roman"/>
          <w:szCs w:val="20"/>
          <w:lang w:eastAsia="ru-RU"/>
        </w:rPr>
        <w:t xml:space="preserve"> (з урахуванням ПДВ).</w:t>
      </w:r>
    </w:p>
    <w:p w:rsidR="005F2598" w:rsidRPr="00242020" w:rsidRDefault="005F2598" w:rsidP="00102753">
      <w:pPr>
        <w:jc w:val="both"/>
        <w:rPr>
          <w:rFonts w:eastAsia="Times New Roman" w:cs="Times New Roman"/>
          <w:szCs w:val="28"/>
          <w:lang w:eastAsia="ru-RU"/>
        </w:rPr>
      </w:pPr>
      <w:r w:rsidRPr="00242020">
        <w:rPr>
          <w:rFonts w:eastAsia="Times New Roman" w:cs="Times New Roman"/>
          <w:szCs w:val="20"/>
          <w:lang w:eastAsia="ru-RU"/>
        </w:rPr>
        <w:t>Згідно з Порядком списання об’єктів державної власності, затвердженим постановою Кабінету Міністрів України від 08 листопада</w:t>
      </w:r>
      <w:r w:rsidR="00CC7727" w:rsidRPr="00242020">
        <w:rPr>
          <w:rFonts w:eastAsia="Times New Roman" w:cs="Times New Roman"/>
          <w:szCs w:val="20"/>
          <w:lang w:eastAsia="ru-RU"/>
        </w:rPr>
        <w:t xml:space="preserve"> </w:t>
      </w:r>
      <w:r w:rsidRPr="00242020">
        <w:rPr>
          <w:rFonts w:eastAsia="Times New Roman" w:cs="Times New Roman"/>
          <w:szCs w:val="20"/>
          <w:lang w:eastAsia="ru-RU"/>
        </w:rPr>
        <w:t>2007 року № 1314</w:t>
      </w:r>
      <w:r w:rsidR="00CC7727" w:rsidRPr="00242020">
        <w:rPr>
          <w:rFonts w:eastAsia="Times New Roman" w:cs="Times New Roman"/>
          <w:szCs w:val="20"/>
          <w:lang w:eastAsia="ru-RU"/>
        </w:rPr>
        <w:br/>
      </w:r>
      <w:r w:rsidRPr="00242020">
        <w:rPr>
          <w:rFonts w:eastAsia="Times New Roman" w:cs="Times New Roman"/>
          <w:szCs w:val="20"/>
          <w:lang w:eastAsia="ru-RU"/>
        </w:rPr>
        <w:t xml:space="preserve">(із змінами), за поданням відповідних суб’єктів управління Фондом надано погодження (згоду) на списання </w:t>
      </w:r>
      <w:r w:rsidRPr="00242020">
        <w:rPr>
          <w:rFonts w:eastAsia="Times New Roman" w:cs="Times New Roman"/>
          <w:b/>
          <w:szCs w:val="20"/>
          <w:lang w:eastAsia="ru-RU"/>
        </w:rPr>
        <w:t>32</w:t>
      </w:r>
      <w:r w:rsidRPr="00242020">
        <w:rPr>
          <w:rFonts w:eastAsia="Times New Roman" w:cs="Times New Roman"/>
          <w:szCs w:val="20"/>
          <w:lang w:eastAsia="ru-RU"/>
        </w:rPr>
        <w:t xml:space="preserve"> об’єктів основних засобів (нерухомого майна, оргтехніки).</w:t>
      </w:r>
    </w:p>
    <w:p w:rsidR="005F2598" w:rsidRPr="00242020" w:rsidRDefault="005F2598" w:rsidP="00102753">
      <w:pPr>
        <w:widowControl/>
        <w:jc w:val="both"/>
        <w:rPr>
          <w:rFonts w:eastAsia="Times New Roman" w:cs="Times New Roman"/>
          <w:szCs w:val="28"/>
          <w:lang w:eastAsia="ru-RU"/>
        </w:rPr>
      </w:pPr>
      <w:r w:rsidRPr="00242020">
        <w:rPr>
          <w:rFonts w:eastAsia="Times New Roman" w:cs="Times New Roman"/>
          <w:szCs w:val="28"/>
          <w:lang w:eastAsia="ru-RU"/>
        </w:rPr>
        <w:lastRenderedPageBreak/>
        <w:t>З метою посилення контролю держави під час списання нерухомого майна, забезпечення інтересів держави як власника майна та збільшення потенційних об’єктів приватизації було розроблено та прийнято Урядом постанову Кабінету Міністрів України від 16 листопада 2016 року № 824 «Про внесення змін до Порядку списання об’єктів державної власності».</w:t>
      </w:r>
    </w:p>
    <w:p w:rsidR="005F2598" w:rsidRPr="00242020" w:rsidRDefault="005F2598" w:rsidP="00102753">
      <w:pPr>
        <w:adjustRightInd w:val="0"/>
        <w:jc w:val="both"/>
        <w:rPr>
          <w:rFonts w:eastAsia="Times New Roman" w:cs="Times New Roman"/>
          <w:szCs w:val="28"/>
          <w:lang w:eastAsia="ru-RU"/>
        </w:rPr>
      </w:pPr>
      <w:r w:rsidRPr="00242020">
        <w:rPr>
          <w:rFonts w:eastAsia="Times New Roman" w:cs="Times New Roman"/>
          <w:szCs w:val="28"/>
          <w:lang w:eastAsia="ru-RU"/>
        </w:rPr>
        <w:t xml:space="preserve">Протягом звітного періоду продовжувалася робота, пов’язана з </w:t>
      </w:r>
      <w:r w:rsidRPr="00242020">
        <w:rPr>
          <w:rFonts w:eastAsia="Times New Roman" w:cs="Times New Roman"/>
          <w:i/>
          <w:szCs w:val="28"/>
          <w:lang w:eastAsia="ru-RU"/>
        </w:rPr>
        <w:t>поверненням за рішенням судів</w:t>
      </w:r>
      <w:r w:rsidRPr="00242020">
        <w:rPr>
          <w:rFonts w:eastAsia="Times New Roman" w:cs="Times New Roman"/>
          <w:szCs w:val="28"/>
          <w:lang w:eastAsia="ru-RU"/>
        </w:rPr>
        <w:t xml:space="preserve"> у власність держави в особі Фонду </w:t>
      </w:r>
      <w:r w:rsidRPr="00242020">
        <w:rPr>
          <w:rFonts w:eastAsia="Times New Roman" w:cs="Times New Roman"/>
          <w:i/>
          <w:szCs w:val="28"/>
          <w:lang w:eastAsia="ru-RU"/>
        </w:rPr>
        <w:t xml:space="preserve">майна загальносоюзних громадських об’єднань </w:t>
      </w:r>
      <w:r w:rsidRPr="00242020">
        <w:rPr>
          <w:rFonts w:eastAsia="Times New Roman" w:cs="Times New Roman"/>
          <w:szCs w:val="28"/>
          <w:lang w:eastAsia="ru-RU"/>
        </w:rPr>
        <w:t>(організацій) колишнього СРСР, яке перебувало/перебуває у користуванні громадських організацій (Федерації профспілок України та суб’єктів господарювання, створених за її участю).</w:t>
      </w:r>
    </w:p>
    <w:p w:rsidR="005F2598" w:rsidRPr="00242020" w:rsidRDefault="005F2598" w:rsidP="00102753">
      <w:pPr>
        <w:adjustRightInd w:val="0"/>
        <w:jc w:val="both"/>
        <w:rPr>
          <w:rFonts w:eastAsia="Times New Roman" w:cs="Times New Roman"/>
          <w:szCs w:val="28"/>
          <w:lang w:eastAsia="ru-RU"/>
        </w:rPr>
      </w:pPr>
      <w:r w:rsidRPr="00242020">
        <w:rPr>
          <w:rFonts w:eastAsia="Times New Roman" w:cs="Times New Roman"/>
          <w:szCs w:val="28"/>
          <w:lang w:eastAsia="ru-RU"/>
        </w:rPr>
        <w:t xml:space="preserve">Станом на 31 грудня 2016 року з урахуванням вимог законодавства органами приватизації забезпечено на підставі 43 рішень суду, що набрали законної сили, державну реєстрацію права власності на вказане майно за державою в особі Фонду, </w:t>
      </w:r>
      <w:r w:rsidR="00660C74">
        <w:rPr>
          <w:rFonts w:eastAsia="Times New Roman" w:cs="Times New Roman"/>
          <w:szCs w:val="28"/>
          <w:lang w:eastAsia="ru-RU"/>
        </w:rPr>
        <w:t>у</w:t>
      </w:r>
      <w:r w:rsidRPr="00242020">
        <w:rPr>
          <w:rFonts w:eastAsia="Times New Roman" w:cs="Times New Roman"/>
          <w:szCs w:val="28"/>
          <w:lang w:eastAsia="ru-RU"/>
        </w:rPr>
        <w:t xml:space="preserve"> тому числі на підставі 4 рішень суду регіональними відділеннями Фонду забезпечено державну реєстрацію права власності за державою в особі Фонду на майно, яке розташовано в зоні </w:t>
      </w:r>
      <w:proofErr w:type="spellStart"/>
      <w:r w:rsidRPr="00242020">
        <w:rPr>
          <w:rFonts w:eastAsia="Times New Roman" w:cs="Times New Roman"/>
          <w:szCs w:val="28"/>
          <w:lang w:eastAsia="ru-RU"/>
        </w:rPr>
        <w:t>АТО</w:t>
      </w:r>
      <w:proofErr w:type="spellEnd"/>
      <w:r w:rsidRPr="00242020">
        <w:rPr>
          <w:rFonts w:eastAsia="Times New Roman" w:cs="Times New Roman"/>
          <w:szCs w:val="28"/>
          <w:lang w:eastAsia="ru-RU"/>
        </w:rPr>
        <w:t xml:space="preserve"> (1 рішення суду) та на території АР</w:t>
      </w:r>
      <w:r w:rsidR="006129B8">
        <w:rPr>
          <w:rFonts w:eastAsia="Times New Roman" w:cs="Times New Roman"/>
          <w:szCs w:val="28"/>
          <w:lang w:eastAsia="ru-RU"/>
        </w:rPr>
        <w:t> </w:t>
      </w:r>
      <w:r w:rsidRPr="00242020">
        <w:rPr>
          <w:rFonts w:eastAsia="Times New Roman" w:cs="Times New Roman"/>
          <w:szCs w:val="28"/>
          <w:lang w:eastAsia="ru-RU"/>
        </w:rPr>
        <w:t>Крим (3 рішення суду).</w:t>
      </w:r>
    </w:p>
    <w:p w:rsidR="005F2598" w:rsidRPr="00242020" w:rsidRDefault="005F2598" w:rsidP="00102753">
      <w:pPr>
        <w:adjustRightInd w:val="0"/>
        <w:jc w:val="both"/>
        <w:rPr>
          <w:rFonts w:eastAsia="Times New Roman" w:cs="Times New Roman"/>
          <w:szCs w:val="28"/>
          <w:lang w:eastAsia="ru-RU"/>
        </w:rPr>
      </w:pPr>
      <w:r w:rsidRPr="00242020">
        <w:rPr>
          <w:rFonts w:eastAsia="Times New Roman" w:cs="Times New Roman"/>
          <w:szCs w:val="28"/>
          <w:lang w:eastAsia="ru-RU"/>
        </w:rPr>
        <w:t>Протягом 2016 року опрацьовано 19 рішень Уряду щодо віднесення майна, яке повернено у державну власність, до сфери управління органів державної влади, 7</w:t>
      </w:r>
      <w:r w:rsidRPr="00242020">
        <w:rPr>
          <w:rFonts w:eastAsia="Times New Roman" w:cs="Times New Roman"/>
          <w:b/>
          <w:szCs w:val="28"/>
          <w:lang w:eastAsia="ru-RU"/>
        </w:rPr>
        <w:t xml:space="preserve"> </w:t>
      </w:r>
      <w:r w:rsidRPr="00242020">
        <w:rPr>
          <w:rFonts w:eastAsia="Times New Roman" w:cs="Times New Roman"/>
          <w:szCs w:val="28"/>
          <w:lang w:eastAsia="ru-RU"/>
        </w:rPr>
        <w:t>з яких прийняті Урядом.</w:t>
      </w:r>
    </w:p>
    <w:p w:rsidR="005F2598" w:rsidRPr="00242020" w:rsidRDefault="005F2598" w:rsidP="00102753">
      <w:pPr>
        <w:widowControl/>
        <w:jc w:val="both"/>
        <w:rPr>
          <w:rFonts w:eastAsia="Times New Roman" w:cs="Times New Roman"/>
          <w:szCs w:val="28"/>
          <w:lang w:eastAsia="ru-RU"/>
        </w:rPr>
      </w:pPr>
      <w:r w:rsidRPr="00242020">
        <w:rPr>
          <w:rFonts w:eastAsia="Times New Roman" w:cs="Times New Roman"/>
          <w:szCs w:val="20"/>
          <w:lang w:eastAsia="ru-RU"/>
        </w:rPr>
        <w:t xml:space="preserve">Також протягом звітного періоду опрацьовано розроблені </w:t>
      </w:r>
      <w:proofErr w:type="spellStart"/>
      <w:r w:rsidRPr="006129B8">
        <w:rPr>
          <w:rFonts w:eastAsia="Times New Roman" w:cs="Times New Roman"/>
          <w:szCs w:val="20"/>
          <w:lang w:eastAsia="ru-RU"/>
        </w:rPr>
        <w:t>Мінекономрозвитку</w:t>
      </w:r>
      <w:proofErr w:type="spellEnd"/>
      <w:r w:rsidRPr="006129B8">
        <w:rPr>
          <w:rFonts w:eastAsia="Times New Roman" w:cs="Times New Roman"/>
          <w:szCs w:val="20"/>
          <w:lang w:eastAsia="ru-RU"/>
        </w:rPr>
        <w:t xml:space="preserve"> </w:t>
      </w:r>
      <w:r w:rsidRPr="006129B8">
        <w:rPr>
          <w:rFonts w:eastAsia="Times New Roman" w:cs="Times New Roman"/>
          <w:szCs w:val="28"/>
          <w:lang w:eastAsia="ru-RU"/>
        </w:rPr>
        <w:t>проект Закону України «Про правовий режим майна</w:t>
      </w:r>
      <w:r w:rsidRPr="00242020">
        <w:rPr>
          <w:rFonts w:eastAsia="Times New Roman" w:cs="Times New Roman"/>
          <w:szCs w:val="28"/>
          <w:lang w:eastAsia="ru-RU"/>
        </w:rPr>
        <w:t xml:space="preserve"> загальносоюзних громадських об’єднань (організацій) колишнього Союзу РСР», який погоджено із зауваженнями, та проект постанови Кабінету Міністрів України «Про внесення змін до Порядку визначення суб’єкта управління об’єктами, що повернуті у власність держави, та іншим майном, суб’єкт управління якого не визначений».</w:t>
      </w:r>
    </w:p>
    <w:p w:rsidR="005F2598" w:rsidRPr="00242020" w:rsidRDefault="005F2598" w:rsidP="00102753">
      <w:pPr>
        <w:widowControl/>
        <w:ind w:firstLine="708"/>
        <w:jc w:val="both"/>
        <w:rPr>
          <w:rFonts w:eastAsia="Times New Roman" w:cs="Times New Roman"/>
          <w:szCs w:val="20"/>
          <w:lang w:eastAsia="ru-RU"/>
        </w:rPr>
      </w:pPr>
      <w:r w:rsidRPr="00242020">
        <w:rPr>
          <w:rFonts w:eastAsia="Times New Roman" w:cs="Times New Roman"/>
          <w:szCs w:val="20"/>
          <w:lang w:eastAsia="ru-RU"/>
        </w:rPr>
        <w:t xml:space="preserve">З метою приведення нормативно-правових актів </w:t>
      </w:r>
      <w:proofErr w:type="spellStart"/>
      <w:r w:rsidRPr="006129B8">
        <w:rPr>
          <w:rFonts w:eastAsia="Times New Roman" w:cs="Times New Roman"/>
          <w:szCs w:val="20"/>
          <w:lang w:eastAsia="ru-RU"/>
        </w:rPr>
        <w:t>Мінекономрозвитку</w:t>
      </w:r>
      <w:proofErr w:type="spellEnd"/>
      <w:r w:rsidRPr="006129B8">
        <w:rPr>
          <w:rFonts w:eastAsia="Times New Roman" w:cs="Times New Roman"/>
          <w:szCs w:val="20"/>
          <w:lang w:eastAsia="ru-RU"/>
        </w:rPr>
        <w:t>,</w:t>
      </w:r>
      <w:r w:rsidRPr="00242020">
        <w:rPr>
          <w:rFonts w:eastAsia="Times New Roman" w:cs="Times New Roman"/>
          <w:szCs w:val="20"/>
          <w:lang w:eastAsia="ru-RU"/>
        </w:rPr>
        <w:t xml:space="preserve"> Фонду та Міністерства юстиції України у відповідність із нормами законодавства України підготовлено проект наказу </w:t>
      </w:r>
      <w:proofErr w:type="spellStart"/>
      <w:r w:rsidRPr="006129B8">
        <w:rPr>
          <w:rFonts w:eastAsia="Times New Roman" w:cs="Times New Roman"/>
          <w:szCs w:val="20"/>
          <w:lang w:eastAsia="ru-RU"/>
        </w:rPr>
        <w:t>Мінекономрозвитку</w:t>
      </w:r>
      <w:proofErr w:type="spellEnd"/>
      <w:r w:rsidRPr="00242020">
        <w:rPr>
          <w:rFonts w:eastAsia="Times New Roman" w:cs="Times New Roman"/>
          <w:szCs w:val="20"/>
          <w:lang w:eastAsia="ru-RU"/>
        </w:rPr>
        <w:t>, Фонду та Міністерства юстиції України</w:t>
      </w:r>
      <w:r w:rsidRPr="00242020">
        <w:rPr>
          <w:rFonts w:eastAsia="Times New Roman" w:cs="Times New Roman"/>
          <w:szCs w:val="28"/>
          <w:lang w:eastAsia="ru-RU"/>
        </w:rPr>
        <w:t xml:space="preserve"> «</w:t>
      </w:r>
      <w:r w:rsidRPr="00242020">
        <w:rPr>
          <w:rFonts w:eastAsia="Times New Roman" w:cs="Times New Roman"/>
          <w:szCs w:val="20"/>
          <w:lang w:eastAsia="ru-RU"/>
        </w:rPr>
        <w:t>Про затвердження Змін до Порядку передачі нерухомого майна у власність творчим спілкам».</w:t>
      </w:r>
    </w:p>
    <w:p w:rsidR="005F2598" w:rsidRPr="00242020" w:rsidRDefault="005F2598" w:rsidP="00102753">
      <w:pPr>
        <w:widowControl/>
        <w:tabs>
          <w:tab w:val="num" w:pos="720"/>
        </w:tabs>
        <w:jc w:val="both"/>
        <w:rPr>
          <w:rFonts w:eastAsia="Times New Roman" w:cs="Times New Roman"/>
          <w:szCs w:val="20"/>
          <w:lang w:eastAsia="ru-RU"/>
        </w:rPr>
      </w:pPr>
      <w:r w:rsidRPr="00242020">
        <w:rPr>
          <w:rFonts w:eastAsia="Times New Roman" w:cs="Times New Roman"/>
          <w:szCs w:val="20"/>
          <w:lang w:eastAsia="ru-RU"/>
        </w:rPr>
        <w:t xml:space="preserve">Також протягом звітного періоду з метою </w:t>
      </w:r>
      <w:r w:rsidRPr="00242020">
        <w:rPr>
          <w:rFonts w:eastAsia="Times New Roman" w:cs="Times New Roman"/>
          <w:i/>
          <w:szCs w:val="20"/>
          <w:lang w:eastAsia="ru-RU"/>
        </w:rPr>
        <w:t>забезпечення передачі нерухомого майна у власність або у безоплатне довічне користування</w:t>
      </w:r>
      <w:r w:rsidRPr="00242020">
        <w:rPr>
          <w:rFonts w:eastAsia="Times New Roman" w:cs="Times New Roman"/>
          <w:szCs w:val="20"/>
          <w:lang w:eastAsia="ru-RU"/>
        </w:rPr>
        <w:t xml:space="preserve"> </w:t>
      </w:r>
      <w:r w:rsidRPr="00242020">
        <w:rPr>
          <w:rFonts w:eastAsia="Times New Roman" w:cs="Times New Roman"/>
          <w:i/>
          <w:szCs w:val="20"/>
          <w:lang w:eastAsia="ru-RU"/>
        </w:rPr>
        <w:t>Національній спілці художників України</w:t>
      </w:r>
      <w:r w:rsidRPr="00242020">
        <w:rPr>
          <w:rFonts w:eastAsia="Times New Roman" w:cs="Times New Roman"/>
          <w:szCs w:val="20"/>
          <w:lang w:eastAsia="ru-RU"/>
        </w:rPr>
        <w:t xml:space="preserve"> розроблено 2</w:t>
      </w:r>
      <w:r w:rsidRPr="00242020">
        <w:rPr>
          <w:rFonts w:eastAsia="Times New Roman" w:cs="Times New Roman"/>
          <w:b/>
          <w:szCs w:val="20"/>
          <w:lang w:eastAsia="ru-RU"/>
        </w:rPr>
        <w:t xml:space="preserve"> </w:t>
      </w:r>
      <w:r w:rsidRPr="00242020">
        <w:rPr>
          <w:rFonts w:eastAsia="Times New Roman" w:cs="Times New Roman"/>
          <w:szCs w:val="20"/>
          <w:lang w:eastAsia="ru-RU"/>
        </w:rPr>
        <w:t>спільних накази Фонду та Національної спілки художників України (від 25 квітня 2016 року № 858/13 та від 11 липня 2016 року № 1320/25).</w:t>
      </w:r>
    </w:p>
    <w:p w:rsidR="005F2598" w:rsidRPr="00242020" w:rsidRDefault="005F2598" w:rsidP="005F2598">
      <w:pPr>
        <w:jc w:val="both"/>
        <w:rPr>
          <w:rFonts w:eastAsia="Times New Roman" w:cs="Times New Roman"/>
          <w:sz w:val="16"/>
          <w:szCs w:val="16"/>
          <w:lang w:eastAsia="ru-RU"/>
        </w:rPr>
      </w:pPr>
    </w:p>
    <w:p w:rsidR="00805AB4" w:rsidRPr="00242020" w:rsidRDefault="00805AB4" w:rsidP="00805AB4">
      <w:pPr>
        <w:pStyle w:val="2"/>
        <w:rPr>
          <w:szCs w:val="28"/>
        </w:rPr>
      </w:pPr>
      <w:r w:rsidRPr="00242020">
        <w:t>3.5. Управління корпоративними правами держави</w:t>
      </w:r>
    </w:p>
    <w:p w:rsidR="006F4201" w:rsidRPr="00242020" w:rsidRDefault="006F4201" w:rsidP="006F4201">
      <w:pPr>
        <w:jc w:val="both"/>
        <w:rPr>
          <w:rFonts w:eastAsia="Times New Roman" w:cs="Times New Roman"/>
          <w:sz w:val="12"/>
          <w:szCs w:val="12"/>
          <w:lang w:eastAsia="ru-RU"/>
        </w:rPr>
      </w:pPr>
    </w:p>
    <w:p w:rsidR="00805AB4" w:rsidRPr="00242020" w:rsidRDefault="00805AB4" w:rsidP="00805AB4">
      <w:pPr>
        <w:pStyle w:val="2"/>
      </w:pPr>
      <w:r w:rsidRPr="00242020">
        <w:t>3.5.1. Структура корпоративних прав держави</w:t>
      </w:r>
    </w:p>
    <w:p w:rsidR="006F4201" w:rsidRPr="00242020" w:rsidRDefault="006F4201" w:rsidP="006F4201">
      <w:pPr>
        <w:jc w:val="both"/>
        <w:rPr>
          <w:rFonts w:eastAsia="Times New Roman" w:cs="Times New Roman"/>
          <w:sz w:val="12"/>
          <w:szCs w:val="12"/>
          <w:lang w:eastAsia="ru-RU"/>
        </w:rPr>
      </w:pPr>
    </w:p>
    <w:p w:rsidR="004A4A2B" w:rsidRPr="00242020" w:rsidRDefault="004A4A2B" w:rsidP="004A4A2B">
      <w:pPr>
        <w:jc w:val="both"/>
        <w:rPr>
          <w:rFonts w:eastAsia="Times New Roman" w:cs="Times New Roman"/>
          <w:highlight w:val="yellow"/>
        </w:rPr>
      </w:pPr>
      <w:r w:rsidRPr="00242020">
        <w:rPr>
          <w:rFonts w:eastAsia="Times New Roman" w:cs="Times New Roman"/>
        </w:rPr>
        <w:t xml:space="preserve">Повноваження Фонду щодо </w:t>
      </w:r>
      <w:r w:rsidRPr="00242020">
        <w:rPr>
          <w:rFonts w:eastAsia="Times New Roman" w:cs="Times New Roman"/>
          <w:szCs w:val="28"/>
          <w:lang w:eastAsia="ru-RU"/>
        </w:rPr>
        <w:t xml:space="preserve">обліку корпоративних прав держави, формування і ведення Реєстру корпоративних прав держави визначені </w:t>
      </w:r>
      <w:r w:rsidRPr="00242020">
        <w:rPr>
          <w:rFonts w:eastAsia="Times New Roman" w:cs="Times New Roman"/>
        </w:rPr>
        <w:t>законами України «Про управління об’єктами державної власності», «</w:t>
      </w:r>
      <w:r w:rsidRPr="00242020">
        <w:rPr>
          <w:rFonts w:eastAsia="Times New Roman" w:cs="Times New Roman"/>
          <w:szCs w:val="28"/>
          <w:lang w:eastAsia="ru-RU"/>
        </w:rPr>
        <w:t xml:space="preserve">Про Фонд </w:t>
      </w:r>
      <w:r w:rsidRPr="00242020">
        <w:rPr>
          <w:rFonts w:eastAsia="Times New Roman" w:cs="Times New Roman"/>
        </w:rPr>
        <w:t xml:space="preserve">державного майна України» та постановою Кабінету Міністрів України від 29 </w:t>
      </w:r>
      <w:r w:rsidRPr="00242020">
        <w:rPr>
          <w:rFonts w:eastAsia="Times New Roman" w:cs="Times New Roman"/>
        </w:rPr>
        <w:lastRenderedPageBreak/>
        <w:t>жовтня 2003 року № 1679 «Про формування і ведення Реєстру корпоративних прав держави».</w:t>
      </w:r>
    </w:p>
    <w:p w:rsidR="004A4A2B" w:rsidRPr="00242020" w:rsidRDefault="004A4A2B" w:rsidP="004A4A2B">
      <w:pPr>
        <w:jc w:val="both"/>
        <w:rPr>
          <w:rFonts w:eastAsia="Times New Roman" w:cs="Times New Roman"/>
        </w:rPr>
      </w:pPr>
      <w:r w:rsidRPr="00242020">
        <w:rPr>
          <w:rFonts w:eastAsia="Times New Roman" w:cs="Times New Roman"/>
        </w:rPr>
        <w:t xml:space="preserve">Станом на 01 січня 2017 року в Реєстрі корпоративних прав держави обліковується </w:t>
      </w:r>
      <w:r w:rsidRPr="00242020">
        <w:rPr>
          <w:rFonts w:eastAsia="Times New Roman" w:cs="Times New Roman"/>
          <w:b/>
        </w:rPr>
        <w:t>526</w:t>
      </w:r>
      <w:r w:rsidRPr="00242020">
        <w:rPr>
          <w:rFonts w:eastAsia="Times New Roman" w:cs="Times New Roman"/>
        </w:rPr>
        <w:t xml:space="preserve"> господарських товариств, які мають частку держави у статутному капіталі.</w:t>
      </w:r>
    </w:p>
    <w:p w:rsidR="004A4A2B" w:rsidRPr="00242020" w:rsidRDefault="004A4A2B" w:rsidP="004A4A2B">
      <w:pPr>
        <w:jc w:val="both"/>
        <w:rPr>
          <w:rFonts w:eastAsia="Times New Roman" w:cs="Times New Roman"/>
        </w:rPr>
      </w:pPr>
      <w:r w:rsidRPr="00242020">
        <w:rPr>
          <w:rFonts w:eastAsia="Times New Roman" w:cs="Times New Roman"/>
        </w:rPr>
        <w:t xml:space="preserve">Держава в особі Уряду України, Фонду, міністерств та інших центральних і місцевих органів виконавчої влади здійснює управління корпоративними правами держави у </w:t>
      </w:r>
      <w:r w:rsidRPr="00242020">
        <w:rPr>
          <w:rFonts w:eastAsia="Times New Roman" w:cs="Times New Roman"/>
          <w:b/>
        </w:rPr>
        <w:t>407</w:t>
      </w:r>
      <w:r w:rsidRPr="00242020">
        <w:rPr>
          <w:rFonts w:eastAsia="Times New Roman" w:cs="Times New Roman"/>
        </w:rPr>
        <w:t xml:space="preserve"> АТ, </w:t>
      </w:r>
      <w:r w:rsidRPr="00242020">
        <w:rPr>
          <w:rFonts w:eastAsia="Times New Roman" w:cs="Times New Roman"/>
          <w:b/>
        </w:rPr>
        <w:t>90</w:t>
      </w:r>
      <w:r w:rsidRPr="00242020">
        <w:rPr>
          <w:rFonts w:eastAsia="Times New Roman" w:cs="Times New Roman"/>
        </w:rPr>
        <w:t xml:space="preserve"> товариствах з обмеженою відповідальністю (ТОВ) та </w:t>
      </w:r>
      <w:r w:rsidRPr="00242020">
        <w:rPr>
          <w:rFonts w:eastAsia="Times New Roman" w:cs="Times New Roman"/>
          <w:b/>
        </w:rPr>
        <w:t>29</w:t>
      </w:r>
      <w:r w:rsidRPr="00242020">
        <w:rPr>
          <w:rFonts w:eastAsia="Times New Roman" w:cs="Times New Roman"/>
        </w:rPr>
        <w:t xml:space="preserve"> національних акціонерних компаніях (НАК) і державних холдингових компаніях (</w:t>
      </w:r>
      <w:proofErr w:type="spellStart"/>
      <w:r w:rsidRPr="00242020">
        <w:rPr>
          <w:rFonts w:eastAsia="Times New Roman" w:cs="Times New Roman"/>
        </w:rPr>
        <w:t>ДХК</w:t>
      </w:r>
      <w:proofErr w:type="spellEnd"/>
      <w:r w:rsidRPr="00242020">
        <w:rPr>
          <w:rFonts w:eastAsia="Times New Roman" w:cs="Times New Roman"/>
        </w:rPr>
        <w:t>), створених відповідно до окремих рішень Президента України та Уряду.</w:t>
      </w:r>
    </w:p>
    <w:p w:rsidR="004A4A2B" w:rsidRPr="00242020" w:rsidRDefault="004A4A2B" w:rsidP="004A4A2B">
      <w:pPr>
        <w:jc w:val="both"/>
        <w:rPr>
          <w:rFonts w:eastAsia="Times New Roman" w:cs="Times New Roman"/>
        </w:rPr>
      </w:pPr>
      <w:r w:rsidRPr="00242020">
        <w:rPr>
          <w:rFonts w:eastAsia="Times New Roman" w:cs="Times New Roman"/>
        </w:rPr>
        <w:t xml:space="preserve">Із загальної кількості господарських товариств, які мають частку держави у статутному капіталі: </w:t>
      </w:r>
    </w:p>
    <w:p w:rsidR="004A4A2B" w:rsidRPr="00242020" w:rsidRDefault="004A4A2B" w:rsidP="004A4A2B">
      <w:pPr>
        <w:widowControl/>
        <w:numPr>
          <w:ilvl w:val="0"/>
          <w:numId w:val="18"/>
        </w:numPr>
        <w:tabs>
          <w:tab w:val="num" w:pos="993"/>
        </w:tabs>
        <w:ind w:left="0" w:firstLine="709"/>
        <w:jc w:val="both"/>
        <w:rPr>
          <w:rFonts w:eastAsia="Times New Roman" w:cs="Times New Roman"/>
          <w:szCs w:val="28"/>
          <w:lang w:eastAsia="ru-RU"/>
        </w:rPr>
      </w:pPr>
      <w:r w:rsidRPr="00242020">
        <w:rPr>
          <w:rFonts w:eastAsia="Times New Roman" w:cs="Times New Roman"/>
          <w:b/>
        </w:rPr>
        <w:t>262</w:t>
      </w:r>
      <w:r w:rsidRPr="00242020">
        <w:rPr>
          <w:rFonts w:eastAsia="Times New Roman" w:cs="Times New Roman"/>
        </w:rPr>
        <w:t xml:space="preserve"> господарських товариства (49,81 % загальної кількості) мають у статутному капіталі державну частку понад </w:t>
      </w:r>
      <w:r w:rsidRPr="00242020">
        <w:rPr>
          <w:rFonts w:eastAsia="Times New Roman" w:cs="Times New Roman"/>
          <w:b/>
        </w:rPr>
        <w:t>50 %</w:t>
      </w:r>
      <w:r w:rsidRPr="00242020">
        <w:rPr>
          <w:rFonts w:eastAsia="Times New Roman" w:cs="Times New Roman"/>
        </w:rPr>
        <w:t xml:space="preserve">, що надає державі право контролю за їх діяльністю (контрольний пакет), з яких </w:t>
      </w:r>
      <w:r w:rsidRPr="00242020">
        <w:rPr>
          <w:rFonts w:eastAsia="Times New Roman" w:cs="Times New Roman"/>
          <w:b/>
        </w:rPr>
        <w:t>146</w:t>
      </w:r>
      <w:r w:rsidRPr="00242020">
        <w:rPr>
          <w:rFonts w:eastAsia="Times New Roman" w:cs="Times New Roman"/>
        </w:rPr>
        <w:t xml:space="preserve"> господарських товариств (27,75 % загальної кількості) мають державну частку </w:t>
      </w:r>
      <w:r w:rsidRPr="00242020">
        <w:rPr>
          <w:rFonts w:eastAsia="Times New Roman" w:cs="Times New Roman"/>
          <w:b/>
        </w:rPr>
        <w:t>100 %</w:t>
      </w:r>
      <w:r w:rsidRPr="00242020">
        <w:rPr>
          <w:rFonts w:eastAsia="Times New Roman" w:cs="Times New Roman"/>
        </w:rPr>
        <w:t>;</w:t>
      </w:r>
    </w:p>
    <w:p w:rsidR="004A4A2B" w:rsidRPr="00242020" w:rsidRDefault="004A4A2B" w:rsidP="004A4A2B">
      <w:pPr>
        <w:widowControl/>
        <w:numPr>
          <w:ilvl w:val="0"/>
          <w:numId w:val="18"/>
        </w:numPr>
        <w:tabs>
          <w:tab w:val="num" w:pos="993"/>
        </w:tabs>
        <w:ind w:left="0" w:firstLine="709"/>
        <w:jc w:val="both"/>
        <w:rPr>
          <w:rFonts w:eastAsia="Times New Roman" w:cs="Times New Roman"/>
          <w:szCs w:val="28"/>
          <w:lang w:eastAsia="ru-RU"/>
        </w:rPr>
      </w:pPr>
      <w:r w:rsidRPr="00242020">
        <w:rPr>
          <w:rFonts w:eastAsia="Times New Roman" w:cs="Times New Roman"/>
          <w:b/>
        </w:rPr>
        <w:t>133</w:t>
      </w:r>
      <w:r w:rsidRPr="00242020">
        <w:rPr>
          <w:rFonts w:eastAsia="Times New Roman" w:cs="Times New Roman"/>
        </w:rPr>
        <w:t xml:space="preserve"> господарських товариства (25,29 %) мають державну частку у статутному капіталі розміром від </w:t>
      </w:r>
      <w:r w:rsidRPr="00242020">
        <w:rPr>
          <w:rFonts w:eastAsia="Times New Roman" w:cs="Times New Roman"/>
          <w:b/>
        </w:rPr>
        <w:t>25 %</w:t>
      </w:r>
      <w:r w:rsidRPr="00242020">
        <w:rPr>
          <w:rFonts w:eastAsia="Times New Roman" w:cs="Times New Roman"/>
        </w:rPr>
        <w:t xml:space="preserve"> до</w:t>
      </w:r>
      <w:r w:rsidRPr="00242020">
        <w:rPr>
          <w:rFonts w:eastAsia="Times New Roman" w:cs="Times New Roman"/>
          <w:b/>
        </w:rPr>
        <w:t xml:space="preserve"> 50 %</w:t>
      </w:r>
      <w:r w:rsidRPr="00242020">
        <w:rPr>
          <w:rFonts w:eastAsia="Times New Roman" w:cs="Times New Roman"/>
        </w:rPr>
        <w:t xml:space="preserve"> (</w:t>
      </w:r>
      <w:proofErr w:type="spellStart"/>
      <w:r w:rsidRPr="00242020">
        <w:rPr>
          <w:rFonts w:eastAsia="Times New Roman" w:cs="Times New Roman"/>
        </w:rPr>
        <w:t>блокуючий</w:t>
      </w:r>
      <w:proofErr w:type="spellEnd"/>
      <w:r w:rsidRPr="00242020">
        <w:rPr>
          <w:rFonts w:eastAsia="Times New Roman" w:cs="Times New Roman"/>
        </w:rPr>
        <w:t xml:space="preserve"> пакет); </w:t>
      </w:r>
    </w:p>
    <w:p w:rsidR="004A4A2B" w:rsidRPr="00242020" w:rsidRDefault="004A4A2B" w:rsidP="004A4A2B">
      <w:pPr>
        <w:widowControl/>
        <w:numPr>
          <w:ilvl w:val="0"/>
          <w:numId w:val="18"/>
        </w:numPr>
        <w:tabs>
          <w:tab w:val="num" w:pos="993"/>
        </w:tabs>
        <w:ind w:left="0" w:firstLine="709"/>
        <w:jc w:val="both"/>
        <w:rPr>
          <w:rFonts w:eastAsia="Times New Roman" w:cs="Times New Roman"/>
          <w:szCs w:val="28"/>
          <w:lang w:eastAsia="ru-RU"/>
        </w:rPr>
      </w:pPr>
      <w:r w:rsidRPr="00242020">
        <w:rPr>
          <w:rFonts w:eastAsia="Times New Roman" w:cs="Times New Roman"/>
          <w:b/>
        </w:rPr>
        <w:t>131</w:t>
      </w:r>
      <w:r w:rsidRPr="00242020">
        <w:rPr>
          <w:rFonts w:eastAsia="Times New Roman" w:cs="Times New Roman"/>
        </w:rPr>
        <w:t xml:space="preserve"> господарське товариство (24,90 %) має державну частку у статутному капіталі </w:t>
      </w:r>
      <w:r w:rsidRPr="00242020">
        <w:rPr>
          <w:rFonts w:eastAsia="Times New Roman" w:cs="Times New Roman"/>
          <w:b/>
        </w:rPr>
        <w:t>менше 25 %</w:t>
      </w:r>
      <w:r w:rsidRPr="00242020">
        <w:rPr>
          <w:rFonts w:eastAsia="Times New Roman" w:cs="Times New Roman"/>
        </w:rPr>
        <w:t xml:space="preserve"> (діаграма 3.1).</w:t>
      </w:r>
    </w:p>
    <w:p w:rsidR="004A4A2B" w:rsidRPr="00242020" w:rsidRDefault="004A4A2B" w:rsidP="004A4A2B">
      <w:pPr>
        <w:jc w:val="both"/>
        <w:rPr>
          <w:rFonts w:eastAsia="Times New Roman" w:cs="Times New Roman"/>
        </w:rPr>
      </w:pPr>
      <w:r w:rsidRPr="00242020">
        <w:rPr>
          <w:rFonts w:eastAsia="Times New Roman" w:cs="Times New Roman"/>
        </w:rPr>
        <w:t xml:space="preserve">У Реєстрі корпоративних прав держави обліковуються </w:t>
      </w:r>
      <w:r w:rsidRPr="00242020">
        <w:rPr>
          <w:rFonts w:eastAsia="Times New Roman" w:cs="Times New Roman"/>
          <w:b/>
        </w:rPr>
        <w:t>130</w:t>
      </w:r>
      <w:r w:rsidRPr="00242020">
        <w:rPr>
          <w:rFonts w:eastAsia="Times New Roman" w:cs="Times New Roman"/>
        </w:rPr>
        <w:t xml:space="preserve"> АТ, заснованих </w:t>
      </w:r>
      <w:r w:rsidRPr="00242020">
        <w:rPr>
          <w:rFonts w:eastAsia="Times New Roman" w:cs="Times New Roman"/>
          <w:szCs w:val="28"/>
          <w:lang w:eastAsia="ru-RU"/>
        </w:rPr>
        <w:t xml:space="preserve">міністерствами, а також </w:t>
      </w:r>
      <w:r w:rsidRPr="00242020">
        <w:rPr>
          <w:rFonts w:eastAsia="Times New Roman" w:cs="Times New Roman"/>
          <w:b/>
          <w:szCs w:val="28"/>
          <w:lang w:eastAsia="ru-RU"/>
        </w:rPr>
        <w:t>19</w:t>
      </w:r>
      <w:r w:rsidRPr="00242020">
        <w:rPr>
          <w:rFonts w:eastAsia="Times New Roman" w:cs="Times New Roman"/>
          <w:szCs w:val="28"/>
          <w:lang w:eastAsia="ru-RU"/>
        </w:rPr>
        <w:t xml:space="preserve"> НАК і </w:t>
      </w:r>
      <w:proofErr w:type="spellStart"/>
      <w:r w:rsidRPr="00242020">
        <w:rPr>
          <w:rFonts w:eastAsia="Times New Roman" w:cs="Times New Roman"/>
          <w:szCs w:val="28"/>
          <w:lang w:eastAsia="ru-RU"/>
        </w:rPr>
        <w:t>ДХК</w:t>
      </w:r>
      <w:proofErr w:type="spellEnd"/>
      <w:r w:rsidRPr="00242020">
        <w:rPr>
          <w:rFonts w:eastAsia="Times New Roman" w:cs="Times New Roman"/>
        </w:rPr>
        <w:t xml:space="preserve">, </w:t>
      </w:r>
      <w:r w:rsidRPr="00242020">
        <w:rPr>
          <w:rFonts w:eastAsia="Times New Roman" w:cs="Times New Roman"/>
          <w:szCs w:val="28"/>
          <w:lang w:eastAsia="ru-RU"/>
        </w:rPr>
        <w:t>які не подають Фонду жодної звітності, функції з управління якими здійснюють виключно засновники – міністерства.</w:t>
      </w:r>
    </w:p>
    <w:p w:rsidR="004A4A2B" w:rsidRPr="00242020" w:rsidRDefault="004A4A2B" w:rsidP="004A4A2B">
      <w:pPr>
        <w:jc w:val="both"/>
        <w:rPr>
          <w:rFonts w:eastAsia="Times New Roman" w:cs="Times New Roman"/>
          <w:szCs w:val="28"/>
          <w:lang w:eastAsia="ru-RU"/>
        </w:rPr>
      </w:pPr>
      <w:r w:rsidRPr="00242020">
        <w:rPr>
          <w:rFonts w:eastAsia="Times New Roman" w:cs="Times New Roman"/>
          <w:szCs w:val="28"/>
          <w:lang w:eastAsia="ru-RU"/>
        </w:rPr>
        <w:t xml:space="preserve">Фонд та його регіональні відділення здійснюють управління </w:t>
      </w:r>
      <w:r w:rsidRPr="00242020">
        <w:rPr>
          <w:rFonts w:eastAsia="Times New Roman" w:cs="Times New Roman"/>
          <w:b/>
          <w:szCs w:val="28"/>
          <w:lang w:eastAsia="ru-RU"/>
        </w:rPr>
        <w:t>341</w:t>
      </w:r>
      <w:r w:rsidRPr="00242020">
        <w:rPr>
          <w:rFonts w:eastAsia="Times New Roman" w:cs="Times New Roman"/>
          <w:szCs w:val="28"/>
          <w:lang w:eastAsia="ru-RU"/>
        </w:rPr>
        <w:t xml:space="preserve"> об’єктом з корпоративними правами держави (64,83 % загальної кількості), з них з державною часткою від </w:t>
      </w:r>
      <w:r w:rsidRPr="00242020">
        <w:rPr>
          <w:rFonts w:eastAsia="Times New Roman" w:cs="Times New Roman"/>
          <w:b/>
          <w:szCs w:val="28"/>
          <w:lang w:eastAsia="ru-RU"/>
        </w:rPr>
        <w:t>50 %</w:t>
      </w:r>
      <w:r w:rsidRPr="00242020">
        <w:rPr>
          <w:rFonts w:eastAsia="Times New Roman" w:cs="Times New Roman"/>
          <w:szCs w:val="28"/>
          <w:lang w:eastAsia="ru-RU"/>
        </w:rPr>
        <w:t xml:space="preserve"> до </w:t>
      </w:r>
      <w:r w:rsidRPr="00242020">
        <w:rPr>
          <w:rFonts w:eastAsia="Times New Roman" w:cs="Times New Roman"/>
          <w:b/>
          <w:szCs w:val="28"/>
          <w:lang w:eastAsia="ru-RU"/>
        </w:rPr>
        <w:t>100 %</w:t>
      </w:r>
      <w:r w:rsidRPr="00242020">
        <w:rPr>
          <w:rFonts w:eastAsia="Times New Roman" w:cs="Times New Roman"/>
          <w:szCs w:val="28"/>
          <w:lang w:eastAsia="ru-RU"/>
        </w:rPr>
        <w:t xml:space="preserve"> – </w:t>
      </w:r>
      <w:r w:rsidRPr="00242020">
        <w:rPr>
          <w:rFonts w:eastAsia="Times New Roman" w:cs="Times New Roman"/>
          <w:b/>
          <w:szCs w:val="28"/>
          <w:lang w:eastAsia="ru-RU"/>
        </w:rPr>
        <w:t>128</w:t>
      </w:r>
      <w:r w:rsidRPr="00242020">
        <w:rPr>
          <w:rFonts w:eastAsia="Times New Roman" w:cs="Times New Roman"/>
          <w:szCs w:val="28"/>
          <w:lang w:eastAsia="ru-RU"/>
        </w:rPr>
        <w:t xml:space="preserve"> об’єктів. </w:t>
      </w:r>
    </w:p>
    <w:p w:rsidR="004A4A2B" w:rsidRDefault="004A4A2B" w:rsidP="004A4A2B">
      <w:pPr>
        <w:jc w:val="both"/>
        <w:rPr>
          <w:rFonts w:eastAsia="Times New Roman" w:cs="Times New Roman"/>
          <w:szCs w:val="28"/>
          <w:lang w:eastAsia="ru-RU"/>
        </w:rPr>
      </w:pPr>
      <w:r w:rsidRPr="00242020">
        <w:rPr>
          <w:rFonts w:eastAsia="Times New Roman" w:cs="Times New Roman"/>
          <w:szCs w:val="28"/>
          <w:lang w:eastAsia="ru-RU"/>
        </w:rPr>
        <w:t xml:space="preserve">Міністерства та інші центральні й місцеві органи виконавчої влади здійснюють управління корпоративними правами </w:t>
      </w:r>
      <w:r w:rsidRPr="00242020">
        <w:rPr>
          <w:rFonts w:eastAsia="Times New Roman" w:cs="Times New Roman"/>
          <w:b/>
          <w:szCs w:val="28"/>
          <w:lang w:eastAsia="ru-RU"/>
        </w:rPr>
        <w:t>185</w:t>
      </w:r>
      <w:r w:rsidRPr="00242020">
        <w:rPr>
          <w:rFonts w:eastAsia="Times New Roman" w:cs="Times New Roman"/>
          <w:szCs w:val="28"/>
          <w:lang w:eastAsia="ru-RU"/>
        </w:rPr>
        <w:t xml:space="preserve"> господарських товариств (35,17 %</w:t>
      </w:r>
      <w:r w:rsidRPr="00242020">
        <w:rPr>
          <w:rFonts w:eastAsia="Times New Roman" w:cs="Times New Roman"/>
        </w:rPr>
        <w:t xml:space="preserve"> загальної кількості</w:t>
      </w:r>
      <w:r w:rsidRPr="00242020">
        <w:rPr>
          <w:rFonts w:eastAsia="Times New Roman" w:cs="Times New Roman"/>
          <w:szCs w:val="28"/>
          <w:lang w:eastAsia="ru-RU"/>
        </w:rPr>
        <w:t xml:space="preserve">), з них з державною часткою більше 50 % – </w:t>
      </w:r>
      <w:r w:rsidRPr="00242020">
        <w:rPr>
          <w:rFonts w:eastAsia="Times New Roman" w:cs="Times New Roman"/>
          <w:b/>
          <w:szCs w:val="28"/>
          <w:lang w:eastAsia="ru-RU"/>
        </w:rPr>
        <w:t>134</w:t>
      </w:r>
      <w:r w:rsidRPr="00242020">
        <w:rPr>
          <w:rFonts w:eastAsia="Times New Roman" w:cs="Times New Roman"/>
          <w:szCs w:val="28"/>
          <w:lang w:eastAsia="ru-RU"/>
        </w:rPr>
        <w:t xml:space="preserve"> об’єкти. </w:t>
      </w:r>
    </w:p>
    <w:p w:rsidR="00067BE3" w:rsidRDefault="00067BE3" w:rsidP="004A4A2B">
      <w:pPr>
        <w:jc w:val="both"/>
        <w:rPr>
          <w:rFonts w:eastAsia="Times New Roman" w:cs="Times New Roman"/>
          <w:szCs w:val="28"/>
          <w:lang w:eastAsia="ru-RU"/>
        </w:rPr>
      </w:pPr>
    </w:p>
    <w:p w:rsidR="00067BE3" w:rsidRDefault="00067BE3" w:rsidP="004A4A2B">
      <w:pPr>
        <w:jc w:val="both"/>
        <w:rPr>
          <w:rFonts w:eastAsia="Times New Roman" w:cs="Times New Roman"/>
          <w:szCs w:val="28"/>
          <w:lang w:eastAsia="ru-RU"/>
        </w:rPr>
      </w:pPr>
    </w:p>
    <w:p w:rsidR="00067BE3" w:rsidRDefault="00067BE3" w:rsidP="004A4A2B">
      <w:pPr>
        <w:jc w:val="both"/>
        <w:rPr>
          <w:rFonts w:eastAsia="Times New Roman" w:cs="Times New Roman"/>
          <w:szCs w:val="28"/>
          <w:lang w:eastAsia="ru-RU"/>
        </w:rPr>
      </w:pPr>
    </w:p>
    <w:p w:rsidR="00067BE3" w:rsidRDefault="00067BE3" w:rsidP="004A4A2B">
      <w:pPr>
        <w:jc w:val="both"/>
        <w:rPr>
          <w:rFonts w:eastAsia="Times New Roman" w:cs="Times New Roman"/>
          <w:szCs w:val="28"/>
          <w:lang w:eastAsia="ru-RU"/>
        </w:rPr>
      </w:pPr>
    </w:p>
    <w:p w:rsidR="00067BE3" w:rsidRDefault="00067BE3" w:rsidP="004A4A2B">
      <w:pPr>
        <w:jc w:val="both"/>
        <w:rPr>
          <w:rFonts w:eastAsia="Times New Roman" w:cs="Times New Roman"/>
          <w:szCs w:val="28"/>
          <w:lang w:eastAsia="ru-RU"/>
        </w:rPr>
      </w:pPr>
    </w:p>
    <w:p w:rsidR="00067BE3" w:rsidRDefault="00067BE3" w:rsidP="004A4A2B">
      <w:pPr>
        <w:jc w:val="both"/>
        <w:rPr>
          <w:rFonts w:eastAsia="Times New Roman" w:cs="Times New Roman"/>
          <w:szCs w:val="28"/>
          <w:lang w:eastAsia="ru-RU"/>
        </w:rPr>
      </w:pPr>
    </w:p>
    <w:p w:rsidR="00067BE3" w:rsidRDefault="00067BE3" w:rsidP="004A4A2B">
      <w:pPr>
        <w:jc w:val="both"/>
        <w:rPr>
          <w:rFonts w:eastAsia="Times New Roman" w:cs="Times New Roman"/>
          <w:szCs w:val="28"/>
          <w:lang w:eastAsia="ru-RU"/>
        </w:rPr>
      </w:pPr>
    </w:p>
    <w:p w:rsidR="00067BE3" w:rsidRDefault="00067BE3" w:rsidP="004A4A2B">
      <w:pPr>
        <w:jc w:val="both"/>
        <w:rPr>
          <w:rFonts w:eastAsia="Times New Roman" w:cs="Times New Roman"/>
          <w:szCs w:val="28"/>
          <w:lang w:eastAsia="ru-RU"/>
        </w:rPr>
      </w:pPr>
    </w:p>
    <w:p w:rsidR="00067BE3" w:rsidRDefault="00067BE3" w:rsidP="004A4A2B">
      <w:pPr>
        <w:jc w:val="both"/>
        <w:rPr>
          <w:rFonts w:eastAsia="Times New Roman" w:cs="Times New Roman"/>
          <w:szCs w:val="28"/>
          <w:lang w:eastAsia="ru-RU"/>
        </w:rPr>
      </w:pPr>
    </w:p>
    <w:p w:rsidR="00067BE3" w:rsidRPr="00242020" w:rsidRDefault="00067BE3" w:rsidP="004A4A2B">
      <w:pPr>
        <w:jc w:val="both"/>
        <w:rPr>
          <w:rFonts w:eastAsia="Times New Roman" w:cs="Times New Roman"/>
          <w:szCs w:val="28"/>
          <w:lang w:eastAsia="ru-RU"/>
        </w:rPr>
      </w:pPr>
    </w:p>
    <w:p w:rsidR="004A4A2B" w:rsidRPr="00242020" w:rsidRDefault="00095093" w:rsidP="004A4A2B">
      <w:pPr>
        <w:jc w:val="both"/>
        <w:rPr>
          <w:rFonts w:eastAsia="Times New Roman" w:cs="Times New Roman"/>
          <w:szCs w:val="28"/>
          <w:lang w:eastAsia="ru-RU"/>
        </w:rPr>
      </w:pPr>
      <w:r w:rsidRPr="00095093">
        <w:rPr>
          <w:rFonts w:eastAsia="Times New Roman" w:cs="Times New Roman"/>
          <w:noProof/>
          <w:szCs w:val="20"/>
          <w:lang w:eastAsia="uk-UA"/>
        </w:rPr>
        <w:lastRenderedPageBreak/>
        <w:pict>
          <v:shape id="_x0000_s1068" type="#_x0000_t202" style="position:absolute;left:0;text-align:left;margin-left:254.7pt;margin-top:73.15pt;width:39.8pt;height:23.3pt;z-index:251684352;mso-height-percent:200;mso-height-percent:200;mso-width-relative:margin;mso-height-relative:margin" filled="f" stroked="f">
            <v:textbox style="mso-fit-shape-to-text:t">
              <w:txbxContent>
                <w:p w:rsidR="00DF1F08" w:rsidRPr="007C17FA" w:rsidRDefault="00DF1F08" w:rsidP="004A4A2B">
                  <w:pPr>
                    <w:ind w:firstLine="0"/>
                    <w:rPr>
                      <w:b/>
                      <w:lang w:val="ru-RU"/>
                    </w:rPr>
                  </w:pPr>
                  <w:r w:rsidRPr="007C17FA">
                    <w:rPr>
                      <w:b/>
                      <w:lang w:val="ru-RU"/>
                    </w:rPr>
                    <w:t>262</w:t>
                  </w:r>
                </w:p>
              </w:txbxContent>
            </v:textbox>
          </v:shape>
        </w:pict>
      </w:r>
      <w:r w:rsidRPr="00095093">
        <w:rPr>
          <w:rFonts w:eastAsia="Times New Roman" w:cs="Times New Roman"/>
          <w:noProof/>
          <w:szCs w:val="20"/>
          <w:lang w:eastAsia="uk-UA"/>
        </w:rPr>
        <w:pict>
          <v:shape id="_x0000_s1067" type="#_x0000_t202" style="position:absolute;left:0;text-align:left;margin-left:210.6pt;margin-top:85.65pt;width:39.8pt;height:23.3pt;z-index:251683328;mso-height-percent:200;mso-height-percent:200;mso-width-relative:margin;mso-height-relative:margin" filled="f" stroked="f">
            <v:textbox style="mso-fit-shape-to-text:t">
              <w:txbxContent>
                <w:p w:rsidR="00DF1F08" w:rsidRPr="007C17FA" w:rsidRDefault="00DF1F08" w:rsidP="004A4A2B">
                  <w:pPr>
                    <w:ind w:firstLine="0"/>
                    <w:rPr>
                      <w:b/>
                      <w:lang w:val="ru-RU"/>
                    </w:rPr>
                  </w:pPr>
                  <w:r w:rsidRPr="007C17FA">
                    <w:rPr>
                      <w:b/>
                      <w:lang w:val="ru-RU"/>
                    </w:rPr>
                    <w:t>131</w:t>
                  </w:r>
                </w:p>
              </w:txbxContent>
            </v:textbox>
          </v:shape>
        </w:pict>
      </w:r>
      <w:r w:rsidRPr="00095093">
        <w:rPr>
          <w:rFonts w:eastAsia="Times New Roman" w:cs="Times New Roman"/>
          <w:noProof/>
          <w:szCs w:val="20"/>
          <w:lang w:eastAsia="uk-UA"/>
        </w:rPr>
        <w:pict>
          <v:shape id="_x0000_s1066" type="#_x0000_t202" style="position:absolute;left:0;text-align:left;margin-left:208.1pt;margin-top:60.1pt;width:39.8pt;height:23.3pt;z-index:251682304;mso-height-percent:200;mso-height-percent:200;mso-width-relative:margin;mso-height-relative:margin" filled="f" stroked="f">
            <v:textbox style="mso-fit-shape-to-text:t">
              <w:txbxContent>
                <w:p w:rsidR="00DF1F08" w:rsidRPr="007C17FA" w:rsidRDefault="00DF1F08" w:rsidP="004A4A2B">
                  <w:pPr>
                    <w:ind w:firstLine="0"/>
                    <w:rPr>
                      <w:b/>
                      <w:lang w:val="ru-RU"/>
                    </w:rPr>
                  </w:pPr>
                  <w:r w:rsidRPr="007C17FA">
                    <w:rPr>
                      <w:b/>
                      <w:lang w:val="ru-RU"/>
                    </w:rPr>
                    <w:t>133</w:t>
                  </w:r>
                </w:p>
              </w:txbxContent>
            </v:textbox>
          </v:shape>
        </w:pict>
      </w:r>
      <w:r w:rsidR="004A4A2B" w:rsidRPr="00242020">
        <w:rPr>
          <w:rFonts w:eastAsia="Times New Roman" w:cs="Times New Roman"/>
          <w:noProof/>
          <w:szCs w:val="28"/>
          <w:lang w:eastAsia="uk-UA"/>
        </w:rPr>
        <w:drawing>
          <wp:inline distT="0" distB="0" distL="0" distR="0">
            <wp:extent cx="5486400" cy="3197860"/>
            <wp:effectExtent l="0" t="0" r="0" b="0"/>
            <wp:docPr id="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A4A2B" w:rsidRPr="00242020" w:rsidRDefault="004A4A2B" w:rsidP="004A4A2B">
      <w:pPr>
        <w:ind w:firstLine="0"/>
        <w:jc w:val="center"/>
        <w:rPr>
          <w:rFonts w:eastAsia="Times New Roman" w:cs="Times New Roman"/>
          <w:b/>
          <w:szCs w:val="20"/>
          <w:lang w:eastAsia="ru-RU"/>
        </w:rPr>
      </w:pPr>
      <w:r w:rsidRPr="00242020">
        <w:rPr>
          <w:rFonts w:eastAsia="Times New Roman" w:cs="Times New Roman"/>
          <w:b/>
          <w:szCs w:val="20"/>
          <w:lang w:eastAsia="ru-RU"/>
        </w:rPr>
        <w:t>Діаграма 3.1. Розподіл корпоративних прав держави за розміром державної частки у статутному капіталі господарських товариств</w:t>
      </w:r>
      <w:r w:rsidR="00CC7727" w:rsidRPr="00242020">
        <w:rPr>
          <w:rFonts w:eastAsia="Times New Roman" w:cs="Times New Roman"/>
          <w:b/>
          <w:szCs w:val="20"/>
          <w:lang w:eastAsia="ru-RU"/>
        </w:rPr>
        <w:br/>
      </w:r>
      <w:r w:rsidRPr="00242020">
        <w:rPr>
          <w:rFonts w:eastAsia="Times New Roman" w:cs="Times New Roman"/>
          <w:b/>
          <w:szCs w:val="20"/>
          <w:lang w:eastAsia="ru-RU"/>
        </w:rPr>
        <w:t>станом на 01 січня 2017 року</w:t>
      </w:r>
    </w:p>
    <w:p w:rsidR="004A4A2B" w:rsidRPr="00242020" w:rsidRDefault="004A4A2B" w:rsidP="004A4A2B">
      <w:pPr>
        <w:jc w:val="both"/>
        <w:rPr>
          <w:rFonts w:eastAsia="Times New Roman" w:cs="Times New Roman"/>
          <w:sz w:val="16"/>
          <w:szCs w:val="16"/>
          <w:lang w:eastAsia="ru-RU"/>
        </w:rPr>
      </w:pPr>
    </w:p>
    <w:p w:rsidR="004A4A2B" w:rsidRPr="00242020" w:rsidRDefault="004A4A2B" w:rsidP="004A4A2B">
      <w:pPr>
        <w:jc w:val="both"/>
        <w:rPr>
          <w:rFonts w:eastAsia="Times New Roman" w:cs="Times New Roman"/>
          <w:szCs w:val="28"/>
          <w:lang w:eastAsia="ru-RU"/>
        </w:rPr>
      </w:pPr>
      <w:r w:rsidRPr="00242020">
        <w:rPr>
          <w:rFonts w:eastAsia="Times New Roman" w:cs="Times New Roman"/>
          <w:szCs w:val="28"/>
          <w:lang w:eastAsia="ru-RU"/>
        </w:rPr>
        <w:t>Загальна кількість пакетів акцій, часток, паїв, що належать державі у статутному капіталі господарських товариств, станом на 01 січня 2017 року порівняно з відповідним періодом 2016 року наведена у таблиці 3.</w:t>
      </w:r>
      <w:r w:rsidR="00681794" w:rsidRPr="00242020">
        <w:rPr>
          <w:rFonts w:eastAsia="Times New Roman" w:cs="Times New Roman"/>
          <w:szCs w:val="28"/>
          <w:lang w:eastAsia="ru-RU"/>
        </w:rPr>
        <w:t>4</w:t>
      </w:r>
      <w:r w:rsidRPr="00242020">
        <w:rPr>
          <w:rFonts w:eastAsia="Times New Roman" w:cs="Times New Roman"/>
          <w:szCs w:val="28"/>
          <w:lang w:eastAsia="ru-RU"/>
        </w:rPr>
        <w:t>.</w:t>
      </w:r>
    </w:p>
    <w:p w:rsidR="00CC7727" w:rsidRPr="00242020" w:rsidRDefault="00CC7727" w:rsidP="00CC7727">
      <w:pPr>
        <w:jc w:val="right"/>
        <w:rPr>
          <w:rFonts w:eastAsia="Times New Roman" w:cs="Times New Roman"/>
          <w:b/>
          <w:sz w:val="24"/>
          <w:szCs w:val="24"/>
          <w:lang w:eastAsia="ru-RU"/>
        </w:rPr>
      </w:pPr>
      <w:r w:rsidRPr="00242020">
        <w:rPr>
          <w:rFonts w:eastAsia="Times New Roman" w:cs="Times New Roman"/>
          <w:b/>
          <w:sz w:val="24"/>
          <w:szCs w:val="24"/>
          <w:lang w:eastAsia="ru-RU"/>
        </w:rPr>
        <w:t>Таблиця 3.4</w:t>
      </w:r>
    </w:p>
    <w:p w:rsidR="004A4A2B" w:rsidRPr="00242020" w:rsidRDefault="004A4A2B" w:rsidP="004A4A2B">
      <w:pPr>
        <w:spacing w:before="120" w:after="120"/>
        <w:ind w:firstLine="0"/>
        <w:jc w:val="center"/>
        <w:rPr>
          <w:rFonts w:eastAsia="Times New Roman" w:cs="Times New Roman"/>
          <w:b/>
          <w:szCs w:val="28"/>
          <w:lang w:eastAsia="ru-RU"/>
        </w:rPr>
      </w:pPr>
      <w:r w:rsidRPr="00242020">
        <w:rPr>
          <w:rFonts w:eastAsia="Times New Roman" w:cs="Times New Roman"/>
          <w:b/>
          <w:szCs w:val="28"/>
          <w:lang w:eastAsia="ru-RU"/>
        </w:rPr>
        <w:t xml:space="preserve">Порівняльна таблиця кількості господарських товариств, пакети акцій (частки, паї) у статутних капіталах яких належать державі </w:t>
      </w:r>
    </w:p>
    <w:p w:rsidR="004A4A2B" w:rsidRPr="00242020" w:rsidRDefault="004A4A2B" w:rsidP="004A4A2B">
      <w:pPr>
        <w:jc w:val="right"/>
        <w:rPr>
          <w:rFonts w:eastAsia="Times New Roman" w:cs="Times New Roman"/>
          <w:b/>
          <w:sz w:val="6"/>
          <w:szCs w:val="6"/>
          <w:highlight w:val="yellow"/>
          <w:lang w:eastAsia="ru-RU"/>
        </w:rPr>
      </w:pPr>
    </w:p>
    <w:tbl>
      <w:tblPr>
        <w:tblW w:w="9480" w:type="dxa"/>
        <w:jc w:val="center"/>
        <w:tblInd w:w="-1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08"/>
        <w:gridCol w:w="627"/>
        <w:gridCol w:w="627"/>
        <w:gridCol w:w="627"/>
        <w:gridCol w:w="627"/>
        <w:gridCol w:w="628"/>
        <w:gridCol w:w="627"/>
        <w:gridCol w:w="627"/>
        <w:gridCol w:w="627"/>
        <w:gridCol w:w="627"/>
        <w:gridCol w:w="628"/>
      </w:tblGrid>
      <w:tr w:rsidR="004A4A2B" w:rsidRPr="00242020" w:rsidTr="004A4A2B">
        <w:trPr>
          <w:trHeight w:val="469"/>
          <w:jc w:val="center"/>
        </w:trPr>
        <w:tc>
          <w:tcPr>
            <w:tcW w:w="3208" w:type="dxa"/>
            <w:vMerge w:val="restart"/>
            <w:vAlign w:val="center"/>
          </w:tcPr>
          <w:p w:rsidR="004A4A2B" w:rsidRPr="00242020" w:rsidRDefault="004A4A2B" w:rsidP="004A4A2B">
            <w:pPr>
              <w:ind w:firstLine="0"/>
              <w:jc w:val="center"/>
              <w:rPr>
                <w:rFonts w:eastAsia="Times New Roman" w:cs="Times New Roman"/>
                <w:b/>
                <w:snapToGrid w:val="0"/>
                <w:color w:val="000000"/>
                <w:sz w:val="22"/>
                <w:lang w:eastAsia="ru-RU"/>
              </w:rPr>
            </w:pPr>
            <w:r w:rsidRPr="00242020">
              <w:rPr>
                <w:rFonts w:eastAsia="Times New Roman" w:cs="Times New Roman"/>
                <w:b/>
                <w:snapToGrid w:val="0"/>
                <w:color w:val="000000"/>
                <w:sz w:val="22"/>
                <w:lang w:eastAsia="ru-RU"/>
              </w:rPr>
              <w:t xml:space="preserve">Вид господарських </w:t>
            </w:r>
          </w:p>
          <w:p w:rsidR="004A4A2B" w:rsidRPr="00242020" w:rsidRDefault="004A4A2B" w:rsidP="004A4A2B">
            <w:pPr>
              <w:ind w:firstLine="0"/>
              <w:jc w:val="center"/>
              <w:rPr>
                <w:rFonts w:eastAsia="Times New Roman" w:cs="Times New Roman"/>
                <w:b/>
                <w:snapToGrid w:val="0"/>
                <w:color w:val="000000"/>
                <w:sz w:val="22"/>
                <w:lang w:eastAsia="ru-RU"/>
              </w:rPr>
            </w:pPr>
            <w:r w:rsidRPr="00242020">
              <w:rPr>
                <w:rFonts w:eastAsia="Times New Roman" w:cs="Times New Roman"/>
                <w:b/>
                <w:snapToGrid w:val="0"/>
                <w:color w:val="000000"/>
                <w:sz w:val="22"/>
                <w:lang w:eastAsia="ru-RU"/>
              </w:rPr>
              <w:t>товариств</w:t>
            </w:r>
          </w:p>
        </w:tc>
        <w:tc>
          <w:tcPr>
            <w:tcW w:w="1254" w:type="dxa"/>
            <w:gridSpan w:val="2"/>
            <w:vAlign w:val="center"/>
          </w:tcPr>
          <w:p w:rsidR="004A4A2B" w:rsidRPr="00242020" w:rsidRDefault="004A4A2B" w:rsidP="004A4A2B">
            <w:pPr>
              <w:ind w:firstLine="0"/>
              <w:jc w:val="center"/>
              <w:rPr>
                <w:rFonts w:eastAsia="Times New Roman" w:cs="Times New Roman"/>
                <w:b/>
                <w:snapToGrid w:val="0"/>
                <w:color w:val="000000"/>
                <w:sz w:val="22"/>
                <w:lang w:eastAsia="ru-RU"/>
              </w:rPr>
            </w:pPr>
            <w:r w:rsidRPr="00242020">
              <w:rPr>
                <w:rFonts w:eastAsia="Times New Roman" w:cs="Times New Roman"/>
                <w:b/>
                <w:snapToGrid w:val="0"/>
                <w:color w:val="000000"/>
                <w:sz w:val="22"/>
                <w:lang w:eastAsia="ru-RU"/>
              </w:rPr>
              <w:t>Загальна кількість</w:t>
            </w:r>
          </w:p>
        </w:tc>
        <w:tc>
          <w:tcPr>
            <w:tcW w:w="1254" w:type="dxa"/>
            <w:gridSpan w:val="2"/>
            <w:vAlign w:val="center"/>
          </w:tcPr>
          <w:p w:rsidR="004A4A2B" w:rsidRPr="00242020" w:rsidRDefault="004A4A2B" w:rsidP="004A4A2B">
            <w:pPr>
              <w:ind w:firstLine="0"/>
              <w:jc w:val="center"/>
              <w:rPr>
                <w:rFonts w:eastAsia="Times New Roman" w:cs="Times New Roman"/>
                <w:b/>
                <w:snapToGrid w:val="0"/>
                <w:color w:val="000000"/>
                <w:sz w:val="22"/>
                <w:lang w:eastAsia="ru-RU"/>
              </w:rPr>
            </w:pPr>
            <w:r w:rsidRPr="00242020">
              <w:rPr>
                <w:rFonts w:eastAsia="Times New Roman" w:cs="Times New Roman"/>
                <w:b/>
                <w:snapToGrid w:val="0"/>
                <w:color w:val="000000"/>
                <w:sz w:val="22"/>
                <w:lang w:eastAsia="ru-RU"/>
              </w:rPr>
              <w:t>до 10 %</w:t>
            </w:r>
          </w:p>
        </w:tc>
        <w:tc>
          <w:tcPr>
            <w:tcW w:w="1255" w:type="dxa"/>
            <w:gridSpan w:val="2"/>
            <w:vAlign w:val="center"/>
          </w:tcPr>
          <w:p w:rsidR="004A4A2B" w:rsidRPr="00242020" w:rsidRDefault="004A4A2B" w:rsidP="004A4A2B">
            <w:pPr>
              <w:ind w:firstLine="0"/>
              <w:jc w:val="center"/>
              <w:rPr>
                <w:rFonts w:eastAsia="Times New Roman" w:cs="Times New Roman"/>
                <w:b/>
                <w:snapToGrid w:val="0"/>
                <w:color w:val="000000"/>
                <w:sz w:val="22"/>
                <w:lang w:eastAsia="ru-RU"/>
              </w:rPr>
            </w:pPr>
            <w:r w:rsidRPr="00242020">
              <w:rPr>
                <w:rFonts w:eastAsia="Times New Roman" w:cs="Times New Roman"/>
                <w:b/>
                <w:snapToGrid w:val="0"/>
                <w:color w:val="000000"/>
                <w:sz w:val="22"/>
                <w:lang w:eastAsia="ru-RU"/>
              </w:rPr>
              <w:t>від 10 до</w:t>
            </w:r>
            <w:r w:rsidRPr="00242020">
              <w:rPr>
                <w:rFonts w:eastAsia="Times New Roman" w:cs="Times New Roman"/>
                <w:b/>
                <w:snapToGrid w:val="0"/>
                <w:color w:val="000000"/>
                <w:sz w:val="22"/>
                <w:lang w:eastAsia="ru-RU"/>
              </w:rPr>
              <w:br/>
              <w:t>25 %</w:t>
            </w:r>
          </w:p>
        </w:tc>
        <w:tc>
          <w:tcPr>
            <w:tcW w:w="1254" w:type="dxa"/>
            <w:gridSpan w:val="2"/>
            <w:vAlign w:val="center"/>
          </w:tcPr>
          <w:p w:rsidR="004A4A2B" w:rsidRPr="00242020" w:rsidRDefault="004A4A2B" w:rsidP="004A4A2B">
            <w:pPr>
              <w:ind w:firstLine="0"/>
              <w:jc w:val="center"/>
              <w:rPr>
                <w:rFonts w:eastAsia="Times New Roman" w:cs="Times New Roman"/>
                <w:b/>
                <w:snapToGrid w:val="0"/>
                <w:color w:val="000000"/>
                <w:sz w:val="22"/>
                <w:lang w:eastAsia="ru-RU"/>
              </w:rPr>
            </w:pPr>
            <w:r w:rsidRPr="00242020">
              <w:rPr>
                <w:rFonts w:eastAsia="Times New Roman" w:cs="Times New Roman"/>
                <w:b/>
                <w:snapToGrid w:val="0"/>
                <w:color w:val="000000"/>
                <w:sz w:val="22"/>
                <w:lang w:eastAsia="ru-RU"/>
              </w:rPr>
              <w:t>від 25 до</w:t>
            </w:r>
            <w:r w:rsidRPr="00242020">
              <w:rPr>
                <w:rFonts w:eastAsia="Times New Roman" w:cs="Times New Roman"/>
                <w:b/>
                <w:snapToGrid w:val="0"/>
                <w:color w:val="000000"/>
                <w:sz w:val="22"/>
                <w:lang w:eastAsia="ru-RU"/>
              </w:rPr>
              <w:br/>
              <w:t>50 %</w:t>
            </w:r>
          </w:p>
        </w:tc>
        <w:tc>
          <w:tcPr>
            <w:tcW w:w="1255" w:type="dxa"/>
            <w:gridSpan w:val="2"/>
            <w:vAlign w:val="center"/>
          </w:tcPr>
          <w:p w:rsidR="004A4A2B" w:rsidRPr="00242020" w:rsidRDefault="004A4A2B" w:rsidP="004A4A2B">
            <w:pPr>
              <w:ind w:firstLine="0"/>
              <w:jc w:val="center"/>
              <w:rPr>
                <w:rFonts w:eastAsia="Times New Roman" w:cs="Times New Roman"/>
                <w:b/>
                <w:snapToGrid w:val="0"/>
                <w:color w:val="000000"/>
                <w:sz w:val="22"/>
                <w:lang w:eastAsia="ru-RU"/>
              </w:rPr>
            </w:pPr>
            <w:r w:rsidRPr="00242020">
              <w:rPr>
                <w:rFonts w:eastAsia="Times New Roman" w:cs="Times New Roman"/>
                <w:b/>
                <w:snapToGrid w:val="0"/>
                <w:color w:val="000000"/>
                <w:sz w:val="22"/>
                <w:lang w:eastAsia="ru-RU"/>
              </w:rPr>
              <w:t>від 50 до 100 %</w:t>
            </w:r>
          </w:p>
        </w:tc>
      </w:tr>
      <w:tr w:rsidR="004A4A2B" w:rsidRPr="00242020" w:rsidTr="004A4A2B">
        <w:trPr>
          <w:cantSplit/>
          <w:trHeight w:val="1313"/>
          <w:jc w:val="center"/>
        </w:trPr>
        <w:tc>
          <w:tcPr>
            <w:tcW w:w="3208" w:type="dxa"/>
            <w:vMerge/>
            <w:vAlign w:val="center"/>
          </w:tcPr>
          <w:p w:rsidR="004A4A2B" w:rsidRPr="00242020" w:rsidRDefault="004A4A2B" w:rsidP="004A4A2B">
            <w:pPr>
              <w:ind w:firstLine="0"/>
              <w:jc w:val="center"/>
              <w:rPr>
                <w:rFonts w:eastAsia="Times New Roman" w:cs="Times New Roman"/>
                <w:b/>
                <w:snapToGrid w:val="0"/>
                <w:color w:val="000000"/>
                <w:szCs w:val="20"/>
                <w:highlight w:val="yellow"/>
                <w:lang w:eastAsia="ru-RU"/>
              </w:rPr>
            </w:pPr>
          </w:p>
        </w:tc>
        <w:tc>
          <w:tcPr>
            <w:tcW w:w="627" w:type="dxa"/>
            <w:textDirection w:val="btLr"/>
            <w:vAlign w:val="center"/>
          </w:tcPr>
          <w:p w:rsidR="004A4A2B" w:rsidRPr="00242020" w:rsidRDefault="004A4A2B" w:rsidP="004A4A2B">
            <w:pPr>
              <w:ind w:firstLine="0"/>
              <w:jc w:val="center"/>
              <w:rPr>
                <w:rFonts w:eastAsia="Times New Roman" w:cs="Times New Roman"/>
                <w:b/>
                <w:snapToGrid w:val="0"/>
                <w:color w:val="000000"/>
                <w:sz w:val="20"/>
                <w:szCs w:val="20"/>
                <w:lang w:eastAsia="ru-RU"/>
              </w:rPr>
            </w:pPr>
            <w:r w:rsidRPr="00242020">
              <w:rPr>
                <w:rFonts w:eastAsia="Times New Roman" w:cs="Times New Roman"/>
                <w:snapToGrid w:val="0"/>
                <w:color w:val="000000"/>
                <w:sz w:val="20"/>
                <w:szCs w:val="20"/>
                <w:lang w:eastAsia="ru-RU"/>
              </w:rPr>
              <w:t>станом на 01.01.2016</w:t>
            </w:r>
          </w:p>
        </w:tc>
        <w:tc>
          <w:tcPr>
            <w:tcW w:w="627" w:type="dxa"/>
            <w:shd w:val="pct10" w:color="auto" w:fill="auto"/>
            <w:textDirection w:val="btLr"/>
            <w:vAlign w:val="center"/>
          </w:tcPr>
          <w:p w:rsidR="004A4A2B" w:rsidRPr="00242020" w:rsidRDefault="004A4A2B" w:rsidP="004A4A2B">
            <w:pPr>
              <w:ind w:firstLine="0"/>
              <w:jc w:val="center"/>
              <w:rPr>
                <w:rFonts w:eastAsia="Times New Roman" w:cs="Times New Roman"/>
                <w:b/>
                <w:snapToGrid w:val="0"/>
                <w:color w:val="000000"/>
                <w:sz w:val="20"/>
                <w:szCs w:val="20"/>
                <w:lang w:eastAsia="ru-RU"/>
              </w:rPr>
            </w:pPr>
            <w:r w:rsidRPr="00242020">
              <w:rPr>
                <w:rFonts w:eastAsia="Times New Roman" w:cs="Times New Roman"/>
                <w:snapToGrid w:val="0"/>
                <w:color w:val="000000"/>
                <w:sz w:val="20"/>
                <w:szCs w:val="20"/>
                <w:lang w:eastAsia="ru-RU"/>
              </w:rPr>
              <w:t>станом на 01.01.2017</w:t>
            </w:r>
          </w:p>
        </w:tc>
        <w:tc>
          <w:tcPr>
            <w:tcW w:w="627" w:type="dxa"/>
            <w:textDirection w:val="btLr"/>
            <w:vAlign w:val="center"/>
          </w:tcPr>
          <w:p w:rsidR="004A4A2B" w:rsidRPr="00242020" w:rsidRDefault="004A4A2B" w:rsidP="004A4A2B">
            <w:pPr>
              <w:ind w:firstLine="0"/>
              <w:jc w:val="center"/>
              <w:rPr>
                <w:rFonts w:eastAsia="Times New Roman" w:cs="Times New Roman"/>
                <w:b/>
                <w:snapToGrid w:val="0"/>
                <w:color w:val="000000"/>
                <w:sz w:val="20"/>
                <w:szCs w:val="20"/>
                <w:lang w:eastAsia="ru-RU"/>
              </w:rPr>
            </w:pPr>
            <w:r w:rsidRPr="00242020">
              <w:rPr>
                <w:rFonts w:eastAsia="Times New Roman" w:cs="Times New Roman"/>
                <w:snapToGrid w:val="0"/>
                <w:color w:val="000000"/>
                <w:sz w:val="20"/>
                <w:szCs w:val="20"/>
                <w:lang w:eastAsia="ru-RU"/>
              </w:rPr>
              <w:t>станом на 01.01.2016</w:t>
            </w:r>
          </w:p>
        </w:tc>
        <w:tc>
          <w:tcPr>
            <w:tcW w:w="627" w:type="dxa"/>
            <w:shd w:val="pct10" w:color="auto" w:fill="auto"/>
            <w:textDirection w:val="btLr"/>
            <w:vAlign w:val="center"/>
          </w:tcPr>
          <w:p w:rsidR="004A4A2B" w:rsidRPr="00242020" w:rsidRDefault="004A4A2B" w:rsidP="004A4A2B">
            <w:pPr>
              <w:ind w:firstLine="0"/>
              <w:jc w:val="center"/>
              <w:rPr>
                <w:rFonts w:eastAsia="Times New Roman" w:cs="Times New Roman"/>
                <w:b/>
                <w:snapToGrid w:val="0"/>
                <w:color w:val="000000"/>
                <w:sz w:val="20"/>
                <w:szCs w:val="20"/>
                <w:lang w:eastAsia="ru-RU"/>
              </w:rPr>
            </w:pPr>
            <w:r w:rsidRPr="00242020">
              <w:rPr>
                <w:rFonts w:eastAsia="Times New Roman" w:cs="Times New Roman"/>
                <w:snapToGrid w:val="0"/>
                <w:color w:val="000000"/>
                <w:sz w:val="20"/>
                <w:szCs w:val="20"/>
                <w:lang w:eastAsia="ru-RU"/>
              </w:rPr>
              <w:t>станом на 01.01.2017</w:t>
            </w:r>
          </w:p>
        </w:tc>
        <w:tc>
          <w:tcPr>
            <w:tcW w:w="628" w:type="dxa"/>
            <w:textDirection w:val="btLr"/>
            <w:vAlign w:val="center"/>
          </w:tcPr>
          <w:p w:rsidR="004A4A2B" w:rsidRPr="00242020" w:rsidRDefault="004A4A2B" w:rsidP="004A4A2B">
            <w:pPr>
              <w:ind w:firstLine="0"/>
              <w:jc w:val="center"/>
              <w:rPr>
                <w:rFonts w:eastAsia="Times New Roman" w:cs="Times New Roman"/>
                <w:b/>
                <w:snapToGrid w:val="0"/>
                <w:color w:val="000000"/>
                <w:sz w:val="20"/>
                <w:szCs w:val="20"/>
                <w:lang w:eastAsia="ru-RU"/>
              </w:rPr>
            </w:pPr>
            <w:r w:rsidRPr="00242020">
              <w:rPr>
                <w:rFonts w:eastAsia="Times New Roman" w:cs="Times New Roman"/>
                <w:snapToGrid w:val="0"/>
                <w:color w:val="000000"/>
                <w:sz w:val="20"/>
                <w:szCs w:val="20"/>
                <w:lang w:eastAsia="ru-RU"/>
              </w:rPr>
              <w:t>станом на 01.01.2016</w:t>
            </w:r>
          </w:p>
        </w:tc>
        <w:tc>
          <w:tcPr>
            <w:tcW w:w="627" w:type="dxa"/>
            <w:shd w:val="pct10" w:color="auto" w:fill="auto"/>
            <w:textDirection w:val="btLr"/>
            <w:vAlign w:val="center"/>
          </w:tcPr>
          <w:p w:rsidR="004A4A2B" w:rsidRPr="00242020" w:rsidRDefault="004A4A2B" w:rsidP="004A4A2B">
            <w:pPr>
              <w:ind w:firstLine="0"/>
              <w:jc w:val="center"/>
              <w:rPr>
                <w:rFonts w:eastAsia="Times New Roman" w:cs="Times New Roman"/>
                <w:b/>
                <w:snapToGrid w:val="0"/>
                <w:color w:val="000000"/>
                <w:sz w:val="20"/>
                <w:szCs w:val="20"/>
                <w:lang w:eastAsia="ru-RU"/>
              </w:rPr>
            </w:pPr>
            <w:r w:rsidRPr="00242020">
              <w:rPr>
                <w:rFonts w:eastAsia="Times New Roman" w:cs="Times New Roman"/>
                <w:snapToGrid w:val="0"/>
                <w:color w:val="000000"/>
                <w:sz w:val="20"/>
                <w:szCs w:val="20"/>
                <w:lang w:eastAsia="ru-RU"/>
              </w:rPr>
              <w:t>станом на 01.01.2017</w:t>
            </w:r>
          </w:p>
        </w:tc>
        <w:tc>
          <w:tcPr>
            <w:tcW w:w="627" w:type="dxa"/>
            <w:textDirection w:val="btLr"/>
            <w:vAlign w:val="center"/>
          </w:tcPr>
          <w:p w:rsidR="004A4A2B" w:rsidRPr="00242020" w:rsidRDefault="004A4A2B" w:rsidP="004A4A2B">
            <w:pPr>
              <w:ind w:firstLine="0"/>
              <w:jc w:val="center"/>
              <w:rPr>
                <w:rFonts w:eastAsia="Times New Roman" w:cs="Times New Roman"/>
                <w:b/>
                <w:snapToGrid w:val="0"/>
                <w:color w:val="000000"/>
                <w:sz w:val="20"/>
                <w:szCs w:val="20"/>
                <w:lang w:eastAsia="ru-RU"/>
              </w:rPr>
            </w:pPr>
            <w:r w:rsidRPr="00242020">
              <w:rPr>
                <w:rFonts w:eastAsia="Times New Roman" w:cs="Times New Roman"/>
                <w:snapToGrid w:val="0"/>
                <w:color w:val="000000"/>
                <w:sz w:val="20"/>
                <w:szCs w:val="20"/>
                <w:lang w:eastAsia="ru-RU"/>
              </w:rPr>
              <w:t>станом на 01.01.2016</w:t>
            </w:r>
          </w:p>
        </w:tc>
        <w:tc>
          <w:tcPr>
            <w:tcW w:w="627" w:type="dxa"/>
            <w:shd w:val="pct10" w:color="auto" w:fill="auto"/>
            <w:textDirection w:val="btLr"/>
            <w:vAlign w:val="center"/>
          </w:tcPr>
          <w:p w:rsidR="004A4A2B" w:rsidRPr="00242020" w:rsidRDefault="004A4A2B" w:rsidP="004A4A2B">
            <w:pPr>
              <w:ind w:firstLine="0"/>
              <w:jc w:val="center"/>
              <w:rPr>
                <w:rFonts w:eastAsia="Times New Roman" w:cs="Times New Roman"/>
                <w:b/>
                <w:snapToGrid w:val="0"/>
                <w:color w:val="000000"/>
                <w:sz w:val="20"/>
                <w:szCs w:val="20"/>
                <w:lang w:eastAsia="ru-RU"/>
              </w:rPr>
            </w:pPr>
            <w:r w:rsidRPr="00242020">
              <w:rPr>
                <w:rFonts w:eastAsia="Times New Roman" w:cs="Times New Roman"/>
                <w:snapToGrid w:val="0"/>
                <w:color w:val="000000"/>
                <w:sz w:val="20"/>
                <w:szCs w:val="20"/>
                <w:lang w:eastAsia="ru-RU"/>
              </w:rPr>
              <w:t>станом на 01.01.2017</w:t>
            </w:r>
          </w:p>
        </w:tc>
        <w:tc>
          <w:tcPr>
            <w:tcW w:w="627" w:type="dxa"/>
            <w:textDirection w:val="btLr"/>
            <w:vAlign w:val="center"/>
          </w:tcPr>
          <w:p w:rsidR="004A4A2B" w:rsidRPr="00242020" w:rsidRDefault="004A4A2B" w:rsidP="004A4A2B">
            <w:pPr>
              <w:ind w:firstLine="0"/>
              <w:jc w:val="center"/>
              <w:rPr>
                <w:rFonts w:eastAsia="Times New Roman" w:cs="Times New Roman"/>
                <w:b/>
                <w:snapToGrid w:val="0"/>
                <w:color w:val="000000"/>
                <w:sz w:val="20"/>
                <w:szCs w:val="20"/>
                <w:lang w:eastAsia="ru-RU"/>
              </w:rPr>
            </w:pPr>
            <w:r w:rsidRPr="00242020">
              <w:rPr>
                <w:rFonts w:eastAsia="Times New Roman" w:cs="Times New Roman"/>
                <w:snapToGrid w:val="0"/>
                <w:color w:val="000000"/>
                <w:sz w:val="20"/>
                <w:szCs w:val="20"/>
                <w:lang w:eastAsia="ru-RU"/>
              </w:rPr>
              <w:t>станом на 01.01.2016</w:t>
            </w:r>
          </w:p>
        </w:tc>
        <w:tc>
          <w:tcPr>
            <w:tcW w:w="628" w:type="dxa"/>
            <w:shd w:val="pct10" w:color="auto" w:fill="auto"/>
            <w:textDirection w:val="btLr"/>
            <w:vAlign w:val="center"/>
          </w:tcPr>
          <w:p w:rsidR="004A4A2B" w:rsidRPr="00242020" w:rsidRDefault="004A4A2B" w:rsidP="004A4A2B">
            <w:pPr>
              <w:ind w:firstLine="0"/>
              <w:jc w:val="center"/>
              <w:rPr>
                <w:rFonts w:eastAsia="Times New Roman" w:cs="Times New Roman"/>
                <w:b/>
                <w:snapToGrid w:val="0"/>
                <w:color w:val="000000"/>
                <w:sz w:val="20"/>
                <w:szCs w:val="20"/>
                <w:lang w:eastAsia="ru-RU"/>
              </w:rPr>
            </w:pPr>
            <w:r w:rsidRPr="00242020">
              <w:rPr>
                <w:rFonts w:eastAsia="Times New Roman" w:cs="Times New Roman"/>
                <w:snapToGrid w:val="0"/>
                <w:color w:val="000000"/>
                <w:sz w:val="20"/>
                <w:szCs w:val="20"/>
                <w:lang w:eastAsia="ru-RU"/>
              </w:rPr>
              <w:t>станом на 01.01.2017</w:t>
            </w:r>
          </w:p>
        </w:tc>
      </w:tr>
      <w:tr w:rsidR="004A4A2B" w:rsidRPr="00242020" w:rsidTr="004A4A2B">
        <w:trPr>
          <w:trHeight w:val="326"/>
          <w:jc w:val="center"/>
        </w:trPr>
        <w:tc>
          <w:tcPr>
            <w:tcW w:w="3208" w:type="dxa"/>
            <w:vAlign w:val="center"/>
          </w:tcPr>
          <w:p w:rsidR="004A4A2B" w:rsidRPr="00242020" w:rsidRDefault="004A4A2B" w:rsidP="004A4A2B">
            <w:pPr>
              <w:ind w:firstLine="0"/>
              <w:rPr>
                <w:rFonts w:eastAsia="Times New Roman" w:cs="Times New Roman"/>
                <w:snapToGrid w:val="0"/>
                <w:color w:val="000000"/>
                <w:sz w:val="22"/>
                <w:lang w:eastAsia="ru-RU"/>
              </w:rPr>
            </w:pPr>
            <w:r w:rsidRPr="00242020">
              <w:rPr>
                <w:rFonts w:eastAsia="Times New Roman" w:cs="Times New Roman"/>
                <w:snapToGrid w:val="0"/>
                <w:color w:val="000000"/>
                <w:sz w:val="22"/>
                <w:lang w:eastAsia="ru-RU"/>
              </w:rPr>
              <w:t>АТ, створені в процесі приватизації та корпоратизації</w:t>
            </w:r>
          </w:p>
        </w:tc>
        <w:tc>
          <w:tcPr>
            <w:tcW w:w="627" w:type="dxa"/>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222</w:t>
            </w:r>
          </w:p>
        </w:tc>
        <w:tc>
          <w:tcPr>
            <w:tcW w:w="627" w:type="dxa"/>
            <w:shd w:val="pct10" w:color="auto" w:fill="auto"/>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210</w:t>
            </w:r>
          </w:p>
        </w:tc>
        <w:tc>
          <w:tcPr>
            <w:tcW w:w="627" w:type="dxa"/>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37</w:t>
            </w:r>
          </w:p>
        </w:tc>
        <w:tc>
          <w:tcPr>
            <w:tcW w:w="627" w:type="dxa"/>
            <w:shd w:val="pct10" w:color="auto" w:fill="auto"/>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36</w:t>
            </w:r>
          </w:p>
        </w:tc>
        <w:tc>
          <w:tcPr>
            <w:tcW w:w="628" w:type="dxa"/>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28</w:t>
            </w:r>
          </w:p>
        </w:tc>
        <w:tc>
          <w:tcPr>
            <w:tcW w:w="627" w:type="dxa"/>
            <w:shd w:val="pct10" w:color="auto" w:fill="auto"/>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26</w:t>
            </w:r>
          </w:p>
        </w:tc>
        <w:tc>
          <w:tcPr>
            <w:tcW w:w="627" w:type="dxa"/>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64</w:t>
            </w:r>
          </w:p>
        </w:tc>
        <w:tc>
          <w:tcPr>
            <w:tcW w:w="627" w:type="dxa"/>
            <w:shd w:val="pct10" w:color="auto" w:fill="auto"/>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58</w:t>
            </w:r>
          </w:p>
        </w:tc>
        <w:tc>
          <w:tcPr>
            <w:tcW w:w="627" w:type="dxa"/>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93</w:t>
            </w:r>
          </w:p>
        </w:tc>
        <w:tc>
          <w:tcPr>
            <w:tcW w:w="628" w:type="dxa"/>
            <w:shd w:val="pct10" w:color="auto" w:fill="auto"/>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90</w:t>
            </w:r>
          </w:p>
        </w:tc>
      </w:tr>
      <w:tr w:rsidR="004A4A2B" w:rsidRPr="00242020" w:rsidTr="004A4A2B">
        <w:trPr>
          <w:trHeight w:val="209"/>
          <w:jc w:val="center"/>
        </w:trPr>
        <w:tc>
          <w:tcPr>
            <w:tcW w:w="3208" w:type="dxa"/>
            <w:vAlign w:val="center"/>
          </w:tcPr>
          <w:p w:rsidR="004A4A2B" w:rsidRPr="00242020" w:rsidRDefault="004A4A2B" w:rsidP="004A4A2B">
            <w:pPr>
              <w:ind w:firstLine="0"/>
              <w:rPr>
                <w:rFonts w:eastAsia="Times New Roman" w:cs="Times New Roman"/>
                <w:snapToGrid w:val="0"/>
                <w:color w:val="000000"/>
                <w:sz w:val="22"/>
                <w:lang w:eastAsia="ru-RU"/>
              </w:rPr>
            </w:pPr>
            <w:proofErr w:type="spellStart"/>
            <w:r w:rsidRPr="00242020">
              <w:rPr>
                <w:rFonts w:eastAsia="Times New Roman" w:cs="Times New Roman"/>
                <w:snapToGrid w:val="0"/>
                <w:color w:val="000000"/>
                <w:sz w:val="22"/>
                <w:lang w:eastAsia="ru-RU"/>
              </w:rPr>
              <w:t>ХК</w:t>
            </w:r>
            <w:proofErr w:type="spellEnd"/>
            <w:r w:rsidRPr="00242020">
              <w:rPr>
                <w:rFonts w:eastAsia="Times New Roman" w:cs="Times New Roman"/>
                <w:snapToGrid w:val="0"/>
                <w:color w:val="000000"/>
                <w:sz w:val="22"/>
                <w:lang w:eastAsia="ru-RU"/>
              </w:rPr>
              <w:t>, ДАК, НАК</w:t>
            </w:r>
          </w:p>
        </w:tc>
        <w:tc>
          <w:tcPr>
            <w:tcW w:w="627" w:type="dxa"/>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31</w:t>
            </w:r>
            <w:r w:rsidRPr="00242020">
              <w:rPr>
                <w:rFonts w:eastAsia="Times New Roman" w:cs="Times New Roman"/>
                <w:snapToGrid w:val="0"/>
                <w:color w:val="000000"/>
                <w:sz w:val="20"/>
                <w:szCs w:val="20"/>
                <w:vertAlign w:val="superscript"/>
                <w:lang w:eastAsia="ru-RU"/>
              </w:rPr>
              <w:footnoteReference w:customMarkFollows="1" w:id="6"/>
              <w:sym w:font="Symbol" w:char="F02A"/>
            </w:r>
          </w:p>
        </w:tc>
        <w:tc>
          <w:tcPr>
            <w:tcW w:w="627" w:type="dxa"/>
            <w:shd w:val="pct10" w:color="auto" w:fill="auto"/>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29</w:t>
            </w:r>
            <w:r w:rsidRPr="00242020">
              <w:rPr>
                <w:rFonts w:eastAsia="Times New Roman" w:cs="Times New Roman"/>
                <w:b/>
                <w:snapToGrid w:val="0"/>
                <w:color w:val="000000"/>
                <w:sz w:val="20"/>
                <w:szCs w:val="20"/>
                <w:vertAlign w:val="superscript"/>
                <w:lang w:eastAsia="ru-RU"/>
              </w:rPr>
              <w:t>*</w:t>
            </w:r>
          </w:p>
        </w:tc>
        <w:tc>
          <w:tcPr>
            <w:tcW w:w="627" w:type="dxa"/>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0</w:t>
            </w:r>
          </w:p>
        </w:tc>
        <w:tc>
          <w:tcPr>
            <w:tcW w:w="627" w:type="dxa"/>
            <w:shd w:val="pct10" w:color="auto" w:fill="auto"/>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0</w:t>
            </w:r>
          </w:p>
        </w:tc>
        <w:tc>
          <w:tcPr>
            <w:tcW w:w="628" w:type="dxa"/>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0</w:t>
            </w:r>
          </w:p>
        </w:tc>
        <w:tc>
          <w:tcPr>
            <w:tcW w:w="627" w:type="dxa"/>
            <w:shd w:val="pct10" w:color="auto" w:fill="auto"/>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0</w:t>
            </w:r>
          </w:p>
        </w:tc>
        <w:tc>
          <w:tcPr>
            <w:tcW w:w="627" w:type="dxa"/>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1</w:t>
            </w:r>
          </w:p>
        </w:tc>
        <w:tc>
          <w:tcPr>
            <w:tcW w:w="627" w:type="dxa"/>
            <w:shd w:val="pct10" w:color="auto" w:fill="auto"/>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1</w:t>
            </w:r>
          </w:p>
        </w:tc>
        <w:tc>
          <w:tcPr>
            <w:tcW w:w="627" w:type="dxa"/>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30</w:t>
            </w:r>
          </w:p>
        </w:tc>
        <w:tc>
          <w:tcPr>
            <w:tcW w:w="628" w:type="dxa"/>
            <w:shd w:val="pct10" w:color="auto" w:fill="auto"/>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28</w:t>
            </w:r>
          </w:p>
        </w:tc>
      </w:tr>
      <w:tr w:rsidR="004A4A2B" w:rsidRPr="00242020" w:rsidTr="004A4A2B">
        <w:trPr>
          <w:trHeight w:val="223"/>
          <w:jc w:val="center"/>
        </w:trPr>
        <w:tc>
          <w:tcPr>
            <w:tcW w:w="3208" w:type="dxa"/>
            <w:vAlign w:val="center"/>
          </w:tcPr>
          <w:p w:rsidR="004A4A2B" w:rsidRPr="00242020" w:rsidRDefault="004A4A2B" w:rsidP="004A4A2B">
            <w:pPr>
              <w:ind w:firstLine="0"/>
              <w:rPr>
                <w:rFonts w:eastAsia="Times New Roman" w:cs="Times New Roman"/>
                <w:snapToGrid w:val="0"/>
                <w:color w:val="000000"/>
                <w:sz w:val="22"/>
                <w:lang w:eastAsia="ru-RU"/>
              </w:rPr>
            </w:pPr>
            <w:r w:rsidRPr="00242020">
              <w:rPr>
                <w:rFonts w:eastAsia="Times New Roman" w:cs="Times New Roman"/>
                <w:snapToGrid w:val="0"/>
                <w:color w:val="000000"/>
                <w:sz w:val="22"/>
                <w:lang w:eastAsia="ru-RU"/>
              </w:rPr>
              <w:t>АТ, утворені за участю Фонду</w:t>
            </w:r>
          </w:p>
        </w:tc>
        <w:tc>
          <w:tcPr>
            <w:tcW w:w="627" w:type="dxa"/>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71</w:t>
            </w:r>
          </w:p>
        </w:tc>
        <w:tc>
          <w:tcPr>
            <w:tcW w:w="627" w:type="dxa"/>
            <w:shd w:val="pct10" w:color="auto" w:fill="auto"/>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67</w:t>
            </w:r>
          </w:p>
        </w:tc>
        <w:tc>
          <w:tcPr>
            <w:tcW w:w="627" w:type="dxa"/>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22</w:t>
            </w:r>
          </w:p>
        </w:tc>
        <w:tc>
          <w:tcPr>
            <w:tcW w:w="627" w:type="dxa"/>
            <w:shd w:val="pct10" w:color="auto" w:fill="auto"/>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22</w:t>
            </w:r>
          </w:p>
        </w:tc>
        <w:tc>
          <w:tcPr>
            <w:tcW w:w="628" w:type="dxa"/>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7</w:t>
            </w:r>
          </w:p>
        </w:tc>
        <w:tc>
          <w:tcPr>
            <w:tcW w:w="627" w:type="dxa"/>
            <w:shd w:val="pct10" w:color="auto" w:fill="auto"/>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6</w:t>
            </w:r>
          </w:p>
        </w:tc>
        <w:tc>
          <w:tcPr>
            <w:tcW w:w="627" w:type="dxa"/>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27</w:t>
            </w:r>
          </w:p>
        </w:tc>
        <w:tc>
          <w:tcPr>
            <w:tcW w:w="627" w:type="dxa"/>
            <w:shd w:val="pct10" w:color="auto" w:fill="auto"/>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25</w:t>
            </w:r>
          </w:p>
        </w:tc>
        <w:tc>
          <w:tcPr>
            <w:tcW w:w="627" w:type="dxa"/>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15</w:t>
            </w:r>
          </w:p>
        </w:tc>
        <w:tc>
          <w:tcPr>
            <w:tcW w:w="628" w:type="dxa"/>
            <w:shd w:val="pct10" w:color="auto" w:fill="auto"/>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14</w:t>
            </w:r>
          </w:p>
        </w:tc>
      </w:tr>
      <w:tr w:rsidR="004A4A2B" w:rsidRPr="00242020" w:rsidTr="004A4A2B">
        <w:trPr>
          <w:trHeight w:val="223"/>
          <w:jc w:val="center"/>
        </w:trPr>
        <w:tc>
          <w:tcPr>
            <w:tcW w:w="3208" w:type="dxa"/>
            <w:vAlign w:val="center"/>
          </w:tcPr>
          <w:p w:rsidR="004A4A2B" w:rsidRPr="00242020" w:rsidRDefault="004A4A2B" w:rsidP="004A4A2B">
            <w:pPr>
              <w:ind w:firstLine="0"/>
              <w:rPr>
                <w:rFonts w:eastAsia="Times New Roman" w:cs="Times New Roman"/>
                <w:snapToGrid w:val="0"/>
                <w:color w:val="000000"/>
                <w:sz w:val="22"/>
                <w:lang w:eastAsia="ru-RU"/>
              </w:rPr>
            </w:pPr>
            <w:r w:rsidRPr="00242020">
              <w:rPr>
                <w:rFonts w:eastAsia="Times New Roman" w:cs="Times New Roman"/>
                <w:snapToGrid w:val="0"/>
                <w:color w:val="000000"/>
                <w:sz w:val="22"/>
                <w:lang w:eastAsia="ru-RU"/>
              </w:rPr>
              <w:t>ТОВ</w:t>
            </w:r>
          </w:p>
        </w:tc>
        <w:tc>
          <w:tcPr>
            <w:tcW w:w="627" w:type="dxa"/>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54</w:t>
            </w:r>
          </w:p>
        </w:tc>
        <w:tc>
          <w:tcPr>
            <w:tcW w:w="627" w:type="dxa"/>
            <w:shd w:val="pct10" w:color="auto" w:fill="auto"/>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54</w:t>
            </w:r>
          </w:p>
        </w:tc>
        <w:tc>
          <w:tcPr>
            <w:tcW w:w="627" w:type="dxa"/>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5</w:t>
            </w:r>
          </w:p>
        </w:tc>
        <w:tc>
          <w:tcPr>
            <w:tcW w:w="627" w:type="dxa"/>
            <w:shd w:val="pct10" w:color="auto" w:fill="auto"/>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6</w:t>
            </w:r>
          </w:p>
        </w:tc>
        <w:tc>
          <w:tcPr>
            <w:tcW w:w="628" w:type="dxa"/>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16</w:t>
            </w:r>
          </w:p>
        </w:tc>
        <w:tc>
          <w:tcPr>
            <w:tcW w:w="627" w:type="dxa"/>
            <w:shd w:val="pct10" w:color="auto" w:fill="auto"/>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16</w:t>
            </w:r>
          </w:p>
        </w:tc>
        <w:tc>
          <w:tcPr>
            <w:tcW w:w="627" w:type="dxa"/>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18</w:t>
            </w:r>
          </w:p>
        </w:tc>
        <w:tc>
          <w:tcPr>
            <w:tcW w:w="627" w:type="dxa"/>
            <w:shd w:val="pct10" w:color="auto" w:fill="auto"/>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18</w:t>
            </w:r>
          </w:p>
        </w:tc>
        <w:tc>
          <w:tcPr>
            <w:tcW w:w="627" w:type="dxa"/>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15</w:t>
            </w:r>
          </w:p>
        </w:tc>
        <w:tc>
          <w:tcPr>
            <w:tcW w:w="628" w:type="dxa"/>
            <w:shd w:val="pct10" w:color="auto" w:fill="auto"/>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14</w:t>
            </w:r>
          </w:p>
        </w:tc>
      </w:tr>
      <w:tr w:rsidR="004A4A2B" w:rsidRPr="00242020" w:rsidTr="004A4A2B">
        <w:trPr>
          <w:trHeight w:val="223"/>
          <w:jc w:val="center"/>
        </w:trPr>
        <w:tc>
          <w:tcPr>
            <w:tcW w:w="3208" w:type="dxa"/>
            <w:vAlign w:val="center"/>
          </w:tcPr>
          <w:p w:rsidR="004A4A2B" w:rsidRPr="00242020" w:rsidRDefault="004A4A2B" w:rsidP="004A4A2B">
            <w:pPr>
              <w:ind w:firstLine="0"/>
              <w:rPr>
                <w:rFonts w:eastAsia="Times New Roman" w:cs="Times New Roman"/>
                <w:snapToGrid w:val="0"/>
                <w:color w:val="000000"/>
                <w:sz w:val="22"/>
                <w:lang w:eastAsia="ru-RU"/>
              </w:rPr>
            </w:pPr>
            <w:r w:rsidRPr="00242020">
              <w:rPr>
                <w:rFonts w:eastAsia="Times New Roman" w:cs="Times New Roman"/>
                <w:snapToGrid w:val="0"/>
                <w:color w:val="000000"/>
                <w:sz w:val="22"/>
                <w:lang w:eastAsia="ru-RU"/>
              </w:rPr>
              <w:t>АТ, ТОВ, які перебувають на обліку інших органів виконавчої влади</w:t>
            </w:r>
          </w:p>
        </w:tc>
        <w:tc>
          <w:tcPr>
            <w:tcW w:w="627" w:type="dxa"/>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170</w:t>
            </w:r>
          </w:p>
        </w:tc>
        <w:tc>
          <w:tcPr>
            <w:tcW w:w="627" w:type="dxa"/>
            <w:shd w:val="pct10" w:color="auto" w:fill="auto"/>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166</w:t>
            </w:r>
          </w:p>
        </w:tc>
        <w:tc>
          <w:tcPr>
            <w:tcW w:w="627" w:type="dxa"/>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4</w:t>
            </w:r>
          </w:p>
        </w:tc>
        <w:tc>
          <w:tcPr>
            <w:tcW w:w="627" w:type="dxa"/>
            <w:shd w:val="pct10" w:color="auto" w:fill="auto"/>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4</w:t>
            </w:r>
          </w:p>
        </w:tc>
        <w:tc>
          <w:tcPr>
            <w:tcW w:w="628" w:type="dxa"/>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16</w:t>
            </w:r>
          </w:p>
        </w:tc>
        <w:tc>
          <w:tcPr>
            <w:tcW w:w="627" w:type="dxa"/>
            <w:shd w:val="pct10" w:color="auto" w:fill="auto"/>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15</w:t>
            </w:r>
          </w:p>
        </w:tc>
        <w:tc>
          <w:tcPr>
            <w:tcW w:w="627" w:type="dxa"/>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31</w:t>
            </w:r>
          </w:p>
        </w:tc>
        <w:tc>
          <w:tcPr>
            <w:tcW w:w="627" w:type="dxa"/>
            <w:shd w:val="pct10" w:color="auto" w:fill="auto"/>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31</w:t>
            </w:r>
          </w:p>
        </w:tc>
        <w:tc>
          <w:tcPr>
            <w:tcW w:w="627" w:type="dxa"/>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119</w:t>
            </w:r>
          </w:p>
        </w:tc>
        <w:tc>
          <w:tcPr>
            <w:tcW w:w="628" w:type="dxa"/>
            <w:shd w:val="pct10" w:color="auto" w:fill="auto"/>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116</w:t>
            </w:r>
          </w:p>
        </w:tc>
      </w:tr>
      <w:tr w:rsidR="004A4A2B" w:rsidRPr="00242020" w:rsidTr="004A4A2B">
        <w:trPr>
          <w:trHeight w:val="223"/>
          <w:jc w:val="center"/>
        </w:trPr>
        <w:tc>
          <w:tcPr>
            <w:tcW w:w="3208" w:type="dxa"/>
            <w:vAlign w:val="center"/>
          </w:tcPr>
          <w:p w:rsidR="004A4A2B" w:rsidRPr="00242020" w:rsidRDefault="004A4A2B" w:rsidP="004A4A2B">
            <w:pPr>
              <w:ind w:firstLine="0"/>
              <w:rPr>
                <w:rFonts w:eastAsia="Times New Roman" w:cs="Times New Roman"/>
                <w:b/>
                <w:snapToGrid w:val="0"/>
                <w:color w:val="000000"/>
                <w:sz w:val="22"/>
                <w:lang w:eastAsia="ru-RU"/>
              </w:rPr>
            </w:pPr>
            <w:r w:rsidRPr="00242020">
              <w:rPr>
                <w:rFonts w:eastAsia="Times New Roman" w:cs="Times New Roman"/>
                <w:b/>
                <w:snapToGrid w:val="0"/>
                <w:color w:val="000000"/>
                <w:sz w:val="22"/>
                <w:lang w:eastAsia="ru-RU"/>
              </w:rPr>
              <w:t>Разом</w:t>
            </w:r>
          </w:p>
        </w:tc>
        <w:tc>
          <w:tcPr>
            <w:tcW w:w="627" w:type="dxa"/>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548</w:t>
            </w:r>
          </w:p>
        </w:tc>
        <w:tc>
          <w:tcPr>
            <w:tcW w:w="627" w:type="dxa"/>
            <w:shd w:val="pct10" w:color="auto" w:fill="auto"/>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526</w:t>
            </w:r>
          </w:p>
        </w:tc>
        <w:tc>
          <w:tcPr>
            <w:tcW w:w="627" w:type="dxa"/>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68</w:t>
            </w:r>
          </w:p>
        </w:tc>
        <w:tc>
          <w:tcPr>
            <w:tcW w:w="627" w:type="dxa"/>
            <w:shd w:val="pct10" w:color="auto" w:fill="auto"/>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68</w:t>
            </w:r>
          </w:p>
        </w:tc>
        <w:tc>
          <w:tcPr>
            <w:tcW w:w="628" w:type="dxa"/>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67</w:t>
            </w:r>
          </w:p>
        </w:tc>
        <w:tc>
          <w:tcPr>
            <w:tcW w:w="627" w:type="dxa"/>
            <w:shd w:val="pct10" w:color="auto" w:fill="auto"/>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63</w:t>
            </w:r>
          </w:p>
        </w:tc>
        <w:tc>
          <w:tcPr>
            <w:tcW w:w="627" w:type="dxa"/>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141</w:t>
            </w:r>
          </w:p>
        </w:tc>
        <w:tc>
          <w:tcPr>
            <w:tcW w:w="627" w:type="dxa"/>
            <w:shd w:val="pct10" w:color="auto" w:fill="auto"/>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133</w:t>
            </w:r>
          </w:p>
        </w:tc>
        <w:tc>
          <w:tcPr>
            <w:tcW w:w="627" w:type="dxa"/>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272</w:t>
            </w:r>
          </w:p>
        </w:tc>
        <w:tc>
          <w:tcPr>
            <w:tcW w:w="628" w:type="dxa"/>
            <w:shd w:val="pct10" w:color="auto" w:fill="auto"/>
            <w:vAlign w:val="bottom"/>
          </w:tcPr>
          <w:p w:rsidR="004A4A2B" w:rsidRPr="00242020" w:rsidRDefault="004A4A2B" w:rsidP="004A4A2B">
            <w:pPr>
              <w:widowControl/>
              <w:ind w:firstLine="0"/>
              <w:jc w:val="center"/>
              <w:rPr>
                <w:rFonts w:eastAsia="Times New Roman" w:cs="Times New Roman"/>
                <w:b/>
                <w:snapToGrid w:val="0"/>
                <w:color w:val="000000"/>
                <w:sz w:val="20"/>
                <w:szCs w:val="20"/>
                <w:lang w:eastAsia="ru-RU"/>
              </w:rPr>
            </w:pPr>
            <w:r w:rsidRPr="00242020">
              <w:rPr>
                <w:rFonts w:eastAsia="Times New Roman" w:cs="Times New Roman"/>
                <w:b/>
                <w:snapToGrid w:val="0"/>
                <w:color w:val="000000"/>
                <w:sz w:val="20"/>
                <w:szCs w:val="20"/>
                <w:lang w:eastAsia="ru-RU"/>
              </w:rPr>
              <w:t>262</w:t>
            </w:r>
          </w:p>
        </w:tc>
      </w:tr>
    </w:tbl>
    <w:p w:rsidR="004A4A2B" w:rsidRPr="00242020" w:rsidRDefault="004A4A2B" w:rsidP="004A4A2B">
      <w:pPr>
        <w:ind w:firstLine="708"/>
        <w:jc w:val="both"/>
        <w:rPr>
          <w:rFonts w:eastAsia="Times New Roman" w:cs="Times New Roman"/>
          <w:color w:val="000000"/>
          <w:sz w:val="6"/>
          <w:szCs w:val="6"/>
          <w:highlight w:val="yellow"/>
          <w:lang w:eastAsia="ru-RU"/>
        </w:rPr>
      </w:pPr>
    </w:p>
    <w:p w:rsidR="004A4A2B" w:rsidRPr="00242020" w:rsidRDefault="004A4A2B" w:rsidP="00102753">
      <w:pPr>
        <w:jc w:val="both"/>
        <w:rPr>
          <w:rFonts w:eastAsia="Times New Roman" w:cs="Times New Roman"/>
          <w:szCs w:val="28"/>
          <w:lang w:eastAsia="ru-RU"/>
        </w:rPr>
      </w:pPr>
      <w:r w:rsidRPr="00242020">
        <w:rPr>
          <w:rFonts w:eastAsia="Times New Roman" w:cs="Times New Roman"/>
          <w:szCs w:val="28"/>
          <w:lang w:eastAsia="ru-RU"/>
        </w:rPr>
        <w:t xml:space="preserve">Як свідчать дані таблиці, протягом порівняльного періоду загальна кількість господарських товариств зменшилася на </w:t>
      </w:r>
      <w:r w:rsidRPr="00242020">
        <w:rPr>
          <w:rFonts w:eastAsia="Times New Roman" w:cs="Times New Roman"/>
          <w:b/>
          <w:szCs w:val="28"/>
          <w:lang w:eastAsia="ru-RU"/>
        </w:rPr>
        <w:t>22</w:t>
      </w:r>
      <w:r w:rsidRPr="00242020">
        <w:rPr>
          <w:rFonts w:eastAsia="Times New Roman" w:cs="Times New Roman"/>
          <w:szCs w:val="28"/>
          <w:lang w:eastAsia="ru-RU"/>
        </w:rPr>
        <w:t xml:space="preserve"> АТ (</w:t>
      </w:r>
      <w:r w:rsidRPr="00242020">
        <w:rPr>
          <w:rFonts w:eastAsia="Times New Roman" w:cs="Times New Roman"/>
          <w:color w:val="000000"/>
          <w:szCs w:val="28"/>
          <w:lang w:eastAsia="ru-RU"/>
        </w:rPr>
        <w:t>11 АТ – за рахунок приватизації та 11АТ – ліквідації</w:t>
      </w:r>
      <w:r w:rsidRPr="00242020">
        <w:rPr>
          <w:rFonts w:eastAsia="Times New Roman" w:cs="Times New Roman"/>
          <w:szCs w:val="28"/>
          <w:lang w:eastAsia="ru-RU"/>
        </w:rPr>
        <w:t>).</w:t>
      </w:r>
    </w:p>
    <w:p w:rsidR="004A4A2B" w:rsidRPr="00242020" w:rsidRDefault="004A4A2B" w:rsidP="00102753">
      <w:pPr>
        <w:jc w:val="both"/>
        <w:rPr>
          <w:rFonts w:eastAsia="Times New Roman" w:cs="Times New Roman"/>
          <w:color w:val="000000"/>
          <w:sz w:val="6"/>
          <w:szCs w:val="6"/>
          <w:highlight w:val="yellow"/>
          <w:lang w:eastAsia="ru-RU"/>
        </w:rPr>
      </w:pPr>
    </w:p>
    <w:p w:rsidR="004A4A2B" w:rsidRPr="00242020" w:rsidRDefault="004A4A2B" w:rsidP="00102753">
      <w:pPr>
        <w:jc w:val="both"/>
        <w:rPr>
          <w:rFonts w:eastAsia="Times New Roman" w:cs="Times New Roman"/>
          <w:szCs w:val="28"/>
          <w:lang w:eastAsia="ru-RU"/>
        </w:rPr>
      </w:pPr>
      <w:r w:rsidRPr="00242020">
        <w:rPr>
          <w:rFonts w:eastAsia="Times New Roman" w:cs="Times New Roman"/>
          <w:szCs w:val="28"/>
          <w:lang w:eastAsia="ru-RU"/>
        </w:rPr>
        <w:t xml:space="preserve">Станом на 01 січня 2017 року Фонд здійснював управління </w:t>
      </w:r>
      <w:r w:rsidRPr="00242020">
        <w:rPr>
          <w:rFonts w:eastAsia="Times New Roman" w:cs="Times New Roman"/>
          <w:szCs w:val="28"/>
          <w:lang w:eastAsia="ru-RU"/>
        </w:rPr>
        <w:lastRenderedPageBreak/>
        <w:t>корпоративними правами держави у 341 господарському товаристві, з яких апарат Фонду – у 156 товариствах та регіональні відділення Фонду – у 185. Розподіл корпоративних прав держави за часткою, які перебувають в управлінні Фонду, наведено у таблиці 3.</w:t>
      </w:r>
      <w:r w:rsidR="00681794" w:rsidRPr="00242020">
        <w:rPr>
          <w:rFonts w:eastAsia="Times New Roman" w:cs="Times New Roman"/>
          <w:szCs w:val="28"/>
          <w:lang w:eastAsia="ru-RU"/>
        </w:rPr>
        <w:t>5</w:t>
      </w:r>
      <w:r w:rsidRPr="00242020">
        <w:rPr>
          <w:rFonts w:eastAsia="Times New Roman" w:cs="Times New Roman"/>
          <w:szCs w:val="28"/>
          <w:lang w:eastAsia="ru-RU"/>
        </w:rPr>
        <w:t xml:space="preserve">. У </w:t>
      </w:r>
      <w:r w:rsidRPr="00242020">
        <w:rPr>
          <w:rFonts w:eastAsia="Times New Roman" w:cs="Times New Roman"/>
          <w:color w:val="000000"/>
          <w:szCs w:val="28"/>
          <w:lang w:eastAsia="ru-RU"/>
        </w:rPr>
        <w:t>Донецькій та Луганській областях, на територіях яких органи державної влади тимчасово не здійснюють своїх повноважень, знаходиться 47 господарських товариств, а саме: у Донецькій області – 17, у Луганській області – 30. На тимчасово окупованій території АР</w:t>
      </w:r>
      <w:r w:rsidR="006129B8">
        <w:rPr>
          <w:rFonts w:eastAsia="Times New Roman" w:cs="Times New Roman"/>
          <w:color w:val="000000"/>
          <w:szCs w:val="28"/>
          <w:lang w:eastAsia="ru-RU"/>
        </w:rPr>
        <w:t> </w:t>
      </w:r>
      <w:r w:rsidRPr="00242020">
        <w:rPr>
          <w:rFonts w:eastAsia="Times New Roman" w:cs="Times New Roman"/>
          <w:color w:val="000000"/>
          <w:szCs w:val="28"/>
          <w:lang w:eastAsia="ru-RU"/>
        </w:rPr>
        <w:t>Крим розташовано 26 таких товариств.</w:t>
      </w:r>
    </w:p>
    <w:p w:rsidR="004A4A2B" w:rsidRPr="00242020" w:rsidRDefault="004A4A2B" w:rsidP="004A4A2B">
      <w:pPr>
        <w:jc w:val="right"/>
        <w:rPr>
          <w:rFonts w:eastAsia="Times New Roman" w:cs="Times New Roman"/>
          <w:b/>
          <w:sz w:val="24"/>
          <w:szCs w:val="24"/>
          <w:lang w:eastAsia="ru-RU"/>
        </w:rPr>
      </w:pPr>
      <w:r w:rsidRPr="00242020">
        <w:rPr>
          <w:rFonts w:eastAsia="Times New Roman" w:cs="Times New Roman"/>
          <w:b/>
          <w:sz w:val="24"/>
          <w:szCs w:val="24"/>
          <w:lang w:eastAsia="ru-RU"/>
        </w:rPr>
        <w:t>Таблиця 3.</w:t>
      </w:r>
      <w:r w:rsidR="00681794" w:rsidRPr="00242020">
        <w:rPr>
          <w:rFonts w:eastAsia="Times New Roman" w:cs="Times New Roman"/>
          <w:b/>
          <w:sz w:val="24"/>
          <w:szCs w:val="24"/>
          <w:lang w:eastAsia="ru-RU"/>
        </w:rPr>
        <w:t>5</w:t>
      </w:r>
    </w:p>
    <w:p w:rsidR="004A4A2B" w:rsidRPr="00242020" w:rsidRDefault="004A4A2B" w:rsidP="004A4A2B">
      <w:pPr>
        <w:spacing w:before="120" w:after="120"/>
        <w:ind w:firstLine="0"/>
        <w:jc w:val="center"/>
        <w:rPr>
          <w:rFonts w:eastAsia="Times New Roman" w:cs="Times New Roman"/>
          <w:b/>
          <w:szCs w:val="28"/>
          <w:lang w:eastAsia="ru-RU"/>
        </w:rPr>
      </w:pPr>
      <w:r w:rsidRPr="00242020">
        <w:rPr>
          <w:rFonts w:eastAsia="Times New Roman" w:cs="Times New Roman"/>
          <w:b/>
          <w:szCs w:val="28"/>
          <w:lang w:eastAsia="ru-RU"/>
        </w:rPr>
        <w:t xml:space="preserve">Розподіл корпоративних прав держави за часткою, </w:t>
      </w:r>
      <w:r w:rsidRPr="00242020">
        <w:rPr>
          <w:rFonts w:eastAsia="Times New Roman" w:cs="Times New Roman"/>
          <w:b/>
          <w:szCs w:val="28"/>
          <w:lang w:eastAsia="ru-RU"/>
        </w:rPr>
        <w:br/>
        <w:t>які перебувають в управлінні Фонду</w:t>
      </w:r>
    </w:p>
    <w:tbl>
      <w:tblPr>
        <w:tblStyle w:val="12"/>
        <w:tblW w:w="9360" w:type="dxa"/>
        <w:tblInd w:w="108" w:type="dxa"/>
        <w:tblLook w:val="01E0"/>
      </w:tblPr>
      <w:tblGrid>
        <w:gridCol w:w="3780"/>
        <w:gridCol w:w="2160"/>
        <w:gridCol w:w="2160"/>
        <w:gridCol w:w="1260"/>
      </w:tblGrid>
      <w:tr w:rsidR="004A4A2B" w:rsidRPr="00242020" w:rsidTr="004A4A2B">
        <w:tc>
          <w:tcPr>
            <w:tcW w:w="3780" w:type="dxa"/>
            <w:vMerge w:val="restart"/>
            <w:vAlign w:val="center"/>
          </w:tcPr>
          <w:p w:rsidR="004A4A2B" w:rsidRPr="00242020" w:rsidRDefault="004A4A2B" w:rsidP="004A4A2B">
            <w:pPr>
              <w:ind w:firstLine="0"/>
              <w:jc w:val="center"/>
              <w:rPr>
                <w:b/>
                <w:sz w:val="24"/>
                <w:szCs w:val="24"/>
                <w:lang w:val="uk-UA"/>
              </w:rPr>
            </w:pPr>
            <w:r w:rsidRPr="00242020">
              <w:rPr>
                <w:b/>
                <w:sz w:val="24"/>
                <w:szCs w:val="24"/>
                <w:lang w:val="uk-UA"/>
              </w:rPr>
              <w:t>Розмір частки держави</w:t>
            </w:r>
          </w:p>
        </w:tc>
        <w:tc>
          <w:tcPr>
            <w:tcW w:w="4320" w:type="dxa"/>
            <w:gridSpan w:val="2"/>
            <w:vAlign w:val="center"/>
          </w:tcPr>
          <w:p w:rsidR="004A4A2B" w:rsidRPr="00242020" w:rsidRDefault="004A4A2B" w:rsidP="004A4A2B">
            <w:pPr>
              <w:ind w:firstLine="0"/>
              <w:jc w:val="center"/>
              <w:rPr>
                <w:b/>
                <w:sz w:val="24"/>
                <w:szCs w:val="24"/>
                <w:lang w:val="uk-UA"/>
              </w:rPr>
            </w:pPr>
            <w:r w:rsidRPr="00242020">
              <w:rPr>
                <w:b/>
                <w:sz w:val="24"/>
                <w:szCs w:val="24"/>
                <w:lang w:val="uk-UA"/>
              </w:rPr>
              <w:t>Перебуває в управлінні</w:t>
            </w:r>
          </w:p>
        </w:tc>
        <w:tc>
          <w:tcPr>
            <w:tcW w:w="1260" w:type="dxa"/>
            <w:vMerge w:val="restart"/>
            <w:vAlign w:val="center"/>
          </w:tcPr>
          <w:p w:rsidR="004A4A2B" w:rsidRPr="00242020" w:rsidRDefault="004A4A2B" w:rsidP="004A4A2B">
            <w:pPr>
              <w:ind w:firstLine="0"/>
              <w:jc w:val="center"/>
              <w:rPr>
                <w:b/>
                <w:sz w:val="24"/>
                <w:szCs w:val="24"/>
                <w:lang w:val="uk-UA"/>
              </w:rPr>
            </w:pPr>
            <w:r w:rsidRPr="00242020">
              <w:rPr>
                <w:b/>
                <w:sz w:val="24"/>
                <w:szCs w:val="24"/>
                <w:lang w:val="uk-UA"/>
              </w:rPr>
              <w:t>Усього</w:t>
            </w:r>
          </w:p>
        </w:tc>
      </w:tr>
      <w:tr w:rsidR="004A4A2B" w:rsidRPr="00242020" w:rsidTr="004A4A2B">
        <w:tc>
          <w:tcPr>
            <w:tcW w:w="3780" w:type="dxa"/>
            <w:vMerge/>
          </w:tcPr>
          <w:p w:rsidR="004A4A2B" w:rsidRPr="00242020" w:rsidRDefault="004A4A2B" w:rsidP="004A4A2B">
            <w:pPr>
              <w:ind w:firstLine="0"/>
              <w:jc w:val="center"/>
              <w:rPr>
                <w:lang w:val="uk-UA"/>
              </w:rPr>
            </w:pPr>
          </w:p>
        </w:tc>
        <w:tc>
          <w:tcPr>
            <w:tcW w:w="2160" w:type="dxa"/>
          </w:tcPr>
          <w:p w:rsidR="004A4A2B" w:rsidRPr="00242020" w:rsidRDefault="004A4A2B" w:rsidP="004A4A2B">
            <w:pPr>
              <w:ind w:firstLine="0"/>
              <w:jc w:val="center"/>
              <w:rPr>
                <w:b/>
                <w:sz w:val="24"/>
                <w:szCs w:val="24"/>
                <w:lang w:val="uk-UA"/>
              </w:rPr>
            </w:pPr>
            <w:r w:rsidRPr="00242020">
              <w:rPr>
                <w:b/>
                <w:sz w:val="24"/>
                <w:szCs w:val="24"/>
                <w:lang w:val="uk-UA"/>
              </w:rPr>
              <w:t>апарату Фонду</w:t>
            </w:r>
          </w:p>
        </w:tc>
        <w:tc>
          <w:tcPr>
            <w:tcW w:w="2160" w:type="dxa"/>
          </w:tcPr>
          <w:p w:rsidR="004A4A2B" w:rsidRPr="00242020" w:rsidRDefault="004A4A2B" w:rsidP="004A4A2B">
            <w:pPr>
              <w:ind w:firstLine="0"/>
              <w:jc w:val="center"/>
              <w:rPr>
                <w:b/>
                <w:sz w:val="24"/>
                <w:szCs w:val="24"/>
                <w:lang w:val="uk-UA"/>
              </w:rPr>
            </w:pPr>
            <w:proofErr w:type="spellStart"/>
            <w:r w:rsidRPr="00242020">
              <w:rPr>
                <w:b/>
                <w:sz w:val="24"/>
                <w:szCs w:val="24"/>
                <w:lang w:val="uk-UA"/>
              </w:rPr>
              <w:t>РВ</w:t>
            </w:r>
            <w:proofErr w:type="spellEnd"/>
            <w:r w:rsidRPr="00242020">
              <w:rPr>
                <w:b/>
                <w:sz w:val="24"/>
                <w:szCs w:val="24"/>
                <w:lang w:val="uk-UA"/>
              </w:rPr>
              <w:t xml:space="preserve"> Фонду</w:t>
            </w:r>
          </w:p>
        </w:tc>
        <w:tc>
          <w:tcPr>
            <w:tcW w:w="1260" w:type="dxa"/>
            <w:vMerge/>
          </w:tcPr>
          <w:p w:rsidR="004A4A2B" w:rsidRPr="00242020" w:rsidRDefault="004A4A2B" w:rsidP="004A4A2B">
            <w:pPr>
              <w:ind w:firstLine="0"/>
              <w:jc w:val="center"/>
              <w:rPr>
                <w:highlight w:val="yellow"/>
                <w:lang w:val="uk-UA"/>
              </w:rPr>
            </w:pPr>
          </w:p>
        </w:tc>
      </w:tr>
      <w:tr w:rsidR="004A4A2B" w:rsidRPr="00242020" w:rsidTr="004A4A2B">
        <w:tc>
          <w:tcPr>
            <w:tcW w:w="3780" w:type="dxa"/>
          </w:tcPr>
          <w:p w:rsidR="004A4A2B" w:rsidRPr="00242020" w:rsidRDefault="004A4A2B" w:rsidP="004A4A2B">
            <w:pPr>
              <w:ind w:firstLine="0"/>
              <w:jc w:val="both"/>
              <w:rPr>
                <w:b/>
                <w:sz w:val="26"/>
                <w:szCs w:val="26"/>
                <w:lang w:val="uk-UA"/>
              </w:rPr>
            </w:pPr>
            <w:r w:rsidRPr="00242020">
              <w:rPr>
                <w:b/>
                <w:sz w:val="26"/>
                <w:szCs w:val="26"/>
                <w:lang w:val="uk-UA"/>
              </w:rPr>
              <w:t>до 25 %</w:t>
            </w:r>
          </w:p>
        </w:tc>
        <w:tc>
          <w:tcPr>
            <w:tcW w:w="2160" w:type="dxa"/>
          </w:tcPr>
          <w:p w:rsidR="004A4A2B" w:rsidRPr="00242020" w:rsidRDefault="004A4A2B" w:rsidP="004A4A2B">
            <w:pPr>
              <w:ind w:firstLine="0"/>
              <w:jc w:val="center"/>
              <w:rPr>
                <w:sz w:val="26"/>
                <w:szCs w:val="26"/>
                <w:lang w:val="uk-UA"/>
              </w:rPr>
            </w:pPr>
            <w:r w:rsidRPr="00242020">
              <w:rPr>
                <w:sz w:val="26"/>
                <w:szCs w:val="26"/>
                <w:lang w:val="uk-UA"/>
              </w:rPr>
              <w:t>34</w:t>
            </w:r>
          </w:p>
        </w:tc>
        <w:tc>
          <w:tcPr>
            <w:tcW w:w="2160" w:type="dxa"/>
          </w:tcPr>
          <w:p w:rsidR="004A4A2B" w:rsidRPr="00242020" w:rsidRDefault="004A4A2B" w:rsidP="004A4A2B">
            <w:pPr>
              <w:ind w:firstLine="0"/>
              <w:jc w:val="center"/>
              <w:rPr>
                <w:sz w:val="26"/>
                <w:szCs w:val="26"/>
                <w:lang w:val="uk-UA"/>
              </w:rPr>
            </w:pPr>
            <w:r w:rsidRPr="00242020">
              <w:rPr>
                <w:sz w:val="26"/>
                <w:szCs w:val="26"/>
                <w:lang w:val="uk-UA"/>
              </w:rPr>
              <w:t>78</w:t>
            </w:r>
          </w:p>
        </w:tc>
        <w:tc>
          <w:tcPr>
            <w:tcW w:w="1260" w:type="dxa"/>
          </w:tcPr>
          <w:p w:rsidR="004A4A2B" w:rsidRPr="00242020" w:rsidRDefault="004A4A2B" w:rsidP="004A4A2B">
            <w:pPr>
              <w:ind w:firstLine="0"/>
              <w:jc w:val="center"/>
              <w:rPr>
                <w:sz w:val="26"/>
                <w:szCs w:val="26"/>
                <w:lang w:val="uk-UA"/>
              </w:rPr>
            </w:pPr>
            <w:r w:rsidRPr="00242020">
              <w:rPr>
                <w:sz w:val="26"/>
                <w:szCs w:val="26"/>
                <w:lang w:val="uk-UA"/>
              </w:rPr>
              <w:t>112</w:t>
            </w:r>
          </w:p>
        </w:tc>
      </w:tr>
      <w:tr w:rsidR="004A4A2B" w:rsidRPr="00242020" w:rsidTr="004A4A2B">
        <w:tc>
          <w:tcPr>
            <w:tcW w:w="3780" w:type="dxa"/>
          </w:tcPr>
          <w:p w:rsidR="004A4A2B" w:rsidRPr="00242020" w:rsidRDefault="004A4A2B" w:rsidP="004A4A2B">
            <w:pPr>
              <w:ind w:firstLine="0"/>
              <w:jc w:val="both"/>
              <w:rPr>
                <w:b/>
                <w:sz w:val="26"/>
                <w:szCs w:val="26"/>
                <w:lang w:val="uk-UA"/>
              </w:rPr>
            </w:pPr>
            <w:r w:rsidRPr="00242020">
              <w:rPr>
                <w:b/>
                <w:sz w:val="26"/>
                <w:szCs w:val="26"/>
                <w:lang w:val="uk-UA"/>
              </w:rPr>
              <w:t>від 25 % + 1 акція до 50 %</w:t>
            </w:r>
          </w:p>
        </w:tc>
        <w:tc>
          <w:tcPr>
            <w:tcW w:w="2160" w:type="dxa"/>
          </w:tcPr>
          <w:p w:rsidR="004A4A2B" w:rsidRPr="00242020" w:rsidRDefault="004A4A2B" w:rsidP="004A4A2B">
            <w:pPr>
              <w:ind w:firstLine="0"/>
              <w:jc w:val="center"/>
              <w:rPr>
                <w:sz w:val="26"/>
                <w:szCs w:val="26"/>
                <w:lang w:val="uk-UA"/>
              </w:rPr>
            </w:pPr>
            <w:r w:rsidRPr="00242020">
              <w:rPr>
                <w:sz w:val="26"/>
                <w:szCs w:val="26"/>
                <w:lang w:val="uk-UA"/>
              </w:rPr>
              <w:t>53</w:t>
            </w:r>
          </w:p>
        </w:tc>
        <w:tc>
          <w:tcPr>
            <w:tcW w:w="2160" w:type="dxa"/>
          </w:tcPr>
          <w:p w:rsidR="004A4A2B" w:rsidRPr="00242020" w:rsidRDefault="004A4A2B" w:rsidP="004A4A2B">
            <w:pPr>
              <w:ind w:firstLine="0"/>
              <w:jc w:val="center"/>
              <w:rPr>
                <w:sz w:val="26"/>
                <w:szCs w:val="26"/>
                <w:lang w:val="uk-UA"/>
              </w:rPr>
            </w:pPr>
            <w:r w:rsidRPr="00242020">
              <w:rPr>
                <w:sz w:val="26"/>
                <w:szCs w:val="26"/>
                <w:lang w:val="uk-UA"/>
              </w:rPr>
              <w:t>48</w:t>
            </w:r>
          </w:p>
        </w:tc>
        <w:tc>
          <w:tcPr>
            <w:tcW w:w="1260" w:type="dxa"/>
          </w:tcPr>
          <w:p w:rsidR="004A4A2B" w:rsidRPr="00242020" w:rsidRDefault="004A4A2B" w:rsidP="004A4A2B">
            <w:pPr>
              <w:ind w:firstLine="0"/>
              <w:jc w:val="center"/>
              <w:rPr>
                <w:sz w:val="26"/>
                <w:szCs w:val="26"/>
                <w:lang w:val="uk-UA"/>
              </w:rPr>
            </w:pPr>
            <w:r w:rsidRPr="00242020">
              <w:rPr>
                <w:sz w:val="26"/>
                <w:szCs w:val="26"/>
                <w:lang w:val="uk-UA"/>
              </w:rPr>
              <w:t>101</w:t>
            </w:r>
          </w:p>
        </w:tc>
      </w:tr>
      <w:tr w:rsidR="004A4A2B" w:rsidRPr="00242020" w:rsidTr="004A4A2B">
        <w:tc>
          <w:tcPr>
            <w:tcW w:w="3780" w:type="dxa"/>
          </w:tcPr>
          <w:p w:rsidR="004A4A2B" w:rsidRPr="00242020" w:rsidRDefault="004A4A2B" w:rsidP="004A4A2B">
            <w:pPr>
              <w:ind w:firstLine="0"/>
              <w:jc w:val="both"/>
              <w:rPr>
                <w:b/>
                <w:sz w:val="26"/>
                <w:szCs w:val="26"/>
                <w:lang w:val="uk-UA"/>
              </w:rPr>
            </w:pPr>
            <w:r w:rsidRPr="00242020">
              <w:rPr>
                <w:b/>
                <w:sz w:val="26"/>
                <w:szCs w:val="26"/>
                <w:lang w:val="uk-UA"/>
              </w:rPr>
              <w:t>понад 50 %</w:t>
            </w:r>
          </w:p>
        </w:tc>
        <w:tc>
          <w:tcPr>
            <w:tcW w:w="2160" w:type="dxa"/>
          </w:tcPr>
          <w:p w:rsidR="004A4A2B" w:rsidRPr="00242020" w:rsidRDefault="004A4A2B" w:rsidP="004A4A2B">
            <w:pPr>
              <w:ind w:firstLine="0"/>
              <w:jc w:val="center"/>
              <w:rPr>
                <w:sz w:val="26"/>
                <w:szCs w:val="26"/>
                <w:lang w:val="uk-UA"/>
              </w:rPr>
            </w:pPr>
            <w:r w:rsidRPr="00242020">
              <w:rPr>
                <w:sz w:val="26"/>
                <w:szCs w:val="26"/>
                <w:lang w:val="uk-UA"/>
              </w:rPr>
              <w:t>69</w:t>
            </w:r>
          </w:p>
        </w:tc>
        <w:tc>
          <w:tcPr>
            <w:tcW w:w="2160" w:type="dxa"/>
          </w:tcPr>
          <w:p w:rsidR="004A4A2B" w:rsidRPr="00242020" w:rsidRDefault="004A4A2B" w:rsidP="004A4A2B">
            <w:pPr>
              <w:ind w:firstLine="0"/>
              <w:jc w:val="center"/>
              <w:rPr>
                <w:sz w:val="26"/>
                <w:szCs w:val="26"/>
                <w:lang w:val="uk-UA"/>
              </w:rPr>
            </w:pPr>
            <w:r w:rsidRPr="00242020">
              <w:rPr>
                <w:sz w:val="26"/>
                <w:szCs w:val="26"/>
                <w:lang w:val="uk-UA"/>
              </w:rPr>
              <w:t>59</w:t>
            </w:r>
          </w:p>
        </w:tc>
        <w:tc>
          <w:tcPr>
            <w:tcW w:w="1260" w:type="dxa"/>
          </w:tcPr>
          <w:p w:rsidR="004A4A2B" w:rsidRPr="00242020" w:rsidRDefault="004A4A2B" w:rsidP="004A4A2B">
            <w:pPr>
              <w:ind w:firstLine="0"/>
              <w:jc w:val="center"/>
              <w:rPr>
                <w:sz w:val="26"/>
                <w:szCs w:val="26"/>
                <w:lang w:val="uk-UA"/>
              </w:rPr>
            </w:pPr>
            <w:r w:rsidRPr="00242020">
              <w:rPr>
                <w:sz w:val="26"/>
                <w:szCs w:val="26"/>
                <w:lang w:val="uk-UA"/>
              </w:rPr>
              <w:t>128</w:t>
            </w:r>
          </w:p>
        </w:tc>
      </w:tr>
      <w:tr w:rsidR="004A4A2B" w:rsidRPr="00242020" w:rsidTr="004A4A2B">
        <w:tc>
          <w:tcPr>
            <w:tcW w:w="3780" w:type="dxa"/>
          </w:tcPr>
          <w:p w:rsidR="004A4A2B" w:rsidRPr="00242020" w:rsidRDefault="004A4A2B" w:rsidP="004A4A2B">
            <w:pPr>
              <w:ind w:firstLine="0"/>
              <w:jc w:val="center"/>
              <w:rPr>
                <w:b/>
                <w:sz w:val="26"/>
                <w:szCs w:val="26"/>
                <w:lang w:val="uk-UA"/>
              </w:rPr>
            </w:pPr>
            <w:r w:rsidRPr="00242020">
              <w:rPr>
                <w:b/>
                <w:sz w:val="26"/>
                <w:szCs w:val="26"/>
                <w:lang w:val="uk-UA"/>
              </w:rPr>
              <w:t>Разом</w:t>
            </w:r>
          </w:p>
        </w:tc>
        <w:tc>
          <w:tcPr>
            <w:tcW w:w="2160" w:type="dxa"/>
          </w:tcPr>
          <w:p w:rsidR="004A4A2B" w:rsidRPr="00242020" w:rsidRDefault="004A4A2B" w:rsidP="004A4A2B">
            <w:pPr>
              <w:ind w:firstLine="0"/>
              <w:jc w:val="center"/>
              <w:rPr>
                <w:b/>
                <w:sz w:val="26"/>
                <w:szCs w:val="26"/>
                <w:lang w:val="uk-UA"/>
              </w:rPr>
            </w:pPr>
            <w:r w:rsidRPr="00242020">
              <w:rPr>
                <w:b/>
                <w:sz w:val="26"/>
                <w:szCs w:val="26"/>
                <w:lang w:val="uk-UA"/>
              </w:rPr>
              <w:t>156</w:t>
            </w:r>
          </w:p>
        </w:tc>
        <w:tc>
          <w:tcPr>
            <w:tcW w:w="2160" w:type="dxa"/>
          </w:tcPr>
          <w:p w:rsidR="004A4A2B" w:rsidRPr="00242020" w:rsidRDefault="004A4A2B" w:rsidP="004A4A2B">
            <w:pPr>
              <w:ind w:firstLine="0"/>
              <w:jc w:val="center"/>
              <w:rPr>
                <w:b/>
                <w:sz w:val="26"/>
                <w:szCs w:val="26"/>
                <w:lang w:val="uk-UA"/>
              </w:rPr>
            </w:pPr>
            <w:r w:rsidRPr="00242020">
              <w:rPr>
                <w:b/>
                <w:sz w:val="26"/>
                <w:szCs w:val="26"/>
                <w:lang w:val="uk-UA"/>
              </w:rPr>
              <w:t>185</w:t>
            </w:r>
          </w:p>
        </w:tc>
        <w:tc>
          <w:tcPr>
            <w:tcW w:w="1260" w:type="dxa"/>
          </w:tcPr>
          <w:p w:rsidR="004A4A2B" w:rsidRPr="00242020" w:rsidRDefault="004A4A2B" w:rsidP="004A4A2B">
            <w:pPr>
              <w:ind w:firstLine="0"/>
              <w:jc w:val="center"/>
              <w:rPr>
                <w:b/>
                <w:sz w:val="26"/>
                <w:szCs w:val="26"/>
                <w:lang w:val="uk-UA"/>
              </w:rPr>
            </w:pPr>
            <w:r w:rsidRPr="00242020">
              <w:rPr>
                <w:b/>
                <w:sz w:val="26"/>
                <w:szCs w:val="26"/>
                <w:lang w:val="uk-UA"/>
              </w:rPr>
              <w:t>341</w:t>
            </w:r>
          </w:p>
        </w:tc>
      </w:tr>
    </w:tbl>
    <w:p w:rsidR="004A4A2B" w:rsidRPr="00242020" w:rsidRDefault="004A4A2B" w:rsidP="004A4A2B">
      <w:pPr>
        <w:jc w:val="both"/>
        <w:rPr>
          <w:rFonts w:eastAsia="Times New Roman" w:cs="Times New Roman"/>
          <w:sz w:val="8"/>
          <w:szCs w:val="8"/>
          <w:highlight w:val="yellow"/>
          <w:lang w:eastAsia="ru-RU"/>
        </w:rPr>
      </w:pPr>
    </w:p>
    <w:p w:rsidR="004A4A2B" w:rsidRPr="00242020" w:rsidRDefault="004A4A2B" w:rsidP="004A4A2B">
      <w:pPr>
        <w:ind w:firstLine="900"/>
        <w:jc w:val="both"/>
        <w:rPr>
          <w:rFonts w:eastAsia="Times New Roman" w:cs="Times New Roman"/>
          <w:szCs w:val="20"/>
          <w:lang w:eastAsia="ru-RU"/>
        </w:rPr>
      </w:pPr>
      <w:r w:rsidRPr="00242020">
        <w:rPr>
          <w:rFonts w:eastAsia="Times New Roman" w:cs="Times New Roman"/>
          <w:szCs w:val="20"/>
          <w:lang w:eastAsia="ru-RU"/>
        </w:rPr>
        <w:t>Розподіл за місцем розташування корпоративних прав держави, які перебувають в управлінні Фонду, наведено у таблиці 3.</w:t>
      </w:r>
      <w:r w:rsidR="00681794" w:rsidRPr="00242020">
        <w:rPr>
          <w:rFonts w:eastAsia="Times New Roman" w:cs="Times New Roman"/>
          <w:szCs w:val="20"/>
          <w:lang w:eastAsia="ru-RU"/>
        </w:rPr>
        <w:t>6</w:t>
      </w:r>
      <w:r w:rsidRPr="00242020">
        <w:rPr>
          <w:rFonts w:eastAsia="Times New Roman" w:cs="Times New Roman"/>
          <w:szCs w:val="20"/>
          <w:lang w:eastAsia="ru-RU"/>
        </w:rPr>
        <w:t>.</w:t>
      </w:r>
    </w:p>
    <w:p w:rsidR="004A4A2B" w:rsidRPr="00242020" w:rsidRDefault="004A4A2B" w:rsidP="004A4A2B">
      <w:pPr>
        <w:jc w:val="right"/>
        <w:rPr>
          <w:rFonts w:eastAsia="Times New Roman" w:cs="Times New Roman"/>
          <w:b/>
          <w:sz w:val="24"/>
          <w:szCs w:val="24"/>
          <w:lang w:eastAsia="ru-RU"/>
        </w:rPr>
      </w:pPr>
      <w:r w:rsidRPr="00242020">
        <w:rPr>
          <w:rFonts w:eastAsia="Times New Roman" w:cs="Times New Roman"/>
          <w:b/>
          <w:sz w:val="24"/>
          <w:szCs w:val="24"/>
          <w:lang w:eastAsia="ru-RU"/>
        </w:rPr>
        <w:t>Таблиця 3.</w:t>
      </w:r>
      <w:r w:rsidR="00681794" w:rsidRPr="00242020">
        <w:rPr>
          <w:rFonts w:eastAsia="Times New Roman" w:cs="Times New Roman"/>
          <w:b/>
          <w:sz w:val="24"/>
          <w:szCs w:val="24"/>
          <w:lang w:eastAsia="ru-RU"/>
        </w:rPr>
        <w:t>6</w:t>
      </w:r>
    </w:p>
    <w:p w:rsidR="004A4A2B" w:rsidRPr="00242020" w:rsidRDefault="004A4A2B" w:rsidP="004A4A2B">
      <w:pPr>
        <w:jc w:val="center"/>
        <w:rPr>
          <w:rFonts w:eastAsia="Times New Roman" w:cs="Times New Roman"/>
          <w:szCs w:val="20"/>
          <w:lang w:eastAsia="ru-RU"/>
        </w:rPr>
      </w:pPr>
      <w:r w:rsidRPr="00242020">
        <w:rPr>
          <w:rFonts w:eastAsia="Times New Roman" w:cs="Times New Roman"/>
          <w:b/>
          <w:szCs w:val="20"/>
          <w:lang w:eastAsia="ru-RU"/>
        </w:rPr>
        <w:t xml:space="preserve">Розподіл корпоративних прав держави за місцем розташування, </w:t>
      </w:r>
      <w:r w:rsidRPr="00242020">
        <w:rPr>
          <w:rFonts w:eastAsia="Times New Roman" w:cs="Times New Roman"/>
          <w:b/>
          <w:szCs w:val="20"/>
          <w:lang w:eastAsia="ru-RU"/>
        </w:rPr>
        <w:br/>
        <w:t>які перебувають в управлінні Фонду</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0"/>
        <w:gridCol w:w="2700"/>
      </w:tblGrid>
      <w:tr w:rsidR="004A4A2B" w:rsidRPr="00242020" w:rsidTr="004A4A2B">
        <w:tc>
          <w:tcPr>
            <w:tcW w:w="6660" w:type="dxa"/>
          </w:tcPr>
          <w:p w:rsidR="004A4A2B" w:rsidRPr="00242020" w:rsidRDefault="004A4A2B" w:rsidP="004A4A2B">
            <w:pPr>
              <w:autoSpaceDE w:val="0"/>
              <w:autoSpaceDN w:val="0"/>
              <w:adjustRightInd w:val="0"/>
              <w:ind w:firstLine="0"/>
              <w:jc w:val="center"/>
              <w:rPr>
                <w:rFonts w:eastAsia="Times New Roman" w:cs="Times New Roman"/>
                <w:b/>
                <w:sz w:val="26"/>
                <w:szCs w:val="26"/>
                <w:lang w:eastAsia="ru-RU"/>
              </w:rPr>
            </w:pPr>
            <w:r w:rsidRPr="00242020">
              <w:rPr>
                <w:rFonts w:eastAsia="Times New Roman" w:cs="Times New Roman"/>
                <w:b/>
                <w:sz w:val="26"/>
                <w:szCs w:val="26"/>
                <w:lang w:eastAsia="ru-RU"/>
              </w:rPr>
              <w:t>Регіон</w:t>
            </w:r>
          </w:p>
        </w:tc>
        <w:tc>
          <w:tcPr>
            <w:tcW w:w="2700" w:type="dxa"/>
          </w:tcPr>
          <w:p w:rsidR="004A4A2B" w:rsidRPr="00242020" w:rsidRDefault="004A4A2B" w:rsidP="004A4A2B">
            <w:pPr>
              <w:autoSpaceDE w:val="0"/>
              <w:autoSpaceDN w:val="0"/>
              <w:adjustRightInd w:val="0"/>
              <w:ind w:firstLine="0"/>
              <w:jc w:val="center"/>
              <w:rPr>
                <w:rFonts w:eastAsia="Times New Roman" w:cs="Times New Roman"/>
                <w:b/>
                <w:sz w:val="26"/>
                <w:szCs w:val="26"/>
                <w:lang w:eastAsia="ru-RU"/>
              </w:rPr>
            </w:pPr>
            <w:r w:rsidRPr="00242020">
              <w:rPr>
                <w:rFonts w:eastAsia="Times New Roman" w:cs="Times New Roman"/>
                <w:b/>
                <w:sz w:val="26"/>
                <w:szCs w:val="26"/>
                <w:lang w:eastAsia="ru-RU"/>
              </w:rPr>
              <w:t>Кількість об’єктів</w:t>
            </w:r>
          </w:p>
        </w:tc>
      </w:tr>
      <w:tr w:rsidR="004A4A2B" w:rsidRPr="00242020" w:rsidTr="004A4A2B">
        <w:tc>
          <w:tcPr>
            <w:tcW w:w="6660" w:type="dxa"/>
            <w:vAlign w:val="center"/>
          </w:tcPr>
          <w:p w:rsidR="004A4A2B" w:rsidRPr="00242020" w:rsidRDefault="004A4A2B" w:rsidP="004A4A2B">
            <w:pPr>
              <w:autoSpaceDE w:val="0"/>
              <w:autoSpaceDN w:val="0"/>
              <w:adjustRightInd w:val="0"/>
              <w:ind w:firstLine="0"/>
              <w:jc w:val="center"/>
              <w:rPr>
                <w:rFonts w:eastAsia="Times New Roman" w:cs="Times New Roman"/>
                <w:sz w:val="24"/>
                <w:szCs w:val="24"/>
                <w:lang w:eastAsia="ru-RU"/>
              </w:rPr>
            </w:pPr>
            <w:r w:rsidRPr="00242020">
              <w:rPr>
                <w:rFonts w:eastAsia="Times New Roman" w:cs="Times New Roman"/>
                <w:sz w:val="24"/>
                <w:szCs w:val="24"/>
                <w:lang w:eastAsia="ru-RU"/>
              </w:rPr>
              <w:t>1</w:t>
            </w:r>
          </w:p>
        </w:tc>
        <w:tc>
          <w:tcPr>
            <w:tcW w:w="2700" w:type="dxa"/>
            <w:vAlign w:val="center"/>
          </w:tcPr>
          <w:p w:rsidR="004A4A2B" w:rsidRPr="00242020" w:rsidRDefault="004A4A2B" w:rsidP="004A4A2B">
            <w:pPr>
              <w:autoSpaceDE w:val="0"/>
              <w:autoSpaceDN w:val="0"/>
              <w:adjustRightInd w:val="0"/>
              <w:ind w:firstLine="0"/>
              <w:jc w:val="center"/>
              <w:rPr>
                <w:rFonts w:eastAsia="Times New Roman" w:cs="Times New Roman"/>
                <w:sz w:val="24"/>
                <w:szCs w:val="24"/>
                <w:lang w:eastAsia="ru-RU"/>
              </w:rPr>
            </w:pPr>
            <w:r w:rsidRPr="00242020">
              <w:rPr>
                <w:rFonts w:eastAsia="Times New Roman" w:cs="Times New Roman"/>
                <w:sz w:val="24"/>
                <w:szCs w:val="24"/>
                <w:lang w:eastAsia="ru-RU"/>
              </w:rPr>
              <w:t>2</w:t>
            </w:r>
          </w:p>
        </w:tc>
      </w:tr>
      <w:tr w:rsidR="004A4A2B" w:rsidRPr="00242020" w:rsidTr="004A4A2B">
        <w:tc>
          <w:tcPr>
            <w:tcW w:w="6660" w:type="dxa"/>
            <w:vAlign w:val="center"/>
          </w:tcPr>
          <w:p w:rsidR="004A4A2B" w:rsidRPr="00242020" w:rsidRDefault="004A4A2B" w:rsidP="004A4A2B">
            <w:pPr>
              <w:autoSpaceDE w:val="0"/>
              <w:autoSpaceDN w:val="0"/>
              <w:adjustRightInd w:val="0"/>
              <w:ind w:firstLine="0"/>
              <w:jc w:val="both"/>
              <w:rPr>
                <w:rFonts w:eastAsia="Times New Roman" w:cs="Times New Roman"/>
                <w:sz w:val="26"/>
                <w:szCs w:val="26"/>
                <w:lang w:eastAsia="ru-RU"/>
              </w:rPr>
            </w:pPr>
            <w:r w:rsidRPr="00242020">
              <w:rPr>
                <w:rFonts w:eastAsia="Times New Roman" w:cs="Times New Roman"/>
                <w:sz w:val="26"/>
                <w:szCs w:val="26"/>
                <w:lang w:eastAsia="ru-RU"/>
              </w:rPr>
              <w:t>Вінницька область</w:t>
            </w:r>
          </w:p>
        </w:tc>
        <w:tc>
          <w:tcPr>
            <w:tcW w:w="2700" w:type="dxa"/>
            <w:vAlign w:val="center"/>
          </w:tcPr>
          <w:p w:rsidR="004A4A2B" w:rsidRPr="00242020" w:rsidRDefault="004A4A2B" w:rsidP="004A4A2B">
            <w:pPr>
              <w:autoSpaceDE w:val="0"/>
              <w:autoSpaceDN w:val="0"/>
              <w:adjustRightInd w:val="0"/>
              <w:ind w:firstLine="0"/>
              <w:jc w:val="center"/>
              <w:rPr>
                <w:rFonts w:eastAsia="Times New Roman" w:cs="Times New Roman"/>
                <w:sz w:val="26"/>
                <w:szCs w:val="26"/>
                <w:lang w:eastAsia="ru-RU"/>
              </w:rPr>
            </w:pPr>
            <w:r w:rsidRPr="00242020">
              <w:rPr>
                <w:rFonts w:eastAsia="Times New Roman" w:cs="Times New Roman"/>
                <w:sz w:val="26"/>
                <w:szCs w:val="26"/>
                <w:lang w:eastAsia="ru-RU"/>
              </w:rPr>
              <w:t>4</w:t>
            </w:r>
          </w:p>
        </w:tc>
      </w:tr>
      <w:tr w:rsidR="004A4A2B" w:rsidRPr="00242020" w:rsidTr="004A4A2B">
        <w:tc>
          <w:tcPr>
            <w:tcW w:w="6660" w:type="dxa"/>
            <w:vAlign w:val="center"/>
          </w:tcPr>
          <w:p w:rsidR="004A4A2B" w:rsidRPr="00242020" w:rsidRDefault="004A4A2B" w:rsidP="004A4A2B">
            <w:pPr>
              <w:autoSpaceDE w:val="0"/>
              <w:autoSpaceDN w:val="0"/>
              <w:adjustRightInd w:val="0"/>
              <w:ind w:firstLine="0"/>
              <w:jc w:val="both"/>
              <w:rPr>
                <w:rFonts w:eastAsia="Times New Roman" w:cs="Times New Roman"/>
                <w:sz w:val="26"/>
                <w:szCs w:val="26"/>
                <w:lang w:eastAsia="ru-RU"/>
              </w:rPr>
            </w:pPr>
            <w:r w:rsidRPr="00242020">
              <w:rPr>
                <w:rFonts w:eastAsia="Times New Roman" w:cs="Times New Roman"/>
                <w:sz w:val="26"/>
                <w:szCs w:val="26"/>
                <w:lang w:eastAsia="ru-RU"/>
              </w:rPr>
              <w:t>Волинська область</w:t>
            </w:r>
          </w:p>
        </w:tc>
        <w:tc>
          <w:tcPr>
            <w:tcW w:w="2700" w:type="dxa"/>
            <w:vAlign w:val="center"/>
          </w:tcPr>
          <w:p w:rsidR="004A4A2B" w:rsidRPr="00242020" w:rsidRDefault="004A4A2B" w:rsidP="004A4A2B">
            <w:pPr>
              <w:autoSpaceDE w:val="0"/>
              <w:autoSpaceDN w:val="0"/>
              <w:adjustRightInd w:val="0"/>
              <w:ind w:firstLine="0"/>
              <w:jc w:val="center"/>
              <w:rPr>
                <w:rFonts w:eastAsia="Times New Roman" w:cs="Times New Roman"/>
                <w:sz w:val="26"/>
                <w:szCs w:val="26"/>
                <w:lang w:eastAsia="ru-RU"/>
              </w:rPr>
            </w:pPr>
            <w:r w:rsidRPr="00242020">
              <w:rPr>
                <w:rFonts w:eastAsia="Times New Roman" w:cs="Times New Roman"/>
                <w:sz w:val="26"/>
                <w:szCs w:val="26"/>
                <w:lang w:eastAsia="ru-RU"/>
              </w:rPr>
              <w:t>3</w:t>
            </w:r>
          </w:p>
        </w:tc>
      </w:tr>
      <w:tr w:rsidR="004A4A2B" w:rsidRPr="00242020" w:rsidTr="004A4A2B">
        <w:tc>
          <w:tcPr>
            <w:tcW w:w="6660" w:type="dxa"/>
            <w:vAlign w:val="center"/>
          </w:tcPr>
          <w:p w:rsidR="004A4A2B" w:rsidRPr="00242020" w:rsidRDefault="004A4A2B" w:rsidP="004A4A2B">
            <w:pPr>
              <w:autoSpaceDE w:val="0"/>
              <w:autoSpaceDN w:val="0"/>
              <w:adjustRightInd w:val="0"/>
              <w:ind w:firstLine="0"/>
              <w:jc w:val="both"/>
              <w:rPr>
                <w:rFonts w:eastAsia="Times New Roman" w:cs="Times New Roman"/>
                <w:sz w:val="26"/>
                <w:szCs w:val="26"/>
                <w:lang w:eastAsia="ru-RU"/>
              </w:rPr>
            </w:pPr>
            <w:r w:rsidRPr="00242020">
              <w:rPr>
                <w:rFonts w:eastAsia="Times New Roman" w:cs="Times New Roman"/>
                <w:sz w:val="26"/>
                <w:szCs w:val="26"/>
                <w:lang w:eastAsia="ru-RU"/>
              </w:rPr>
              <w:t>Дніпропетровська область</w:t>
            </w:r>
          </w:p>
        </w:tc>
        <w:tc>
          <w:tcPr>
            <w:tcW w:w="2700" w:type="dxa"/>
            <w:vAlign w:val="center"/>
          </w:tcPr>
          <w:p w:rsidR="004A4A2B" w:rsidRPr="00242020" w:rsidRDefault="004A4A2B" w:rsidP="004A4A2B">
            <w:pPr>
              <w:autoSpaceDE w:val="0"/>
              <w:autoSpaceDN w:val="0"/>
              <w:adjustRightInd w:val="0"/>
              <w:ind w:firstLine="0"/>
              <w:jc w:val="center"/>
              <w:rPr>
                <w:rFonts w:eastAsia="Times New Roman" w:cs="Times New Roman"/>
                <w:sz w:val="26"/>
                <w:szCs w:val="26"/>
                <w:lang w:eastAsia="ru-RU"/>
              </w:rPr>
            </w:pPr>
            <w:r w:rsidRPr="00242020">
              <w:rPr>
                <w:rFonts w:eastAsia="Times New Roman" w:cs="Times New Roman"/>
                <w:sz w:val="26"/>
                <w:szCs w:val="26"/>
                <w:lang w:eastAsia="ru-RU"/>
              </w:rPr>
              <w:t>16</w:t>
            </w:r>
          </w:p>
        </w:tc>
      </w:tr>
      <w:tr w:rsidR="004A4A2B" w:rsidRPr="00242020" w:rsidTr="004A4A2B">
        <w:tc>
          <w:tcPr>
            <w:tcW w:w="6660" w:type="dxa"/>
            <w:vAlign w:val="center"/>
          </w:tcPr>
          <w:p w:rsidR="004A4A2B" w:rsidRPr="00242020" w:rsidRDefault="004A4A2B" w:rsidP="004A4A2B">
            <w:pPr>
              <w:autoSpaceDE w:val="0"/>
              <w:autoSpaceDN w:val="0"/>
              <w:adjustRightInd w:val="0"/>
              <w:ind w:firstLine="0"/>
              <w:jc w:val="both"/>
              <w:rPr>
                <w:rFonts w:eastAsia="Times New Roman" w:cs="Times New Roman"/>
                <w:sz w:val="26"/>
                <w:szCs w:val="26"/>
                <w:lang w:eastAsia="ru-RU"/>
              </w:rPr>
            </w:pPr>
            <w:r w:rsidRPr="00242020">
              <w:rPr>
                <w:rFonts w:eastAsia="Times New Roman" w:cs="Times New Roman"/>
                <w:sz w:val="26"/>
                <w:szCs w:val="26"/>
                <w:lang w:eastAsia="ru-RU"/>
              </w:rPr>
              <w:t>Донецька область</w:t>
            </w:r>
          </w:p>
        </w:tc>
        <w:tc>
          <w:tcPr>
            <w:tcW w:w="2700" w:type="dxa"/>
            <w:vAlign w:val="center"/>
          </w:tcPr>
          <w:p w:rsidR="004A4A2B" w:rsidRPr="00242020" w:rsidRDefault="004A4A2B" w:rsidP="004A4A2B">
            <w:pPr>
              <w:autoSpaceDE w:val="0"/>
              <w:autoSpaceDN w:val="0"/>
              <w:adjustRightInd w:val="0"/>
              <w:ind w:firstLine="0"/>
              <w:jc w:val="center"/>
              <w:rPr>
                <w:rFonts w:eastAsia="Times New Roman" w:cs="Times New Roman"/>
                <w:sz w:val="26"/>
                <w:szCs w:val="26"/>
                <w:lang w:eastAsia="ru-RU"/>
              </w:rPr>
            </w:pPr>
            <w:r w:rsidRPr="00242020">
              <w:rPr>
                <w:rFonts w:eastAsia="Times New Roman" w:cs="Times New Roman"/>
                <w:sz w:val="26"/>
                <w:szCs w:val="26"/>
                <w:lang w:eastAsia="ru-RU"/>
              </w:rPr>
              <w:t>28</w:t>
            </w:r>
          </w:p>
        </w:tc>
      </w:tr>
      <w:tr w:rsidR="004A4A2B" w:rsidRPr="00242020" w:rsidTr="004A4A2B">
        <w:tc>
          <w:tcPr>
            <w:tcW w:w="6660" w:type="dxa"/>
            <w:vAlign w:val="center"/>
          </w:tcPr>
          <w:p w:rsidR="004A4A2B" w:rsidRPr="00242020" w:rsidRDefault="004A4A2B" w:rsidP="004A4A2B">
            <w:pPr>
              <w:autoSpaceDE w:val="0"/>
              <w:autoSpaceDN w:val="0"/>
              <w:adjustRightInd w:val="0"/>
              <w:ind w:firstLine="0"/>
              <w:jc w:val="both"/>
              <w:rPr>
                <w:rFonts w:eastAsia="Times New Roman" w:cs="Times New Roman"/>
                <w:sz w:val="26"/>
                <w:szCs w:val="26"/>
                <w:lang w:eastAsia="ru-RU"/>
              </w:rPr>
            </w:pPr>
            <w:r w:rsidRPr="00242020">
              <w:rPr>
                <w:rFonts w:eastAsia="Times New Roman" w:cs="Times New Roman"/>
                <w:sz w:val="26"/>
                <w:szCs w:val="26"/>
                <w:lang w:eastAsia="ru-RU"/>
              </w:rPr>
              <w:t>Житомирська область</w:t>
            </w:r>
          </w:p>
        </w:tc>
        <w:tc>
          <w:tcPr>
            <w:tcW w:w="2700" w:type="dxa"/>
            <w:vAlign w:val="center"/>
          </w:tcPr>
          <w:p w:rsidR="004A4A2B" w:rsidRPr="00242020" w:rsidRDefault="004A4A2B" w:rsidP="004A4A2B">
            <w:pPr>
              <w:autoSpaceDE w:val="0"/>
              <w:autoSpaceDN w:val="0"/>
              <w:adjustRightInd w:val="0"/>
              <w:ind w:firstLine="0"/>
              <w:jc w:val="center"/>
              <w:rPr>
                <w:rFonts w:eastAsia="Times New Roman" w:cs="Times New Roman"/>
                <w:sz w:val="26"/>
                <w:szCs w:val="26"/>
                <w:lang w:eastAsia="ru-RU"/>
              </w:rPr>
            </w:pPr>
            <w:r w:rsidRPr="00242020">
              <w:rPr>
                <w:rFonts w:eastAsia="Times New Roman" w:cs="Times New Roman"/>
                <w:sz w:val="26"/>
                <w:szCs w:val="26"/>
                <w:lang w:eastAsia="ru-RU"/>
              </w:rPr>
              <w:t>2</w:t>
            </w:r>
          </w:p>
        </w:tc>
      </w:tr>
      <w:tr w:rsidR="004A4A2B" w:rsidRPr="00242020" w:rsidTr="004A4A2B">
        <w:tc>
          <w:tcPr>
            <w:tcW w:w="6660" w:type="dxa"/>
            <w:vAlign w:val="center"/>
          </w:tcPr>
          <w:p w:rsidR="004A4A2B" w:rsidRPr="00242020" w:rsidRDefault="004A4A2B" w:rsidP="004A4A2B">
            <w:pPr>
              <w:autoSpaceDE w:val="0"/>
              <w:autoSpaceDN w:val="0"/>
              <w:adjustRightInd w:val="0"/>
              <w:ind w:firstLine="0"/>
              <w:jc w:val="both"/>
              <w:rPr>
                <w:rFonts w:eastAsia="Times New Roman" w:cs="Times New Roman"/>
                <w:sz w:val="26"/>
                <w:szCs w:val="26"/>
                <w:lang w:eastAsia="ru-RU"/>
              </w:rPr>
            </w:pPr>
            <w:r w:rsidRPr="00242020">
              <w:rPr>
                <w:rFonts w:eastAsia="Times New Roman" w:cs="Times New Roman"/>
                <w:sz w:val="26"/>
                <w:szCs w:val="26"/>
                <w:lang w:eastAsia="ru-RU"/>
              </w:rPr>
              <w:t>Закарпатська область</w:t>
            </w:r>
          </w:p>
        </w:tc>
        <w:tc>
          <w:tcPr>
            <w:tcW w:w="2700" w:type="dxa"/>
            <w:vAlign w:val="center"/>
          </w:tcPr>
          <w:p w:rsidR="004A4A2B" w:rsidRPr="00242020" w:rsidRDefault="004A4A2B" w:rsidP="004A4A2B">
            <w:pPr>
              <w:autoSpaceDE w:val="0"/>
              <w:autoSpaceDN w:val="0"/>
              <w:adjustRightInd w:val="0"/>
              <w:ind w:firstLine="0"/>
              <w:jc w:val="center"/>
              <w:rPr>
                <w:rFonts w:eastAsia="Times New Roman" w:cs="Times New Roman"/>
                <w:sz w:val="26"/>
                <w:szCs w:val="26"/>
                <w:lang w:eastAsia="ru-RU"/>
              </w:rPr>
            </w:pPr>
            <w:r w:rsidRPr="00242020">
              <w:rPr>
                <w:rFonts w:eastAsia="Times New Roman" w:cs="Times New Roman"/>
                <w:sz w:val="26"/>
                <w:szCs w:val="26"/>
                <w:lang w:eastAsia="ru-RU"/>
              </w:rPr>
              <w:t>5</w:t>
            </w:r>
          </w:p>
        </w:tc>
      </w:tr>
      <w:tr w:rsidR="004A4A2B" w:rsidRPr="00242020" w:rsidTr="004A4A2B">
        <w:tc>
          <w:tcPr>
            <w:tcW w:w="6660" w:type="dxa"/>
            <w:vAlign w:val="center"/>
          </w:tcPr>
          <w:p w:rsidR="004A4A2B" w:rsidRPr="00242020" w:rsidRDefault="004A4A2B" w:rsidP="004A4A2B">
            <w:pPr>
              <w:autoSpaceDE w:val="0"/>
              <w:autoSpaceDN w:val="0"/>
              <w:adjustRightInd w:val="0"/>
              <w:ind w:firstLine="0"/>
              <w:jc w:val="both"/>
              <w:rPr>
                <w:rFonts w:eastAsia="Times New Roman" w:cs="Times New Roman"/>
                <w:sz w:val="26"/>
                <w:szCs w:val="26"/>
                <w:lang w:eastAsia="ru-RU"/>
              </w:rPr>
            </w:pPr>
            <w:r w:rsidRPr="00242020">
              <w:rPr>
                <w:rFonts w:eastAsia="Times New Roman" w:cs="Times New Roman"/>
                <w:sz w:val="26"/>
                <w:szCs w:val="26"/>
                <w:lang w:eastAsia="ru-RU"/>
              </w:rPr>
              <w:t>Запорізька область</w:t>
            </w:r>
          </w:p>
        </w:tc>
        <w:tc>
          <w:tcPr>
            <w:tcW w:w="2700" w:type="dxa"/>
            <w:vAlign w:val="center"/>
          </w:tcPr>
          <w:p w:rsidR="004A4A2B" w:rsidRPr="00242020" w:rsidRDefault="004A4A2B" w:rsidP="004A4A2B">
            <w:pPr>
              <w:autoSpaceDE w:val="0"/>
              <w:autoSpaceDN w:val="0"/>
              <w:adjustRightInd w:val="0"/>
              <w:ind w:firstLine="0"/>
              <w:jc w:val="center"/>
              <w:rPr>
                <w:rFonts w:eastAsia="Times New Roman" w:cs="Times New Roman"/>
                <w:sz w:val="26"/>
                <w:szCs w:val="26"/>
                <w:lang w:eastAsia="ru-RU"/>
              </w:rPr>
            </w:pPr>
            <w:r w:rsidRPr="00242020">
              <w:rPr>
                <w:rFonts w:eastAsia="Times New Roman" w:cs="Times New Roman"/>
                <w:sz w:val="26"/>
                <w:szCs w:val="26"/>
                <w:lang w:eastAsia="ru-RU"/>
              </w:rPr>
              <w:t>9</w:t>
            </w:r>
          </w:p>
        </w:tc>
      </w:tr>
      <w:tr w:rsidR="004A4A2B" w:rsidRPr="00242020" w:rsidTr="004A4A2B">
        <w:tc>
          <w:tcPr>
            <w:tcW w:w="6660" w:type="dxa"/>
            <w:vAlign w:val="center"/>
          </w:tcPr>
          <w:p w:rsidR="004A4A2B" w:rsidRPr="00242020" w:rsidRDefault="004A4A2B" w:rsidP="004A4A2B">
            <w:pPr>
              <w:autoSpaceDE w:val="0"/>
              <w:autoSpaceDN w:val="0"/>
              <w:adjustRightInd w:val="0"/>
              <w:ind w:firstLine="0"/>
              <w:jc w:val="both"/>
              <w:rPr>
                <w:rFonts w:eastAsia="Times New Roman" w:cs="Times New Roman"/>
                <w:sz w:val="26"/>
                <w:szCs w:val="26"/>
                <w:lang w:eastAsia="ru-RU"/>
              </w:rPr>
            </w:pPr>
            <w:r w:rsidRPr="00242020">
              <w:rPr>
                <w:rFonts w:eastAsia="Times New Roman" w:cs="Times New Roman"/>
                <w:sz w:val="26"/>
                <w:szCs w:val="26"/>
                <w:lang w:eastAsia="ru-RU"/>
              </w:rPr>
              <w:t>Івано-Франківська область</w:t>
            </w:r>
          </w:p>
        </w:tc>
        <w:tc>
          <w:tcPr>
            <w:tcW w:w="2700" w:type="dxa"/>
            <w:vAlign w:val="center"/>
          </w:tcPr>
          <w:p w:rsidR="004A4A2B" w:rsidRPr="00242020" w:rsidRDefault="004A4A2B" w:rsidP="004A4A2B">
            <w:pPr>
              <w:autoSpaceDE w:val="0"/>
              <w:autoSpaceDN w:val="0"/>
              <w:adjustRightInd w:val="0"/>
              <w:ind w:firstLine="0"/>
              <w:jc w:val="center"/>
              <w:rPr>
                <w:rFonts w:eastAsia="Times New Roman" w:cs="Times New Roman"/>
                <w:sz w:val="26"/>
                <w:szCs w:val="26"/>
                <w:lang w:eastAsia="ru-RU"/>
              </w:rPr>
            </w:pPr>
            <w:r w:rsidRPr="00242020">
              <w:rPr>
                <w:rFonts w:eastAsia="Times New Roman" w:cs="Times New Roman"/>
                <w:sz w:val="26"/>
                <w:szCs w:val="26"/>
                <w:lang w:eastAsia="ru-RU"/>
              </w:rPr>
              <w:t>7</w:t>
            </w:r>
          </w:p>
        </w:tc>
      </w:tr>
      <w:tr w:rsidR="004A4A2B" w:rsidRPr="00242020" w:rsidTr="004A4A2B">
        <w:tc>
          <w:tcPr>
            <w:tcW w:w="6660" w:type="dxa"/>
            <w:vAlign w:val="center"/>
          </w:tcPr>
          <w:p w:rsidR="004A4A2B" w:rsidRPr="00242020" w:rsidRDefault="004A4A2B" w:rsidP="004A4A2B">
            <w:pPr>
              <w:autoSpaceDE w:val="0"/>
              <w:autoSpaceDN w:val="0"/>
              <w:adjustRightInd w:val="0"/>
              <w:ind w:firstLine="0"/>
              <w:jc w:val="both"/>
              <w:rPr>
                <w:rFonts w:eastAsia="Times New Roman" w:cs="Times New Roman"/>
                <w:sz w:val="26"/>
                <w:szCs w:val="26"/>
                <w:lang w:eastAsia="ru-RU"/>
              </w:rPr>
            </w:pPr>
            <w:r w:rsidRPr="00242020">
              <w:rPr>
                <w:rFonts w:eastAsia="Times New Roman" w:cs="Times New Roman"/>
                <w:sz w:val="26"/>
                <w:szCs w:val="26"/>
                <w:lang w:eastAsia="ru-RU"/>
              </w:rPr>
              <w:t>Київська область</w:t>
            </w:r>
          </w:p>
        </w:tc>
        <w:tc>
          <w:tcPr>
            <w:tcW w:w="2700" w:type="dxa"/>
            <w:vAlign w:val="center"/>
          </w:tcPr>
          <w:p w:rsidR="004A4A2B" w:rsidRPr="00242020" w:rsidRDefault="004A4A2B" w:rsidP="004A4A2B">
            <w:pPr>
              <w:autoSpaceDE w:val="0"/>
              <w:autoSpaceDN w:val="0"/>
              <w:adjustRightInd w:val="0"/>
              <w:ind w:firstLine="0"/>
              <w:jc w:val="center"/>
              <w:rPr>
                <w:rFonts w:eastAsia="Times New Roman" w:cs="Times New Roman"/>
                <w:sz w:val="26"/>
                <w:szCs w:val="26"/>
                <w:lang w:eastAsia="ru-RU"/>
              </w:rPr>
            </w:pPr>
            <w:r w:rsidRPr="00242020">
              <w:rPr>
                <w:rFonts w:eastAsia="Times New Roman" w:cs="Times New Roman"/>
                <w:sz w:val="26"/>
                <w:szCs w:val="26"/>
                <w:lang w:eastAsia="ru-RU"/>
              </w:rPr>
              <w:t>23</w:t>
            </w:r>
          </w:p>
        </w:tc>
      </w:tr>
      <w:tr w:rsidR="004A4A2B" w:rsidRPr="00242020" w:rsidTr="004A4A2B">
        <w:tc>
          <w:tcPr>
            <w:tcW w:w="6660" w:type="dxa"/>
            <w:vAlign w:val="center"/>
          </w:tcPr>
          <w:p w:rsidR="004A4A2B" w:rsidRPr="00242020" w:rsidRDefault="004A4A2B" w:rsidP="004A4A2B">
            <w:pPr>
              <w:autoSpaceDE w:val="0"/>
              <w:autoSpaceDN w:val="0"/>
              <w:adjustRightInd w:val="0"/>
              <w:ind w:firstLine="0"/>
              <w:jc w:val="both"/>
              <w:rPr>
                <w:rFonts w:eastAsia="Times New Roman" w:cs="Times New Roman"/>
                <w:sz w:val="26"/>
                <w:szCs w:val="26"/>
                <w:lang w:eastAsia="ru-RU"/>
              </w:rPr>
            </w:pPr>
            <w:r w:rsidRPr="00242020">
              <w:rPr>
                <w:rFonts w:eastAsia="Times New Roman" w:cs="Times New Roman"/>
                <w:sz w:val="26"/>
                <w:szCs w:val="26"/>
                <w:lang w:eastAsia="ru-RU"/>
              </w:rPr>
              <w:t>Кіровоградська область</w:t>
            </w:r>
          </w:p>
        </w:tc>
        <w:tc>
          <w:tcPr>
            <w:tcW w:w="2700" w:type="dxa"/>
            <w:vAlign w:val="center"/>
          </w:tcPr>
          <w:p w:rsidR="004A4A2B" w:rsidRPr="00242020" w:rsidRDefault="004A4A2B" w:rsidP="004A4A2B">
            <w:pPr>
              <w:autoSpaceDE w:val="0"/>
              <w:autoSpaceDN w:val="0"/>
              <w:adjustRightInd w:val="0"/>
              <w:ind w:firstLine="0"/>
              <w:jc w:val="center"/>
              <w:rPr>
                <w:rFonts w:eastAsia="Times New Roman" w:cs="Times New Roman"/>
                <w:sz w:val="26"/>
                <w:szCs w:val="26"/>
                <w:lang w:eastAsia="ru-RU"/>
              </w:rPr>
            </w:pPr>
            <w:r w:rsidRPr="00242020">
              <w:rPr>
                <w:rFonts w:eastAsia="Times New Roman" w:cs="Times New Roman"/>
                <w:sz w:val="26"/>
                <w:szCs w:val="26"/>
                <w:lang w:eastAsia="ru-RU"/>
              </w:rPr>
              <w:t>10</w:t>
            </w:r>
          </w:p>
        </w:tc>
      </w:tr>
      <w:tr w:rsidR="004A4A2B" w:rsidRPr="00242020" w:rsidTr="004A4A2B">
        <w:tc>
          <w:tcPr>
            <w:tcW w:w="6660" w:type="dxa"/>
            <w:vAlign w:val="center"/>
          </w:tcPr>
          <w:p w:rsidR="004A4A2B" w:rsidRPr="00242020" w:rsidRDefault="004A4A2B" w:rsidP="004A4A2B">
            <w:pPr>
              <w:autoSpaceDE w:val="0"/>
              <w:autoSpaceDN w:val="0"/>
              <w:adjustRightInd w:val="0"/>
              <w:ind w:firstLine="0"/>
              <w:jc w:val="both"/>
              <w:rPr>
                <w:rFonts w:eastAsia="Times New Roman" w:cs="Times New Roman"/>
                <w:sz w:val="26"/>
                <w:szCs w:val="26"/>
                <w:lang w:eastAsia="ru-RU"/>
              </w:rPr>
            </w:pPr>
            <w:r w:rsidRPr="00242020">
              <w:rPr>
                <w:rFonts w:eastAsia="Times New Roman" w:cs="Times New Roman"/>
                <w:sz w:val="26"/>
                <w:szCs w:val="26"/>
                <w:lang w:eastAsia="ru-RU"/>
              </w:rPr>
              <w:t>Луганська область</w:t>
            </w:r>
          </w:p>
        </w:tc>
        <w:tc>
          <w:tcPr>
            <w:tcW w:w="2700" w:type="dxa"/>
            <w:vAlign w:val="center"/>
          </w:tcPr>
          <w:p w:rsidR="004A4A2B" w:rsidRPr="00242020" w:rsidRDefault="004A4A2B" w:rsidP="004A4A2B">
            <w:pPr>
              <w:autoSpaceDE w:val="0"/>
              <w:autoSpaceDN w:val="0"/>
              <w:adjustRightInd w:val="0"/>
              <w:ind w:firstLine="0"/>
              <w:jc w:val="center"/>
              <w:rPr>
                <w:rFonts w:eastAsia="Times New Roman" w:cs="Times New Roman"/>
                <w:sz w:val="26"/>
                <w:szCs w:val="26"/>
                <w:lang w:eastAsia="ru-RU"/>
              </w:rPr>
            </w:pPr>
            <w:r w:rsidRPr="00242020">
              <w:rPr>
                <w:rFonts w:eastAsia="Times New Roman" w:cs="Times New Roman"/>
                <w:sz w:val="26"/>
                <w:szCs w:val="26"/>
                <w:lang w:eastAsia="ru-RU"/>
              </w:rPr>
              <w:t>38</w:t>
            </w:r>
          </w:p>
        </w:tc>
      </w:tr>
      <w:tr w:rsidR="004A4A2B" w:rsidRPr="00242020" w:rsidTr="004A4A2B">
        <w:tc>
          <w:tcPr>
            <w:tcW w:w="6660" w:type="dxa"/>
            <w:vAlign w:val="center"/>
          </w:tcPr>
          <w:p w:rsidR="004A4A2B" w:rsidRPr="00242020" w:rsidRDefault="004A4A2B" w:rsidP="004A4A2B">
            <w:pPr>
              <w:autoSpaceDE w:val="0"/>
              <w:autoSpaceDN w:val="0"/>
              <w:adjustRightInd w:val="0"/>
              <w:ind w:firstLine="0"/>
              <w:jc w:val="both"/>
              <w:rPr>
                <w:rFonts w:eastAsia="Times New Roman" w:cs="Times New Roman"/>
                <w:sz w:val="26"/>
                <w:szCs w:val="26"/>
                <w:lang w:eastAsia="ru-RU"/>
              </w:rPr>
            </w:pPr>
            <w:r w:rsidRPr="00242020">
              <w:rPr>
                <w:rFonts w:eastAsia="Times New Roman" w:cs="Times New Roman"/>
                <w:sz w:val="26"/>
                <w:szCs w:val="26"/>
                <w:lang w:eastAsia="ru-RU"/>
              </w:rPr>
              <w:t>Львівська область</w:t>
            </w:r>
          </w:p>
        </w:tc>
        <w:tc>
          <w:tcPr>
            <w:tcW w:w="2700" w:type="dxa"/>
            <w:vAlign w:val="center"/>
          </w:tcPr>
          <w:p w:rsidR="004A4A2B" w:rsidRPr="00242020" w:rsidRDefault="004A4A2B" w:rsidP="004A4A2B">
            <w:pPr>
              <w:autoSpaceDE w:val="0"/>
              <w:autoSpaceDN w:val="0"/>
              <w:adjustRightInd w:val="0"/>
              <w:ind w:firstLine="0"/>
              <w:jc w:val="center"/>
              <w:rPr>
                <w:rFonts w:eastAsia="Times New Roman" w:cs="Times New Roman"/>
                <w:sz w:val="26"/>
                <w:szCs w:val="26"/>
                <w:lang w:eastAsia="ru-RU"/>
              </w:rPr>
            </w:pPr>
            <w:r w:rsidRPr="00242020">
              <w:rPr>
                <w:rFonts w:eastAsia="Times New Roman" w:cs="Times New Roman"/>
                <w:sz w:val="26"/>
                <w:szCs w:val="26"/>
                <w:lang w:eastAsia="ru-RU"/>
              </w:rPr>
              <w:t>15</w:t>
            </w:r>
          </w:p>
        </w:tc>
      </w:tr>
      <w:tr w:rsidR="004A4A2B" w:rsidRPr="00242020" w:rsidTr="004A4A2B">
        <w:tc>
          <w:tcPr>
            <w:tcW w:w="6660" w:type="dxa"/>
            <w:vAlign w:val="center"/>
          </w:tcPr>
          <w:p w:rsidR="004A4A2B" w:rsidRPr="00242020" w:rsidRDefault="004A4A2B" w:rsidP="004A4A2B">
            <w:pPr>
              <w:autoSpaceDE w:val="0"/>
              <w:autoSpaceDN w:val="0"/>
              <w:adjustRightInd w:val="0"/>
              <w:ind w:firstLine="0"/>
              <w:jc w:val="both"/>
              <w:rPr>
                <w:rFonts w:eastAsia="Times New Roman" w:cs="Times New Roman"/>
                <w:sz w:val="26"/>
                <w:szCs w:val="26"/>
                <w:lang w:eastAsia="ru-RU"/>
              </w:rPr>
            </w:pPr>
            <w:r w:rsidRPr="00242020">
              <w:rPr>
                <w:rFonts w:eastAsia="Times New Roman" w:cs="Times New Roman"/>
                <w:sz w:val="26"/>
                <w:szCs w:val="26"/>
                <w:lang w:eastAsia="ru-RU"/>
              </w:rPr>
              <w:t>Миколаївська область</w:t>
            </w:r>
          </w:p>
        </w:tc>
        <w:tc>
          <w:tcPr>
            <w:tcW w:w="2700" w:type="dxa"/>
            <w:vAlign w:val="center"/>
          </w:tcPr>
          <w:p w:rsidR="004A4A2B" w:rsidRPr="00242020" w:rsidRDefault="004A4A2B" w:rsidP="004A4A2B">
            <w:pPr>
              <w:autoSpaceDE w:val="0"/>
              <w:autoSpaceDN w:val="0"/>
              <w:adjustRightInd w:val="0"/>
              <w:ind w:firstLine="0"/>
              <w:jc w:val="center"/>
              <w:rPr>
                <w:rFonts w:eastAsia="Times New Roman" w:cs="Times New Roman"/>
                <w:sz w:val="26"/>
                <w:szCs w:val="26"/>
                <w:lang w:eastAsia="ru-RU"/>
              </w:rPr>
            </w:pPr>
            <w:r w:rsidRPr="00242020">
              <w:rPr>
                <w:rFonts w:eastAsia="Times New Roman" w:cs="Times New Roman"/>
                <w:sz w:val="26"/>
                <w:szCs w:val="26"/>
                <w:lang w:eastAsia="ru-RU"/>
              </w:rPr>
              <w:t>2</w:t>
            </w:r>
          </w:p>
        </w:tc>
      </w:tr>
      <w:tr w:rsidR="004A4A2B" w:rsidRPr="00242020" w:rsidTr="004A4A2B">
        <w:tc>
          <w:tcPr>
            <w:tcW w:w="6660" w:type="dxa"/>
            <w:vAlign w:val="center"/>
          </w:tcPr>
          <w:p w:rsidR="004A4A2B" w:rsidRPr="00242020" w:rsidRDefault="004A4A2B" w:rsidP="004A4A2B">
            <w:pPr>
              <w:autoSpaceDE w:val="0"/>
              <w:autoSpaceDN w:val="0"/>
              <w:adjustRightInd w:val="0"/>
              <w:ind w:firstLine="0"/>
              <w:jc w:val="both"/>
              <w:rPr>
                <w:rFonts w:eastAsia="Times New Roman" w:cs="Times New Roman"/>
                <w:sz w:val="26"/>
                <w:szCs w:val="26"/>
                <w:lang w:eastAsia="ru-RU"/>
              </w:rPr>
            </w:pPr>
            <w:r w:rsidRPr="00242020">
              <w:rPr>
                <w:rFonts w:eastAsia="Times New Roman" w:cs="Times New Roman"/>
                <w:sz w:val="26"/>
                <w:szCs w:val="26"/>
                <w:lang w:eastAsia="ru-RU"/>
              </w:rPr>
              <w:t>Одеська область</w:t>
            </w:r>
          </w:p>
        </w:tc>
        <w:tc>
          <w:tcPr>
            <w:tcW w:w="2700" w:type="dxa"/>
            <w:vAlign w:val="center"/>
          </w:tcPr>
          <w:p w:rsidR="004A4A2B" w:rsidRPr="00242020" w:rsidRDefault="004A4A2B" w:rsidP="004A4A2B">
            <w:pPr>
              <w:autoSpaceDE w:val="0"/>
              <w:autoSpaceDN w:val="0"/>
              <w:adjustRightInd w:val="0"/>
              <w:ind w:firstLine="0"/>
              <w:jc w:val="center"/>
              <w:rPr>
                <w:rFonts w:eastAsia="Times New Roman" w:cs="Times New Roman"/>
                <w:sz w:val="26"/>
                <w:szCs w:val="26"/>
                <w:lang w:eastAsia="ru-RU"/>
              </w:rPr>
            </w:pPr>
            <w:r w:rsidRPr="00242020">
              <w:rPr>
                <w:rFonts w:eastAsia="Times New Roman" w:cs="Times New Roman"/>
                <w:sz w:val="26"/>
                <w:szCs w:val="26"/>
                <w:lang w:eastAsia="ru-RU"/>
              </w:rPr>
              <w:t>11</w:t>
            </w:r>
          </w:p>
        </w:tc>
      </w:tr>
      <w:tr w:rsidR="004A4A2B" w:rsidRPr="00242020" w:rsidTr="004A4A2B">
        <w:trPr>
          <w:trHeight w:val="357"/>
        </w:trPr>
        <w:tc>
          <w:tcPr>
            <w:tcW w:w="6660" w:type="dxa"/>
            <w:vAlign w:val="center"/>
          </w:tcPr>
          <w:p w:rsidR="004A4A2B" w:rsidRPr="00242020" w:rsidRDefault="004A4A2B" w:rsidP="004A4A2B">
            <w:pPr>
              <w:autoSpaceDE w:val="0"/>
              <w:autoSpaceDN w:val="0"/>
              <w:adjustRightInd w:val="0"/>
              <w:ind w:firstLine="0"/>
              <w:jc w:val="both"/>
              <w:rPr>
                <w:rFonts w:eastAsia="Times New Roman" w:cs="Times New Roman"/>
                <w:sz w:val="26"/>
                <w:szCs w:val="26"/>
                <w:lang w:eastAsia="ru-RU"/>
              </w:rPr>
            </w:pPr>
            <w:r w:rsidRPr="00242020">
              <w:rPr>
                <w:rFonts w:eastAsia="Times New Roman" w:cs="Times New Roman"/>
                <w:sz w:val="26"/>
                <w:szCs w:val="26"/>
                <w:lang w:eastAsia="ru-RU"/>
              </w:rPr>
              <w:t>Полтавська область</w:t>
            </w:r>
          </w:p>
        </w:tc>
        <w:tc>
          <w:tcPr>
            <w:tcW w:w="2700" w:type="dxa"/>
            <w:vAlign w:val="center"/>
          </w:tcPr>
          <w:p w:rsidR="004A4A2B" w:rsidRPr="00242020" w:rsidRDefault="004A4A2B" w:rsidP="004A4A2B">
            <w:pPr>
              <w:autoSpaceDE w:val="0"/>
              <w:autoSpaceDN w:val="0"/>
              <w:adjustRightInd w:val="0"/>
              <w:ind w:firstLine="0"/>
              <w:jc w:val="center"/>
              <w:rPr>
                <w:rFonts w:eastAsia="Times New Roman" w:cs="Times New Roman"/>
                <w:sz w:val="26"/>
                <w:szCs w:val="26"/>
                <w:lang w:eastAsia="ru-RU"/>
              </w:rPr>
            </w:pPr>
            <w:r w:rsidRPr="00242020">
              <w:rPr>
                <w:rFonts w:eastAsia="Times New Roman" w:cs="Times New Roman"/>
                <w:sz w:val="26"/>
                <w:szCs w:val="26"/>
                <w:lang w:eastAsia="ru-RU"/>
              </w:rPr>
              <w:t>3</w:t>
            </w:r>
          </w:p>
        </w:tc>
      </w:tr>
      <w:tr w:rsidR="004A4A2B" w:rsidRPr="00242020" w:rsidTr="004A4A2B">
        <w:tc>
          <w:tcPr>
            <w:tcW w:w="6660" w:type="dxa"/>
            <w:vAlign w:val="center"/>
          </w:tcPr>
          <w:p w:rsidR="004A4A2B" w:rsidRPr="00242020" w:rsidRDefault="004A4A2B" w:rsidP="004A4A2B">
            <w:pPr>
              <w:autoSpaceDE w:val="0"/>
              <w:autoSpaceDN w:val="0"/>
              <w:adjustRightInd w:val="0"/>
              <w:ind w:firstLine="0"/>
              <w:jc w:val="both"/>
              <w:rPr>
                <w:rFonts w:eastAsia="Times New Roman" w:cs="Times New Roman"/>
                <w:sz w:val="26"/>
                <w:szCs w:val="26"/>
                <w:lang w:eastAsia="ru-RU"/>
              </w:rPr>
            </w:pPr>
            <w:r w:rsidRPr="00242020">
              <w:rPr>
                <w:rFonts w:eastAsia="Times New Roman" w:cs="Times New Roman"/>
                <w:sz w:val="26"/>
                <w:szCs w:val="26"/>
                <w:lang w:eastAsia="ru-RU"/>
              </w:rPr>
              <w:t>Рівненська область</w:t>
            </w:r>
          </w:p>
        </w:tc>
        <w:tc>
          <w:tcPr>
            <w:tcW w:w="2700" w:type="dxa"/>
            <w:vAlign w:val="center"/>
          </w:tcPr>
          <w:p w:rsidR="004A4A2B" w:rsidRPr="00242020" w:rsidRDefault="004A4A2B" w:rsidP="004A4A2B">
            <w:pPr>
              <w:autoSpaceDE w:val="0"/>
              <w:autoSpaceDN w:val="0"/>
              <w:adjustRightInd w:val="0"/>
              <w:ind w:firstLine="0"/>
              <w:jc w:val="center"/>
              <w:rPr>
                <w:rFonts w:eastAsia="Times New Roman" w:cs="Times New Roman"/>
                <w:sz w:val="26"/>
                <w:szCs w:val="26"/>
                <w:lang w:eastAsia="ru-RU"/>
              </w:rPr>
            </w:pPr>
            <w:r w:rsidRPr="00242020">
              <w:rPr>
                <w:rFonts w:eastAsia="Times New Roman" w:cs="Times New Roman"/>
                <w:sz w:val="26"/>
                <w:szCs w:val="26"/>
                <w:lang w:eastAsia="ru-RU"/>
              </w:rPr>
              <w:t>7</w:t>
            </w:r>
          </w:p>
        </w:tc>
      </w:tr>
      <w:tr w:rsidR="004A4A2B" w:rsidRPr="00242020" w:rsidTr="004A4A2B">
        <w:tc>
          <w:tcPr>
            <w:tcW w:w="6660" w:type="dxa"/>
            <w:vAlign w:val="center"/>
          </w:tcPr>
          <w:p w:rsidR="004A4A2B" w:rsidRPr="00242020" w:rsidRDefault="004A4A2B" w:rsidP="004A4A2B">
            <w:pPr>
              <w:autoSpaceDE w:val="0"/>
              <w:autoSpaceDN w:val="0"/>
              <w:adjustRightInd w:val="0"/>
              <w:ind w:firstLine="0"/>
              <w:jc w:val="both"/>
              <w:rPr>
                <w:rFonts w:eastAsia="Times New Roman" w:cs="Times New Roman"/>
                <w:sz w:val="26"/>
                <w:szCs w:val="26"/>
                <w:lang w:eastAsia="ru-RU"/>
              </w:rPr>
            </w:pPr>
            <w:r w:rsidRPr="00242020">
              <w:rPr>
                <w:rFonts w:eastAsia="Times New Roman" w:cs="Times New Roman"/>
                <w:sz w:val="26"/>
                <w:szCs w:val="26"/>
                <w:lang w:eastAsia="ru-RU"/>
              </w:rPr>
              <w:t>Сумська область</w:t>
            </w:r>
          </w:p>
        </w:tc>
        <w:tc>
          <w:tcPr>
            <w:tcW w:w="2700" w:type="dxa"/>
            <w:vAlign w:val="center"/>
          </w:tcPr>
          <w:p w:rsidR="004A4A2B" w:rsidRPr="00242020" w:rsidRDefault="004A4A2B" w:rsidP="004A4A2B">
            <w:pPr>
              <w:autoSpaceDE w:val="0"/>
              <w:autoSpaceDN w:val="0"/>
              <w:adjustRightInd w:val="0"/>
              <w:ind w:firstLine="0"/>
              <w:jc w:val="center"/>
              <w:rPr>
                <w:rFonts w:eastAsia="Times New Roman" w:cs="Times New Roman"/>
                <w:sz w:val="26"/>
                <w:szCs w:val="26"/>
                <w:lang w:eastAsia="ru-RU"/>
              </w:rPr>
            </w:pPr>
            <w:r w:rsidRPr="00242020">
              <w:rPr>
                <w:rFonts w:eastAsia="Times New Roman" w:cs="Times New Roman"/>
                <w:sz w:val="26"/>
                <w:szCs w:val="26"/>
                <w:lang w:eastAsia="ru-RU"/>
              </w:rPr>
              <w:t>8</w:t>
            </w:r>
          </w:p>
        </w:tc>
      </w:tr>
      <w:tr w:rsidR="004A4A2B" w:rsidRPr="00242020" w:rsidTr="004A4A2B">
        <w:tc>
          <w:tcPr>
            <w:tcW w:w="6660" w:type="dxa"/>
            <w:vAlign w:val="center"/>
          </w:tcPr>
          <w:p w:rsidR="004A4A2B" w:rsidRPr="00242020" w:rsidRDefault="004A4A2B" w:rsidP="004A4A2B">
            <w:pPr>
              <w:autoSpaceDE w:val="0"/>
              <w:autoSpaceDN w:val="0"/>
              <w:adjustRightInd w:val="0"/>
              <w:ind w:firstLine="0"/>
              <w:jc w:val="both"/>
              <w:rPr>
                <w:rFonts w:eastAsia="Times New Roman" w:cs="Times New Roman"/>
                <w:sz w:val="26"/>
                <w:szCs w:val="26"/>
                <w:lang w:eastAsia="ru-RU"/>
              </w:rPr>
            </w:pPr>
            <w:r w:rsidRPr="00242020">
              <w:rPr>
                <w:rFonts w:eastAsia="Times New Roman" w:cs="Times New Roman"/>
                <w:sz w:val="26"/>
                <w:szCs w:val="26"/>
                <w:lang w:eastAsia="ru-RU"/>
              </w:rPr>
              <w:t>Тернопільська область</w:t>
            </w:r>
          </w:p>
        </w:tc>
        <w:tc>
          <w:tcPr>
            <w:tcW w:w="2700" w:type="dxa"/>
            <w:vAlign w:val="center"/>
          </w:tcPr>
          <w:p w:rsidR="004A4A2B" w:rsidRPr="00242020" w:rsidRDefault="004A4A2B" w:rsidP="004A4A2B">
            <w:pPr>
              <w:autoSpaceDE w:val="0"/>
              <w:autoSpaceDN w:val="0"/>
              <w:adjustRightInd w:val="0"/>
              <w:ind w:firstLine="0"/>
              <w:jc w:val="center"/>
              <w:rPr>
                <w:rFonts w:eastAsia="Times New Roman" w:cs="Times New Roman"/>
                <w:sz w:val="26"/>
                <w:szCs w:val="26"/>
                <w:lang w:eastAsia="ru-RU"/>
              </w:rPr>
            </w:pPr>
            <w:r w:rsidRPr="00242020">
              <w:rPr>
                <w:rFonts w:eastAsia="Times New Roman" w:cs="Times New Roman"/>
                <w:sz w:val="26"/>
                <w:szCs w:val="26"/>
                <w:lang w:eastAsia="ru-RU"/>
              </w:rPr>
              <w:t>6</w:t>
            </w:r>
          </w:p>
        </w:tc>
      </w:tr>
      <w:tr w:rsidR="004A4A2B" w:rsidRPr="00242020" w:rsidTr="004A4A2B">
        <w:tc>
          <w:tcPr>
            <w:tcW w:w="6660" w:type="dxa"/>
            <w:vAlign w:val="center"/>
          </w:tcPr>
          <w:p w:rsidR="004A4A2B" w:rsidRPr="00242020" w:rsidRDefault="004A4A2B" w:rsidP="004A4A2B">
            <w:pPr>
              <w:autoSpaceDE w:val="0"/>
              <w:autoSpaceDN w:val="0"/>
              <w:adjustRightInd w:val="0"/>
              <w:ind w:firstLine="0"/>
              <w:jc w:val="both"/>
              <w:rPr>
                <w:rFonts w:eastAsia="Times New Roman" w:cs="Times New Roman"/>
                <w:sz w:val="26"/>
                <w:szCs w:val="26"/>
                <w:lang w:eastAsia="ru-RU"/>
              </w:rPr>
            </w:pPr>
            <w:r w:rsidRPr="00242020">
              <w:rPr>
                <w:rFonts w:eastAsia="Times New Roman" w:cs="Times New Roman"/>
                <w:sz w:val="26"/>
                <w:szCs w:val="26"/>
                <w:lang w:eastAsia="ru-RU"/>
              </w:rPr>
              <w:t>Харківська область</w:t>
            </w:r>
          </w:p>
        </w:tc>
        <w:tc>
          <w:tcPr>
            <w:tcW w:w="2700" w:type="dxa"/>
            <w:vAlign w:val="center"/>
          </w:tcPr>
          <w:p w:rsidR="004A4A2B" w:rsidRPr="00242020" w:rsidRDefault="004A4A2B" w:rsidP="004A4A2B">
            <w:pPr>
              <w:autoSpaceDE w:val="0"/>
              <w:autoSpaceDN w:val="0"/>
              <w:adjustRightInd w:val="0"/>
              <w:ind w:firstLine="0"/>
              <w:jc w:val="center"/>
              <w:rPr>
                <w:rFonts w:eastAsia="Times New Roman" w:cs="Times New Roman"/>
                <w:sz w:val="26"/>
                <w:szCs w:val="26"/>
                <w:lang w:eastAsia="ru-RU"/>
              </w:rPr>
            </w:pPr>
            <w:r w:rsidRPr="00242020">
              <w:rPr>
                <w:rFonts w:eastAsia="Times New Roman" w:cs="Times New Roman"/>
                <w:sz w:val="26"/>
                <w:szCs w:val="26"/>
                <w:lang w:eastAsia="ru-RU"/>
              </w:rPr>
              <w:t>7</w:t>
            </w:r>
          </w:p>
        </w:tc>
      </w:tr>
      <w:tr w:rsidR="00BC2617" w:rsidRPr="00242020" w:rsidTr="004A4A2B">
        <w:tc>
          <w:tcPr>
            <w:tcW w:w="6660" w:type="dxa"/>
            <w:vAlign w:val="center"/>
          </w:tcPr>
          <w:p w:rsidR="00BC2617" w:rsidRPr="00242020" w:rsidRDefault="00BC2617" w:rsidP="00BC2617">
            <w:pPr>
              <w:autoSpaceDE w:val="0"/>
              <w:autoSpaceDN w:val="0"/>
              <w:adjustRightInd w:val="0"/>
              <w:ind w:firstLine="0"/>
              <w:jc w:val="both"/>
              <w:rPr>
                <w:rFonts w:eastAsia="Times New Roman" w:cs="Times New Roman"/>
                <w:sz w:val="26"/>
                <w:szCs w:val="26"/>
                <w:lang w:eastAsia="ru-RU"/>
              </w:rPr>
            </w:pPr>
            <w:r w:rsidRPr="00242020">
              <w:rPr>
                <w:rFonts w:eastAsia="Times New Roman" w:cs="Times New Roman"/>
                <w:sz w:val="26"/>
                <w:szCs w:val="26"/>
                <w:lang w:eastAsia="ru-RU"/>
              </w:rPr>
              <w:t>Херсонська область</w:t>
            </w:r>
          </w:p>
        </w:tc>
        <w:tc>
          <w:tcPr>
            <w:tcW w:w="2700" w:type="dxa"/>
            <w:vAlign w:val="center"/>
          </w:tcPr>
          <w:p w:rsidR="00BC2617" w:rsidRPr="00242020" w:rsidRDefault="00BC2617" w:rsidP="00BC2617">
            <w:pPr>
              <w:autoSpaceDE w:val="0"/>
              <w:autoSpaceDN w:val="0"/>
              <w:adjustRightInd w:val="0"/>
              <w:ind w:firstLine="0"/>
              <w:jc w:val="center"/>
              <w:rPr>
                <w:rFonts w:eastAsia="Times New Roman" w:cs="Times New Roman"/>
                <w:sz w:val="26"/>
                <w:szCs w:val="26"/>
                <w:lang w:eastAsia="ru-RU"/>
              </w:rPr>
            </w:pPr>
            <w:r w:rsidRPr="00242020">
              <w:rPr>
                <w:rFonts w:eastAsia="Times New Roman" w:cs="Times New Roman"/>
                <w:sz w:val="26"/>
                <w:szCs w:val="26"/>
                <w:lang w:eastAsia="ru-RU"/>
              </w:rPr>
              <w:t>10</w:t>
            </w:r>
          </w:p>
        </w:tc>
      </w:tr>
      <w:tr w:rsidR="00BC2617" w:rsidRPr="00242020" w:rsidTr="004A4A2B">
        <w:tc>
          <w:tcPr>
            <w:tcW w:w="6660" w:type="dxa"/>
            <w:vAlign w:val="center"/>
          </w:tcPr>
          <w:p w:rsidR="00BC2617" w:rsidRPr="00242020" w:rsidRDefault="00BC2617" w:rsidP="00BC2617">
            <w:pPr>
              <w:autoSpaceDE w:val="0"/>
              <w:autoSpaceDN w:val="0"/>
              <w:adjustRightInd w:val="0"/>
              <w:ind w:firstLine="0"/>
              <w:jc w:val="both"/>
              <w:rPr>
                <w:rFonts w:eastAsia="Times New Roman" w:cs="Times New Roman"/>
                <w:sz w:val="26"/>
                <w:szCs w:val="26"/>
                <w:lang w:eastAsia="ru-RU"/>
              </w:rPr>
            </w:pPr>
            <w:r w:rsidRPr="00242020">
              <w:rPr>
                <w:rFonts w:eastAsia="Times New Roman" w:cs="Times New Roman"/>
                <w:sz w:val="26"/>
                <w:szCs w:val="26"/>
                <w:lang w:eastAsia="ru-RU"/>
              </w:rPr>
              <w:t>Хмельницька область</w:t>
            </w:r>
          </w:p>
        </w:tc>
        <w:tc>
          <w:tcPr>
            <w:tcW w:w="2700" w:type="dxa"/>
            <w:vAlign w:val="center"/>
          </w:tcPr>
          <w:p w:rsidR="00BC2617" w:rsidRPr="00242020" w:rsidRDefault="00BC2617" w:rsidP="00BC2617">
            <w:pPr>
              <w:autoSpaceDE w:val="0"/>
              <w:autoSpaceDN w:val="0"/>
              <w:adjustRightInd w:val="0"/>
              <w:ind w:firstLine="0"/>
              <w:jc w:val="center"/>
              <w:rPr>
                <w:rFonts w:eastAsia="Times New Roman" w:cs="Times New Roman"/>
                <w:sz w:val="26"/>
                <w:szCs w:val="26"/>
                <w:lang w:eastAsia="ru-RU"/>
              </w:rPr>
            </w:pPr>
            <w:r w:rsidRPr="00242020">
              <w:rPr>
                <w:rFonts w:eastAsia="Times New Roman" w:cs="Times New Roman"/>
                <w:sz w:val="26"/>
                <w:szCs w:val="26"/>
                <w:lang w:eastAsia="ru-RU"/>
              </w:rPr>
              <w:t>5</w:t>
            </w:r>
          </w:p>
        </w:tc>
      </w:tr>
      <w:tr w:rsidR="00BC2617" w:rsidRPr="00242020" w:rsidTr="004A4A2B">
        <w:tc>
          <w:tcPr>
            <w:tcW w:w="6660" w:type="dxa"/>
            <w:vAlign w:val="center"/>
          </w:tcPr>
          <w:p w:rsidR="00BC2617" w:rsidRPr="00242020" w:rsidRDefault="00BC2617" w:rsidP="00BC2617">
            <w:pPr>
              <w:autoSpaceDE w:val="0"/>
              <w:autoSpaceDN w:val="0"/>
              <w:adjustRightInd w:val="0"/>
              <w:ind w:firstLine="0"/>
              <w:jc w:val="center"/>
              <w:rPr>
                <w:rFonts w:eastAsia="Times New Roman" w:cs="Times New Roman"/>
                <w:sz w:val="24"/>
                <w:szCs w:val="24"/>
                <w:lang w:eastAsia="ru-RU"/>
              </w:rPr>
            </w:pPr>
            <w:r w:rsidRPr="00242020">
              <w:rPr>
                <w:rFonts w:eastAsia="Times New Roman" w:cs="Times New Roman"/>
                <w:sz w:val="24"/>
                <w:szCs w:val="24"/>
                <w:lang w:eastAsia="ru-RU"/>
              </w:rPr>
              <w:lastRenderedPageBreak/>
              <w:t>1</w:t>
            </w:r>
          </w:p>
        </w:tc>
        <w:tc>
          <w:tcPr>
            <w:tcW w:w="2700" w:type="dxa"/>
            <w:vAlign w:val="center"/>
          </w:tcPr>
          <w:p w:rsidR="00BC2617" w:rsidRPr="00242020" w:rsidRDefault="00BC2617" w:rsidP="004A4A2B">
            <w:pPr>
              <w:autoSpaceDE w:val="0"/>
              <w:autoSpaceDN w:val="0"/>
              <w:adjustRightInd w:val="0"/>
              <w:ind w:firstLine="0"/>
              <w:jc w:val="center"/>
              <w:rPr>
                <w:rFonts w:eastAsia="Times New Roman" w:cs="Times New Roman"/>
                <w:sz w:val="24"/>
                <w:szCs w:val="24"/>
                <w:lang w:eastAsia="ru-RU"/>
              </w:rPr>
            </w:pPr>
            <w:r w:rsidRPr="00242020">
              <w:rPr>
                <w:rFonts w:eastAsia="Times New Roman" w:cs="Times New Roman"/>
                <w:sz w:val="24"/>
                <w:szCs w:val="24"/>
                <w:lang w:eastAsia="ru-RU"/>
              </w:rPr>
              <w:t>2</w:t>
            </w:r>
          </w:p>
        </w:tc>
      </w:tr>
      <w:tr w:rsidR="00BC2617" w:rsidRPr="00242020" w:rsidTr="004A4A2B">
        <w:tc>
          <w:tcPr>
            <w:tcW w:w="6660" w:type="dxa"/>
            <w:vAlign w:val="center"/>
          </w:tcPr>
          <w:p w:rsidR="00BC2617" w:rsidRPr="00242020" w:rsidRDefault="00BC2617" w:rsidP="004A4A2B">
            <w:pPr>
              <w:autoSpaceDE w:val="0"/>
              <w:autoSpaceDN w:val="0"/>
              <w:adjustRightInd w:val="0"/>
              <w:ind w:firstLine="0"/>
              <w:jc w:val="both"/>
              <w:rPr>
                <w:rFonts w:eastAsia="Times New Roman" w:cs="Times New Roman"/>
                <w:sz w:val="26"/>
                <w:szCs w:val="26"/>
                <w:lang w:eastAsia="ru-RU"/>
              </w:rPr>
            </w:pPr>
            <w:r w:rsidRPr="00242020">
              <w:rPr>
                <w:rFonts w:eastAsia="Times New Roman" w:cs="Times New Roman"/>
                <w:sz w:val="26"/>
                <w:szCs w:val="26"/>
                <w:lang w:eastAsia="ru-RU"/>
              </w:rPr>
              <w:t>Черкаська область</w:t>
            </w:r>
          </w:p>
        </w:tc>
        <w:tc>
          <w:tcPr>
            <w:tcW w:w="2700" w:type="dxa"/>
            <w:vAlign w:val="center"/>
          </w:tcPr>
          <w:p w:rsidR="00BC2617" w:rsidRPr="00242020" w:rsidRDefault="00BC2617" w:rsidP="004A4A2B">
            <w:pPr>
              <w:autoSpaceDE w:val="0"/>
              <w:autoSpaceDN w:val="0"/>
              <w:adjustRightInd w:val="0"/>
              <w:ind w:firstLine="0"/>
              <w:jc w:val="center"/>
              <w:rPr>
                <w:rFonts w:eastAsia="Times New Roman" w:cs="Times New Roman"/>
                <w:sz w:val="26"/>
                <w:szCs w:val="26"/>
                <w:lang w:eastAsia="ru-RU"/>
              </w:rPr>
            </w:pPr>
            <w:r w:rsidRPr="00242020">
              <w:rPr>
                <w:rFonts w:eastAsia="Times New Roman" w:cs="Times New Roman"/>
                <w:sz w:val="26"/>
                <w:szCs w:val="26"/>
                <w:lang w:eastAsia="ru-RU"/>
              </w:rPr>
              <w:t>9</w:t>
            </w:r>
          </w:p>
        </w:tc>
      </w:tr>
      <w:tr w:rsidR="00BC2617" w:rsidRPr="00242020" w:rsidTr="004A4A2B">
        <w:tc>
          <w:tcPr>
            <w:tcW w:w="6660" w:type="dxa"/>
            <w:vAlign w:val="center"/>
          </w:tcPr>
          <w:p w:rsidR="00BC2617" w:rsidRPr="00242020" w:rsidRDefault="00BC2617" w:rsidP="004A4A2B">
            <w:pPr>
              <w:autoSpaceDE w:val="0"/>
              <w:autoSpaceDN w:val="0"/>
              <w:adjustRightInd w:val="0"/>
              <w:ind w:firstLine="0"/>
              <w:jc w:val="both"/>
              <w:rPr>
                <w:rFonts w:eastAsia="Times New Roman" w:cs="Times New Roman"/>
                <w:sz w:val="26"/>
                <w:szCs w:val="26"/>
                <w:lang w:eastAsia="ru-RU"/>
              </w:rPr>
            </w:pPr>
            <w:r w:rsidRPr="00242020">
              <w:rPr>
                <w:rFonts w:eastAsia="Times New Roman" w:cs="Times New Roman"/>
                <w:sz w:val="26"/>
                <w:szCs w:val="26"/>
                <w:lang w:eastAsia="ru-RU"/>
              </w:rPr>
              <w:t>Чернівецька область</w:t>
            </w:r>
          </w:p>
        </w:tc>
        <w:tc>
          <w:tcPr>
            <w:tcW w:w="2700" w:type="dxa"/>
            <w:vAlign w:val="center"/>
          </w:tcPr>
          <w:p w:rsidR="00BC2617" w:rsidRPr="00242020" w:rsidRDefault="00BC2617" w:rsidP="004A4A2B">
            <w:pPr>
              <w:autoSpaceDE w:val="0"/>
              <w:autoSpaceDN w:val="0"/>
              <w:adjustRightInd w:val="0"/>
              <w:ind w:firstLine="0"/>
              <w:jc w:val="center"/>
              <w:rPr>
                <w:rFonts w:eastAsia="Times New Roman" w:cs="Times New Roman"/>
                <w:sz w:val="26"/>
                <w:szCs w:val="26"/>
                <w:lang w:eastAsia="ru-RU"/>
              </w:rPr>
            </w:pPr>
            <w:r w:rsidRPr="00242020">
              <w:rPr>
                <w:rFonts w:eastAsia="Times New Roman" w:cs="Times New Roman"/>
                <w:sz w:val="26"/>
                <w:szCs w:val="26"/>
                <w:lang w:eastAsia="ru-RU"/>
              </w:rPr>
              <w:t>5</w:t>
            </w:r>
          </w:p>
        </w:tc>
      </w:tr>
      <w:tr w:rsidR="00BC2617" w:rsidRPr="00242020" w:rsidTr="004A4A2B">
        <w:tc>
          <w:tcPr>
            <w:tcW w:w="6660" w:type="dxa"/>
            <w:vAlign w:val="center"/>
          </w:tcPr>
          <w:p w:rsidR="00BC2617" w:rsidRPr="00242020" w:rsidRDefault="00BC2617" w:rsidP="004A4A2B">
            <w:pPr>
              <w:autoSpaceDE w:val="0"/>
              <w:autoSpaceDN w:val="0"/>
              <w:adjustRightInd w:val="0"/>
              <w:ind w:firstLine="0"/>
              <w:jc w:val="both"/>
              <w:rPr>
                <w:rFonts w:eastAsia="Times New Roman" w:cs="Times New Roman"/>
                <w:sz w:val="26"/>
                <w:szCs w:val="26"/>
                <w:lang w:eastAsia="ru-RU"/>
              </w:rPr>
            </w:pPr>
            <w:r w:rsidRPr="00242020">
              <w:rPr>
                <w:rFonts w:eastAsia="Times New Roman" w:cs="Times New Roman"/>
                <w:sz w:val="26"/>
                <w:szCs w:val="26"/>
                <w:lang w:eastAsia="ru-RU"/>
              </w:rPr>
              <w:t>Чернігівська область</w:t>
            </w:r>
          </w:p>
        </w:tc>
        <w:tc>
          <w:tcPr>
            <w:tcW w:w="2700" w:type="dxa"/>
            <w:vAlign w:val="center"/>
          </w:tcPr>
          <w:p w:rsidR="00BC2617" w:rsidRPr="00242020" w:rsidRDefault="00BC2617" w:rsidP="004A4A2B">
            <w:pPr>
              <w:autoSpaceDE w:val="0"/>
              <w:autoSpaceDN w:val="0"/>
              <w:adjustRightInd w:val="0"/>
              <w:ind w:firstLine="0"/>
              <w:jc w:val="center"/>
              <w:rPr>
                <w:rFonts w:eastAsia="Times New Roman" w:cs="Times New Roman"/>
                <w:sz w:val="26"/>
                <w:szCs w:val="26"/>
                <w:lang w:eastAsia="ru-RU"/>
              </w:rPr>
            </w:pPr>
            <w:r w:rsidRPr="00242020">
              <w:rPr>
                <w:rFonts w:eastAsia="Times New Roman" w:cs="Times New Roman"/>
                <w:sz w:val="26"/>
                <w:szCs w:val="26"/>
                <w:lang w:eastAsia="ru-RU"/>
              </w:rPr>
              <w:t>3</w:t>
            </w:r>
          </w:p>
        </w:tc>
      </w:tr>
      <w:tr w:rsidR="00BC2617" w:rsidRPr="00242020" w:rsidTr="004A4A2B">
        <w:tc>
          <w:tcPr>
            <w:tcW w:w="6660" w:type="dxa"/>
            <w:vAlign w:val="center"/>
          </w:tcPr>
          <w:p w:rsidR="00BC2617" w:rsidRPr="00242020" w:rsidRDefault="00BC2617" w:rsidP="004A4A2B">
            <w:pPr>
              <w:autoSpaceDE w:val="0"/>
              <w:autoSpaceDN w:val="0"/>
              <w:adjustRightInd w:val="0"/>
              <w:ind w:firstLine="0"/>
              <w:jc w:val="both"/>
              <w:rPr>
                <w:rFonts w:eastAsia="Times New Roman" w:cs="Times New Roman"/>
                <w:sz w:val="26"/>
                <w:szCs w:val="26"/>
                <w:lang w:eastAsia="ru-RU"/>
              </w:rPr>
            </w:pPr>
            <w:r w:rsidRPr="00242020">
              <w:rPr>
                <w:rFonts w:eastAsia="Times New Roman" w:cs="Times New Roman"/>
                <w:sz w:val="26"/>
                <w:szCs w:val="26"/>
                <w:lang w:eastAsia="ru-RU"/>
              </w:rPr>
              <w:t>м. Київ</w:t>
            </w:r>
          </w:p>
        </w:tc>
        <w:tc>
          <w:tcPr>
            <w:tcW w:w="2700" w:type="dxa"/>
            <w:vAlign w:val="center"/>
          </w:tcPr>
          <w:p w:rsidR="00BC2617" w:rsidRPr="00242020" w:rsidRDefault="00BC2617" w:rsidP="004A4A2B">
            <w:pPr>
              <w:autoSpaceDE w:val="0"/>
              <w:autoSpaceDN w:val="0"/>
              <w:adjustRightInd w:val="0"/>
              <w:ind w:firstLine="0"/>
              <w:jc w:val="center"/>
              <w:rPr>
                <w:rFonts w:eastAsia="Times New Roman" w:cs="Times New Roman"/>
                <w:sz w:val="26"/>
                <w:szCs w:val="26"/>
                <w:lang w:eastAsia="ru-RU"/>
              </w:rPr>
            </w:pPr>
            <w:r w:rsidRPr="00242020">
              <w:rPr>
                <w:rFonts w:eastAsia="Times New Roman" w:cs="Times New Roman"/>
                <w:sz w:val="26"/>
                <w:szCs w:val="26"/>
                <w:lang w:eastAsia="ru-RU"/>
              </w:rPr>
              <w:t>65</w:t>
            </w:r>
          </w:p>
        </w:tc>
      </w:tr>
      <w:tr w:rsidR="00BC2617" w:rsidRPr="00242020" w:rsidTr="004A4A2B">
        <w:tc>
          <w:tcPr>
            <w:tcW w:w="6660" w:type="dxa"/>
            <w:vAlign w:val="center"/>
          </w:tcPr>
          <w:p w:rsidR="00BC2617" w:rsidRPr="00242020" w:rsidRDefault="00BC2617" w:rsidP="006129B8">
            <w:pPr>
              <w:autoSpaceDE w:val="0"/>
              <w:autoSpaceDN w:val="0"/>
              <w:adjustRightInd w:val="0"/>
              <w:ind w:firstLine="0"/>
              <w:jc w:val="both"/>
              <w:rPr>
                <w:rFonts w:eastAsia="Times New Roman" w:cs="Times New Roman"/>
                <w:sz w:val="26"/>
                <w:szCs w:val="26"/>
                <w:lang w:eastAsia="ru-RU"/>
              </w:rPr>
            </w:pPr>
            <w:r w:rsidRPr="00242020">
              <w:rPr>
                <w:rFonts w:eastAsia="Times New Roman" w:cs="Times New Roman"/>
                <w:sz w:val="26"/>
                <w:szCs w:val="26"/>
                <w:lang w:eastAsia="ru-RU"/>
              </w:rPr>
              <w:t>АР Крим</w:t>
            </w:r>
          </w:p>
        </w:tc>
        <w:tc>
          <w:tcPr>
            <w:tcW w:w="2700" w:type="dxa"/>
            <w:vAlign w:val="center"/>
          </w:tcPr>
          <w:p w:rsidR="00BC2617" w:rsidRPr="00242020" w:rsidRDefault="00BC2617" w:rsidP="004A4A2B">
            <w:pPr>
              <w:autoSpaceDE w:val="0"/>
              <w:autoSpaceDN w:val="0"/>
              <w:adjustRightInd w:val="0"/>
              <w:ind w:firstLine="0"/>
              <w:jc w:val="center"/>
              <w:rPr>
                <w:rFonts w:eastAsia="Times New Roman" w:cs="Times New Roman"/>
                <w:sz w:val="26"/>
                <w:szCs w:val="26"/>
                <w:lang w:eastAsia="ru-RU"/>
              </w:rPr>
            </w:pPr>
            <w:r w:rsidRPr="00242020">
              <w:rPr>
                <w:rFonts w:eastAsia="Times New Roman" w:cs="Times New Roman"/>
                <w:sz w:val="26"/>
                <w:szCs w:val="26"/>
                <w:lang w:eastAsia="ru-RU"/>
              </w:rPr>
              <w:t>26</w:t>
            </w:r>
          </w:p>
        </w:tc>
      </w:tr>
      <w:tr w:rsidR="00BC2617" w:rsidRPr="00242020" w:rsidTr="004A4A2B">
        <w:tc>
          <w:tcPr>
            <w:tcW w:w="6660" w:type="dxa"/>
            <w:vAlign w:val="center"/>
          </w:tcPr>
          <w:p w:rsidR="00BC2617" w:rsidRPr="00242020" w:rsidRDefault="00BC2617" w:rsidP="004A4A2B">
            <w:pPr>
              <w:autoSpaceDE w:val="0"/>
              <w:autoSpaceDN w:val="0"/>
              <w:adjustRightInd w:val="0"/>
              <w:ind w:firstLine="0"/>
              <w:jc w:val="both"/>
              <w:rPr>
                <w:rFonts w:eastAsia="Times New Roman" w:cs="Times New Roman"/>
                <w:sz w:val="26"/>
                <w:szCs w:val="26"/>
                <w:lang w:eastAsia="ru-RU"/>
              </w:rPr>
            </w:pPr>
            <w:r w:rsidRPr="00242020">
              <w:rPr>
                <w:rFonts w:eastAsia="Times New Roman" w:cs="Times New Roman"/>
                <w:sz w:val="26"/>
                <w:szCs w:val="26"/>
                <w:lang w:eastAsia="ru-RU"/>
              </w:rPr>
              <w:t>Закордонні компанії</w:t>
            </w:r>
          </w:p>
        </w:tc>
        <w:tc>
          <w:tcPr>
            <w:tcW w:w="2700" w:type="dxa"/>
            <w:vAlign w:val="center"/>
          </w:tcPr>
          <w:p w:rsidR="00BC2617" w:rsidRPr="00242020" w:rsidRDefault="00BC2617" w:rsidP="004A4A2B">
            <w:pPr>
              <w:autoSpaceDE w:val="0"/>
              <w:autoSpaceDN w:val="0"/>
              <w:adjustRightInd w:val="0"/>
              <w:ind w:firstLine="0"/>
              <w:jc w:val="center"/>
              <w:rPr>
                <w:rFonts w:eastAsia="Times New Roman" w:cs="Times New Roman"/>
                <w:sz w:val="26"/>
                <w:szCs w:val="26"/>
                <w:lang w:eastAsia="ru-RU"/>
              </w:rPr>
            </w:pPr>
            <w:r w:rsidRPr="00242020">
              <w:rPr>
                <w:rFonts w:eastAsia="Times New Roman" w:cs="Times New Roman"/>
                <w:sz w:val="26"/>
                <w:szCs w:val="26"/>
                <w:lang w:eastAsia="ru-RU"/>
              </w:rPr>
              <w:t>14</w:t>
            </w:r>
          </w:p>
        </w:tc>
      </w:tr>
      <w:tr w:rsidR="00BC2617" w:rsidRPr="00242020" w:rsidTr="004A4A2B">
        <w:tc>
          <w:tcPr>
            <w:tcW w:w="6660" w:type="dxa"/>
          </w:tcPr>
          <w:p w:rsidR="00BC2617" w:rsidRPr="00242020" w:rsidRDefault="00BC2617" w:rsidP="004A4A2B">
            <w:pPr>
              <w:autoSpaceDE w:val="0"/>
              <w:autoSpaceDN w:val="0"/>
              <w:adjustRightInd w:val="0"/>
              <w:ind w:firstLine="0"/>
              <w:jc w:val="center"/>
              <w:rPr>
                <w:rFonts w:eastAsia="Times New Roman" w:cs="Times New Roman"/>
                <w:b/>
                <w:sz w:val="26"/>
                <w:szCs w:val="26"/>
                <w:lang w:eastAsia="ru-RU"/>
              </w:rPr>
            </w:pPr>
            <w:r w:rsidRPr="00242020">
              <w:rPr>
                <w:rFonts w:eastAsia="Times New Roman" w:cs="Times New Roman"/>
                <w:b/>
                <w:sz w:val="26"/>
                <w:szCs w:val="26"/>
                <w:lang w:eastAsia="ru-RU"/>
              </w:rPr>
              <w:t>Разом</w:t>
            </w:r>
          </w:p>
        </w:tc>
        <w:tc>
          <w:tcPr>
            <w:tcW w:w="2700" w:type="dxa"/>
          </w:tcPr>
          <w:p w:rsidR="00BC2617" w:rsidRPr="00242020" w:rsidRDefault="00BC2617" w:rsidP="004A4A2B">
            <w:pPr>
              <w:autoSpaceDE w:val="0"/>
              <w:autoSpaceDN w:val="0"/>
              <w:adjustRightInd w:val="0"/>
              <w:ind w:firstLine="0"/>
              <w:jc w:val="center"/>
              <w:rPr>
                <w:rFonts w:eastAsia="Times New Roman" w:cs="Times New Roman"/>
                <w:b/>
                <w:sz w:val="26"/>
                <w:szCs w:val="26"/>
                <w:lang w:eastAsia="ru-RU"/>
              </w:rPr>
            </w:pPr>
            <w:r w:rsidRPr="00242020">
              <w:rPr>
                <w:rFonts w:eastAsia="Times New Roman" w:cs="Times New Roman"/>
                <w:b/>
                <w:sz w:val="26"/>
                <w:szCs w:val="26"/>
                <w:lang w:eastAsia="ru-RU"/>
              </w:rPr>
              <w:t>341</w:t>
            </w:r>
          </w:p>
        </w:tc>
      </w:tr>
    </w:tbl>
    <w:p w:rsidR="00805AB4" w:rsidRPr="00242020" w:rsidRDefault="00805AB4" w:rsidP="004A4A2B">
      <w:pPr>
        <w:spacing w:line="237" w:lineRule="auto"/>
        <w:ind w:firstLine="0"/>
        <w:jc w:val="center"/>
        <w:rPr>
          <w:b/>
          <w:bCs/>
          <w:sz w:val="10"/>
          <w:szCs w:val="10"/>
          <w:highlight w:val="red"/>
        </w:rPr>
      </w:pPr>
    </w:p>
    <w:p w:rsidR="00805AB4" w:rsidRPr="00242020" w:rsidRDefault="00805AB4" w:rsidP="00805AB4">
      <w:pPr>
        <w:pStyle w:val="2"/>
        <w:rPr>
          <w:bCs/>
          <w:szCs w:val="28"/>
        </w:rPr>
      </w:pPr>
      <w:r w:rsidRPr="00242020">
        <w:t>3.5.2. Взаємодія з органами виконавчої влади у сфері обліку корпоративних прав держави.</w:t>
      </w:r>
      <w:r w:rsidRPr="00242020">
        <w:br/>
        <w:t>Захист майнових інтересів держави за кордоном</w:t>
      </w:r>
    </w:p>
    <w:p w:rsidR="006F4201" w:rsidRPr="00242020" w:rsidRDefault="006F4201" w:rsidP="006F4201">
      <w:pPr>
        <w:jc w:val="both"/>
        <w:rPr>
          <w:rFonts w:eastAsia="Times New Roman" w:cs="Times New Roman"/>
          <w:sz w:val="12"/>
          <w:szCs w:val="12"/>
          <w:lang w:eastAsia="ru-RU"/>
        </w:rPr>
      </w:pPr>
    </w:p>
    <w:p w:rsidR="004A4A2B" w:rsidRPr="00242020" w:rsidRDefault="004A4A2B" w:rsidP="004A4A2B">
      <w:pPr>
        <w:jc w:val="both"/>
        <w:rPr>
          <w:rFonts w:eastAsia="Times New Roman" w:cs="Times New Roman"/>
          <w:szCs w:val="28"/>
          <w:lang w:eastAsia="ru-RU"/>
        </w:rPr>
      </w:pPr>
      <w:r w:rsidRPr="00242020">
        <w:rPr>
          <w:rFonts w:eastAsia="Times New Roman" w:cs="Times New Roman"/>
          <w:szCs w:val="28"/>
          <w:lang w:eastAsia="ru-RU"/>
        </w:rPr>
        <w:t xml:space="preserve">Протягом 2016 року до Фонду надійшло </w:t>
      </w:r>
      <w:r w:rsidRPr="00242020">
        <w:rPr>
          <w:rFonts w:eastAsia="Times New Roman" w:cs="Times New Roman"/>
          <w:b/>
          <w:szCs w:val="28"/>
          <w:lang w:eastAsia="ru-RU"/>
        </w:rPr>
        <w:t>409 запитів</w:t>
      </w:r>
      <w:r w:rsidRPr="00242020">
        <w:rPr>
          <w:rFonts w:eastAsia="Times New Roman" w:cs="Times New Roman"/>
          <w:szCs w:val="28"/>
          <w:lang w:eastAsia="ru-RU"/>
        </w:rPr>
        <w:t xml:space="preserve"> стосовно надання інформації щодо наявності та розміру державної частки у статутному капіталі господарських товариств, на які своєчасно надавалися інформаційні довідки, сформовані на підставі відомостей з Реєстру корпоративних прав держави, який є складовою Єдиного реєстру об’єктів державної власності.</w:t>
      </w:r>
    </w:p>
    <w:p w:rsidR="004A4A2B" w:rsidRPr="00242020" w:rsidRDefault="004A4A2B" w:rsidP="004A4A2B">
      <w:pPr>
        <w:jc w:val="both"/>
        <w:rPr>
          <w:rFonts w:eastAsia="Times New Roman" w:cs="Times New Roman"/>
          <w:szCs w:val="28"/>
          <w:lang w:eastAsia="ru-RU"/>
        </w:rPr>
      </w:pPr>
      <w:r w:rsidRPr="00242020">
        <w:rPr>
          <w:rFonts w:eastAsia="Times New Roman" w:cs="Times New Roman"/>
          <w:szCs w:val="28"/>
          <w:lang w:eastAsia="ru-RU"/>
        </w:rPr>
        <w:t>У Фонді розроблено та функціонує автоматизована система «Юридичні особи», яка дає змогу вносити відомості про корпоративні права держави через форму вводу «</w:t>
      </w:r>
      <w:proofErr w:type="spellStart"/>
      <w:r w:rsidRPr="00242020">
        <w:rPr>
          <w:rFonts w:eastAsia="Times New Roman" w:cs="Times New Roman"/>
          <w:szCs w:val="28"/>
          <w:lang w:eastAsia="ru-RU"/>
        </w:rPr>
        <w:t>КПД</w:t>
      </w:r>
      <w:proofErr w:type="spellEnd"/>
      <w:r w:rsidRPr="00242020">
        <w:rPr>
          <w:rFonts w:eastAsia="Times New Roman" w:cs="Times New Roman"/>
          <w:szCs w:val="28"/>
          <w:lang w:eastAsia="ru-RU"/>
        </w:rPr>
        <w:t xml:space="preserve">» (корпоративні права держави). </w:t>
      </w:r>
    </w:p>
    <w:p w:rsidR="004A4A2B" w:rsidRPr="00242020" w:rsidRDefault="004A4A2B" w:rsidP="004A4A2B">
      <w:pPr>
        <w:jc w:val="both"/>
        <w:rPr>
          <w:rFonts w:eastAsia="Times New Roman" w:cs="Times New Roman"/>
          <w:szCs w:val="28"/>
          <w:lang w:eastAsia="ru-RU"/>
        </w:rPr>
      </w:pPr>
      <w:r w:rsidRPr="00242020">
        <w:rPr>
          <w:rFonts w:eastAsia="Times New Roman" w:cs="Times New Roman"/>
          <w:szCs w:val="28"/>
          <w:lang w:eastAsia="ru-RU"/>
        </w:rPr>
        <w:t xml:space="preserve">Зазначена система впроваджена в міністерствах та інших органах виконавчої влади, яка дає змогу органам влади щокварталу відповідно до постанови Кабінету Міністрів України від 29 жовтня 2003 року № 1679 подавати Фонду в електронному вигляді відомості про об’єкти державної власності, щодо яких вони виступають засновниками або здійснюють управління корпоративними правами держави, зокрема інформацію про розмір статутного капіталу, корпоративні права держави тощо. </w:t>
      </w:r>
    </w:p>
    <w:p w:rsidR="004A4A2B" w:rsidRPr="00242020" w:rsidRDefault="004A4A2B" w:rsidP="004A4A2B">
      <w:pPr>
        <w:jc w:val="both"/>
        <w:rPr>
          <w:rFonts w:eastAsia="Times New Roman" w:cs="Times New Roman"/>
          <w:sz w:val="8"/>
          <w:szCs w:val="8"/>
          <w:lang w:eastAsia="ru-RU"/>
        </w:rPr>
      </w:pPr>
    </w:p>
    <w:p w:rsidR="004A4A2B" w:rsidRPr="00242020" w:rsidRDefault="004A4A2B" w:rsidP="004A4A2B">
      <w:pPr>
        <w:jc w:val="both"/>
        <w:rPr>
          <w:rFonts w:eastAsia="Times New Roman" w:cs="Times New Roman"/>
          <w:szCs w:val="28"/>
          <w:lang w:eastAsia="ru-RU"/>
        </w:rPr>
      </w:pPr>
      <w:r w:rsidRPr="00242020">
        <w:rPr>
          <w:rFonts w:eastAsia="Times New Roman" w:cs="Times New Roman"/>
          <w:szCs w:val="28"/>
          <w:lang w:eastAsia="ru-RU"/>
        </w:rPr>
        <w:t>Фонд активно взаємодіє з органами державної влади та правоохоронними органами з метою захисту майнових прав держави щодо об’єктів державної власності на території України та за кордоном.</w:t>
      </w:r>
    </w:p>
    <w:p w:rsidR="004A4A2B" w:rsidRPr="00242020" w:rsidRDefault="004A4A2B" w:rsidP="004A4A2B">
      <w:pPr>
        <w:jc w:val="both"/>
        <w:rPr>
          <w:rFonts w:eastAsia="Times New Roman" w:cs="Times New Roman"/>
          <w:szCs w:val="28"/>
          <w:lang w:eastAsia="ru-RU"/>
        </w:rPr>
      </w:pPr>
      <w:r w:rsidRPr="00242020">
        <w:rPr>
          <w:rFonts w:eastAsia="Times New Roman" w:cs="Times New Roman"/>
          <w:szCs w:val="28"/>
          <w:lang w:eastAsia="ru-RU"/>
        </w:rPr>
        <w:t xml:space="preserve">На виконання домовленостей, досягнутих у ході українсько-молдовських консультацій у 2015 році, Фондом у 2016 році проведено роботу з додаткового опрацювання документів щодо об’єктів соціально-культурної сфери, розташованих на території України, на які претендує Федерація незалежних профспілок Молдови та Федерація профспілок працівників державних та громадських служб Республіки Молдова відповідно до Угоди між Урядом України та Урядом Республіки Молдова про взаємне визнання прав та регулювання відносин власності від 11 серпня 1994 року. </w:t>
      </w:r>
    </w:p>
    <w:p w:rsidR="004A4A2B" w:rsidRPr="00242020" w:rsidRDefault="004A4A2B" w:rsidP="004A4A2B">
      <w:pPr>
        <w:jc w:val="both"/>
        <w:rPr>
          <w:rFonts w:eastAsia="Times New Roman" w:cs="Times New Roman"/>
          <w:szCs w:val="28"/>
          <w:lang w:eastAsia="ru-RU"/>
        </w:rPr>
      </w:pPr>
      <w:r w:rsidRPr="00242020">
        <w:rPr>
          <w:rFonts w:eastAsia="Times New Roman" w:cs="Times New Roman"/>
          <w:szCs w:val="28"/>
          <w:lang w:eastAsia="ru-RU"/>
        </w:rPr>
        <w:t>Так, Фондом опрацьовано проект Угоди між Кабінетом Міністрів України та Урядом Республіки Молдова про забезпечення функціонування Дністровського комплексного гідровузла та пропозиції до нього надано Міністерству енергетики та вугільної промисловості України.</w:t>
      </w:r>
    </w:p>
    <w:p w:rsidR="004A4A2B" w:rsidRPr="00242020" w:rsidRDefault="004A4A2B" w:rsidP="004A4A2B">
      <w:pPr>
        <w:jc w:val="both"/>
        <w:rPr>
          <w:rFonts w:eastAsia="Times New Roman" w:cs="Times New Roman"/>
          <w:szCs w:val="28"/>
          <w:lang w:eastAsia="ru-RU"/>
        </w:rPr>
      </w:pPr>
      <w:r w:rsidRPr="00242020">
        <w:rPr>
          <w:rFonts w:eastAsia="Times New Roman" w:cs="Times New Roman"/>
          <w:szCs w:val="28"/>
          <w:lang w:eastAsia="ru-RU"/>
        </w:rPr>
        <w:t xml:space="preserve">За результатами розгляду документів, наданих молдовською стороною відповідно до Угоди від 11 серпня 1994 року, українською стороною попередньо визначена узгоджена позиція стосовно 22 з 25 об’єктів, </w:t>
      </w:r>
      <w:r w:rsidRPr="00242020">
        <w:rPr>
          <w:rFonts w:eastAsia="Times New Roman" w:cs="Times New Roman"/>
          <w:szCs w:val="28"/>
          <w:lang w:eastAsia="ru-RU"/>
        </w:rPr>
        <w:lastRenderedPageBreak/>
        <w:t>розташованих на території України, щодо яких молдовська сторона порушила питання стосовно першочергового врегулювання прав власності Республіки Молдова (так звані «пакетні домовленості»).</w:t>
      </w:r>
    </w:p>
    <w:p w:rsidR="004A4A2B" w:rsidRPr="00242020" w:rsidRDefault="004A4A2B" w:rsidP="004A4A2B">
      <w:pPr>
        <w:jc w:val="both"/>
        <w:rPr>
          <w:rFonts w:eastAsia="Times New Roman" w:cs="Times New Roman"/>
          <w:spacing w:val="-2"/>
          <w:szCs w:val="28"/>
          <w:lang w:eastAsia="ru-RU"/>
        </w:rPr>
      </w:pPr>
      <w:r w:rsidRPr="00242020">
        <w:rPr>
          <w:rFonts w:eastAsia="Times New Roman" w:cs="Times New Roman"/>
          <w:spacing w:val="-2"/>
          <w:szCs w:val="28"/>
          <w:lang w:eastAsia="ru-RU"/>
        </w:rPr>
        <w:t xml:space="preserve">З метою підготовки до обговорення пакета документів, наданих українською стороною з метою врегулювання правового статусу частини буферного гідровузла Дністровського гідроенергетичного комплексу, розташованої на території Республіки Молдова, та узгодження з молдовською стороною проекту протоколу Фонд направив відповідні запити на адресу </w:t>
      </w:r>
      <w:proofErr w:type="spellStart"/>
      <w:r w:rsidRPr="00242020">
        <w:rPr>
          <w:rFonts w:eastAsia="Times New Roman" w:cs="Times New Roman"/>
          <w:spacing w:val="-2"/>
          <w:szCs w:val="28"/>
          <w:lang w:eastAsia="ru-RU"/>
        </w:rPr>
        <w:t>Міненерговугілля</w:t>
      </w:r>
      <w:proofErr w:type="spellEnd"/>
      <w:r w:rsidRPr="00242020">
        <w:rPr>
          <w:rFonts w:eastAsia="Times New Roman" w:cs="Times New Roman"/>
          <w:spacing w:val="-2"/>
          <w:szCs w:val="28"/>
          <w:lang w:eastAsia="ru-RU"/>
        </w:rPr>
        <w:t>, ПАТ «</w:t>
      </w:r>
      <w:proofErr w:type="spellStart"/>
      <w:r w:rsidRPr="00242020">
        <w:rPr>
          <w:rFonts w:eastAsia="Times New Roman" w:cs="Times New Roman"/>
          <w:spacing w:val="-2"/>
          <w:szCs w:val="28"/>
          <w:lang w:eastAsia="ru-RU"/>
        </w:rPr>
        <w:t>Укргідроенерго</w:t>
      </w:r>
      <w:proofErr w:type="spellEnd"/>
      <w:r w:rsidRPr="00242020">
        <w:rPr>
          <w:rFonts w:eastAsia="Times New Roman" w:cs="Times New Roman"/>
          <w:spacing w:val="-2"/>
          <w:szCs w:val="28"/>
          <w:lang w:eastAsia="ru-RU"/>
        </w:rPr>
        <w:t xml:space="preserve">» і ПАТ «Дністровська </w:t>
      </w:r>
      <w:proofErr w:type="spellStart"/>
      <w:r w:rsidRPr="00242020">
        <w:rPr>
          <w:rFonts w:eastAsia="Times New Roman" w:cs="Times New Roman"/>
          <w:spacing w:val="-2"/>
          <w:szCs w:val="28"/>
          <w:lang w:eastAsia="ru-RU"/>
        </w:rPr>
        <w:t>ГАЕС</w:t>
      </w:r>
      <w:proofErr w:type="spellEnd"/>
      <w:r w:rsidRPr="00242020">
        <w:rPr>
          <w:rFonts w:eastAsia="Times New Roman" w:cs="Times New Roman"/>
          <w:spacing w:val="-2"/>
          <w:szCs w:val="28"/>
          <w:lang w:eastAsia="ru-RU"/>
        </w:rPr>
        <w:t>».</w:t>
      </w:r>
    </w:p>
    <w:p w:rsidR="004A4A2B" w:rsidRPr="00242020" w:rsidRDefault="004A4A2B" w:rsidP="004A4A2B">
      <w:pPr>
        <w:jc w:val="both"/>
        <w:rPr>
          <w:rFonts w:eastAsia="Times New Roman" w:cs="Times New Roman"/>
          <w:spacing w:val="-2"/>
          <w:szCs w:val="28"/>
          <w:lang w:eastAsia="ru-RU"/>
        </w:rPr>
      </w:pPr>
      <w:r w:rsidRPr="00242020">
        <w:rPr>
          <w:rFonts w:eastAsia="Times New Roman" w:cs="Times New Roman"/>
          <w:spacing w:val="-2"/>
          <w:szCs w:val="28"/>
          <w:lang w:eastAsia="ru-RU"/>
        </w:rPr>
        <w:t xml:space="preserve">У липні 2016 року у Фонді проведено нараду за участю Міністерства закордонних справ України, Міністерства юстиції України, </w:t>
      </w:r>
      <w:proofErr w:type="spellStart"/>
      <w:r w:rsidRPr="006129B8">
        <w:rPr>
          <w:rFonts w:eastAsia="Times New Roman" w:cs="Times New Roman"/>
          <w:spacing w:val="-2"/>
          <w:szCs w:val="28"/>
          <w:lang w:eastAsia="ru-RU"/>
        </w:rPr>
        <w:t>Мінекономрозвитку</w:t>
      </w:r>
      <w:proofErr w:type="spellEnd"/>
      <w:r w:rsidRPr="006129B8">
        <w:rPr>
          <w:rFonts w:eastAsia="Times New Roman" w:cs="Times New Roman"/>
          <w:spacing w:val="-2"/>
          <w:szCs w:val="28"/>
          <w:lang w:eastAsia="ru-RU"/>
        </w:rPr>
        <w:t>,</w:t>
      </w:r>
      <w:r w:rsidRPr="00242020">
        <w:rPr>
          <w:rFonts w:eastAsia="Times New Roman" w:cs="Times New Roman"/>
          <w:spacing w:val="-2"/>
          <w:szCs w:val="28"/>
          <w:lang w:eastAsia="ru-RU"/>
        </w:rPr>
        <w:t xml:space="preserve"> Міністерства енергетики та вугільної промисловості України, Міністерства фінансів України, Міністерства екології та природних ресурсів України та ПАТ «</w:t>
      </w:r>
      <w:proofErr w:type="spellStart"/>
      <w:r w:rsidRPr="00242020">
        <w:rPr>
          <w:rFonts w:eastAsia="Times New Roman" w:cs="Times New Roman"/>
          <w:spacing w:val="-2"/>
          <w:szCs w:val="28"/>
          <w:lang w:eastAsia="ru-RU"/>
        </w:rPr>
        <w:t>Укргідроенерго</w:t>
      </w:r>
      <w:proofErr w:type="spellEnd"/>
      <w:r w:rsidRPr="00242020">
        <w:rPr>
          <w:rFonts w:eastAsia="Times New Roman" w:cs="Times New Roman"/>
          <w:spacing w:val="-2"/>
          <w:szCs w:val="28"/>
          <w:lang w:eastAsia="ru-RU"/>
        </w:rPr>
        <w:t xml:space="preserve">» щодо попереднього узгодження позиції української сторони з метою підготовки до спільних українсько-молдовських консультацій. </w:t>
      </w:r>
    </w:p>
    <w:p w:rsidR="004A4A2B" w:rsidRPr="00242020" w:rsidRDefault="004A4A2B" w:rsidP="004A4A2B">
      <w:pPr>
        <w:widowControl/>
        <w:jc w:val="both"/>
        <w:rPr>
          <w:rFonts w:eastAsia="Times New Roman" w:cs="Times New Roman"/>
          <w:spacing w:val="-2"/>
          <w:szCs w:val="28"/>
          <w:lang w:eastAsia="ru-RU"/>
        </w:rPr>
      </w:pPr>
      <w:r w:rsidRPr="00242020">
        <w:rPr>
          <w:rFonts w:eastAsia="Times New Roman" w:cs="Times New Roman"/>
          <w:spacing w:val="-2"/>
          <w:szCs w:val="28"/>
          <w:lang w:eastAsia="ru-RU"/>
        </w:rPr>
        <w:t xml:space="preserve">15 листопада 2016 року у м. Кишиневі </w:t>
      </w:r>
      <w:r w:rsidRPr="00242020">
        <w:rPr>
          <w:rFonts w:eastAsia="Times New Roman" w:cs="Times New Roman"/>
          <w:szCs w:val="28"/>
          <w:lang w:eastAsia="ru-RU"/>
        </w:rPr>
        <w:t xml:space="preserve">відбулися </w:t>
      </w:r>
      <w:r w:rsidRPr="00242020">
        <w:rPr>
          <w:rFonts w:eastAsia="Times New Roman" w:cs="Times New Roman"/>
          <w:spacing w:val="-2"/>
          <w:szCs w:val="28"/>
          <w:lang w:eastAsia="ru-RU"/>
        </w:rPr>
        <w:t>спільні українсько-молдовські консультації з питання врегулювання прав власності України та Республіки Молдова на об’єкти, розташовані на їх територіях. Представники Фонду взяли участь у робочій зустрічі співголів Міжурядової українсько-молдовської змішаної комісії з питань торговельно-економічного співробітництва.</w:t>
      </w:r>
    </w:p>
    <w:p w:rsidR="004A4A2B" w:rsidRPr="00242020" w:rsidRDefault="004A4A2B" w:rsidP="004A4A2B">
      <w:pPr>
        <w:jc w:val="both"/>
        <w:rPr>
          <w:rFonts w:eastAsia="Times New Roman" w:cs="Times New Roman"/>
          <w:color w:val="000000"/>
          <w:szCs w:val="28"/>
          <w:lang w:eastAsia="ru-RU"/>
        </w:rPr>
      </w:pPr>
      <w:r w:rsidRPr="00242020">
        <w:rPr>
          <w:rFonts w:eastAsia="Times New Roman" w:cs="Times New Roman"/>
          <w:szCs w:val="28"/>
          <w:lang w:eastAsia="ru-RU"/>
        </w:rPr>
        <w:t>Фондом опрацьовано надані молдовською стороною документи щодо визнання права власності Республіки Молдова на бази відпочинку «</w:t>
      </w:r>
      <w:proofErr w:type="spellStart"/>
      <w:r w:rsidRPr="00242020">
        <w:rPr>
          <w:rFonts w:eastAsia="Times New Roman" w:cs="Times New Roman"/>
          <w:szCs w:val="28"/>
          <w:lang w:eastAsia="ru-RU"/>
        </w:rPr>
        <w:t>Жемчужина</w:t>
      </w:r>
      <w:proofErr w:type="spellEnd"/>
      <w:r w:rsidRPr="00242020">
        <w:rPr>
          <w:rFonts w:eastAsia="Times New Roman" w:cs="Times New Roman"/>
          <w:szCs w:val="28"/>
          <w:lang w:eastAsia="ru-RU"/>
        </w:rPr>
        <w:t>» (</w:t>
      </w:r>
      <w:proofErr w:type="spellStart"/>
      <w:r w:rsidRPr="00242020">
        <w:rPr>
          <w:rFonts w:eastAsia="Times New Roman" w:cs="Times New Roman"/>
          <w:szCs w:val="28"/>
          <w:lang w:eastAsia="ru-RU"/>
        </w:rPr>
        <w:t>смт</w:t>
      </w:r>
      <w:proofErr w:type="spellEnd"/>
      <w:r w:rsidRPr="00242020">
        <w:rPr>
          <w:rFonts w:eastAsia="Times New Roman" w:cs="Times New Roman"/>
          <w:szCs w:val="28"/>
          <w:lang w:eastAsia="ru-RU"/>
        </w:rPr>
        <w:t xml:space="preserve"> Затока), «</w:t>
      </w:r>
      <w:proofErr w:type="spellStart"/>
      <w:r w:rsidRPr="00242020">
        <w:rPr>
          <w:rFonts w:eastAsia="Times New Roman" w:cs="Times New Roman"/>
          <w:szCs w:val="28"/>
          <w:lang w:eastAsia="ru-RU"/>
        </w:rPr>
        <w:t>Голубой</w:t>
      </w:r>
      <w:proofErr w:type="spellEnd"/>
      <w:r w:rsidRPr="00242020">
        <w:rPr>
          <w:rFonts w:eastAsia="Times New Roman" w:cs="Times New Roman"/>
          <w:szCs w:val="28"/>
          <w:lang w:eastAsia="ru-RU"/>
        </w:rPr>
        <w:t xml:space="preserve"> </w:t>
      </w:r>
      <w:proofErr w:type="spellStart"/>
      <w:r w:rsidRPr="00242020">
        <w:rPr>
          <w:rFonts w:eastAsia="Times New Roman" w:cs="Times New Roman"/>
          <w:szCs w:val="28"/>
          <w:lang w:eastAsia="ru-RU"/>
        </w:rPr>
        <w:t>огонек</w:t>
      </w:r>
      <w:proofErr w:type="spellEnd"/>
      <w:r w:rsidRPr="00242020">
        <w:rPr>
          <w:rFonts w:eastAsia="Times New Roman" w:cs="Times New Roman"/>
          <w:szCs w:val="28"/>
          <w:lang w:eastAsia="ru-RU"/>
        </w:rPr>
        <w:t>» (</w:t>
      </w:r>
      <w:proofErr w:type="spellStart"/>
      <w:r w:rsidRPr="00242020">
        <w:rPr>
          <w:rFonts w:eastAsia="Times New Roman" w:cs="Times New Roman"/>
          <w:szCs w:val="28"/>
          <w:lang w:eastAsia="ru-RU"/>
        </w:rPr>
        <w:t>смт</w:t>
      </w:r>
      <w:proofErr w:type="spellEnd"/>
      <w:r w:rsidRPr="00242020">
        <w:rPr>
          <w:rFonts w:eastAsia="Times New Roman" w:cs="Times New Roman"/>
          <w:szCs w:val="28"/>
          <w:lang w:eastAsia="ru-RU"/>
        </w:rPr>
        <w:t xml:space="preserve"> Затока) та «</w:t>
      </w:r>
      <w:proofErr w:type="spellStart"/>
      <w:r w:rsidRPr="00242020">
        <w:rPr>
          <w:rFonts w:eastAsia="Times New Roman" w:cs="Times New Roman"/>
          <w:szCs w:val="28"/>
          <w:lang w:eastAsia="ru-RU"/>
        </w:rPr>
        <w:t>Жемчужина</w:t>
      </w:r>
      <w:proofErr w:type="spellEnd"/>
      <w:r w:rsidRPr="00242020">
        <w:rPr>
          <w:rFonts w:eastAsia="Times New Roman" w:cs="Times New Roman"/>
          <w:szCs w:val="28"/>
          <w:lang w:eastAsia="ru-RU"/>
        </w:rPr>
        <w:t>» (с. </w:t>
      </w:r>
      <w:proofErr w:type="spellStart"/>
      <w:r w:rsidRPr="00242020">
        <w:rPr>
          <w:rFonts w:eastAsia="Times New Roman" w:cs="Times New Roman"/>
          <w:szCs w:val="28"/>
          <w:lang w:eastAsia="ru-RU"/>
        </w:rPr>
        <w:t>Коблеве</w:t>
      </w:r>
      <w:proofErr w:type="spellEnd"/>
      <w:r w:rsidRPr="00242020">
        <w:rPr>
          <w:rFonts w:eastAsia="Times New Roman" w:cs="Times New Roman"/>
          <w:szCs w:val="28"/>
          <w:lang w:eastAsia="ru-RU"/>
        </w:rPr>
        <w:t>).</w:t>
      </w:r>
    </w:p>
    <w:p w:rsidR="004A4A2B" w:rsidRPr="00242020" w:rsidRDefault="004A4A2B" w:rsidP="004A4A2B">
      <w:pPr>
        <w:jc w:val="both"/>
        <w:rPr>
          <w:rFonts w:eastAsia="Times New Roman" w:cs="Times New Roman"/>
          <w:szCs w:val="28"/>
          <w:highlight w:val="cyan"/>
          <w:lang w:eastAsia="ru-RU"/>
        </w:rPr>
      </w:pPr>
      <w:r w:rsidRPr="00242020">
        <w:rPr>
          <w:rFonts w:eastAsia="Times New Roman" w:cs="Times New Roman"/>
          <w:szCs w:val="28"/>
          <w:lang w:eastAsia="ru-RU"/>
        </w:rPr>
        <w:t xml:space="preserve">З метою збереження та ефективного використання майна бази відпочинку «Зорі Тирасполя» підписано наказ Фонду від 12 січня 2016 року № 28 «Про здійснення заходів щодо бази відпочинку «Зорі Тирасполя». Регіональним відділенням Фонду по Одеській області </w:t>
      </w:r>
      <w:r w:rsidRPr="00242020">
        <w:rPr>
          <w:rFonts w:eastAsia="Times New Roman" w:cs="Times New Roman"/>
          <w:bCs/>
          <w:szCs w:val="28"/>
          <w:lang w:eastAsia="ru-RU"/>
        </w:rPr>
        <w:t>на підставі відповідних довіреностей вживаються заходи щодо реєстрації права власності на майно цієї бази відпочинку за державою в особі Фонду.</w:t>
      </w:r>
    </w:p>
    <w:p w:rsidR="004A4A2B" w:rsidRPr="00242020" w:rsidRDefault="004A4A2B" w:rsidP="004A4A2B">
      <w:pPr>
        <w:jc w:val="both"/>
        <w:rPr>
          <w:rFonts w:eastAsia="Times New Roman" w:cs="Times New Roman"/>
          <w:szCs w:val="28"/>
          <w:lang w:eastAsia="ru-RU"/>
        </w:rPr>
      </w:pPr>
      <w:r w:rsidRPr="00242020">
        <w:rPr>
          <w:rFonts w:eastAsia="Times New Roman" w:cs="Times New Roman"/>
          <w:szCs w:val="28"/>
          <w:lang w:eastAsia="ru-RU"/>
        </w:rPr>
        <w:t xml:space="preserve">Для захисту бази відпочинку від </w:t>
      </w:r>
      <w:proofErr w:type="spellStart"/>
      <w:r w:rsidRPr="00242020">
        <w:rPr>
          <w:rFonts w:eastAsia="Times New Roman" w:cs="Times New Roman"/>
          <w:szCs w:val="28"/>
          <w:lang w:eastAsia="ru-RU"/>
        </w:rPr>
        <w:t>рейдерських</w:t>
      </w:r>
      <w:proofErr w:type="spellEnd"/>
      <w:r w:rsidRPr="00242020">
        <w:rPr>
          <w:rFonts w:eastAsia="Times New Roman" w:cs="Times New Roman"/>
          <w:szCs w:val="28"/>
          <w:lang w:eastAsia="ru-RU"/>
        </w:rPr>
        <w:t xml:space="preserve"> посягань Фонд направив листи на адресу Білгород-Дністровської міжрайонної прокуратури та Генеральної прокуратури України.</w:t>
      </w:r>
    </w:p>
    <w:p w:rsidR="004A4A2B" w:rsidRPr="00242020" w:rsidRDefault="004A4A2B" w:rsidP="004A4A2B">
      <w:pPr>
        <w:jc w:val="both"/>
        <w:rPr>
          <w:rFonts w:eastAsia="Times New Roman" w:cs="Times New Roman"/>
          <w:bCs/>
          <w:szCs w:val="28"/>
          <w:lang w:eastAsia="ru-RU"/>
        </w:rPr>
      </w:pPr>
      <w:r w:rsidRPr="00242020">
        <w:rPr>
          <w:rFonts w:eastAsia="Times New Roman" w:cs="Times New Roman"/>
          <w:bCs/>
          <w:szCs w:val="28"/>
          <w:lang w:eastAsia="ru-RU"/>
        </w:rPr>
        <w:t>Крім того, начальнику Регіонального відділення Фонду по Одеській області було доручено невідкладно вжити вичерпних та дієвих заходів щодо збереження вказаного державного майна. З метою виконання цього доручення Регіональним відділенням Фонду по Одеській області укладено договір з охорони території бази відпочинку з ліцензійною охоронною структурою.</w:t>
      </w:r>
    </w:p>
    <w:p w:rsidR="004A4A2B" w:rsidRPr="00242020" w:rsidRDefault="004A4A2B" w:rsidP="004A4A2B">
      <w:pPr>
        <w:jc w:val="both"/>
        <w:rPr>
          <w:rFonts w:eastAsia="Times New Roman" w:cs="Times New Roman"/>
          <w:bCs/>
          <w:szCs w:val="28"/>
          <w:lang w:eastAsia="ru-RU"/>
        </w:rPr>
      </w:pPr>
      <w:r w:rsidRPr="00242020">
        <w:rPr>
          <w:rFonts w:eastAsia="Times New Roman" w:cs="Times New Roman"/>
          <w:bCs/>
          <w:szCs w:val="28"/>
          <w:lang w:eastAsia="ru-RU"/>
        </w:rPr>
        <w:t>Окрім цього, питання щодо витребування зазначеного майна з чужого незаконного володіння на сьогодні є предметом судового розгляду.</w:t>
      </w:r>
    </w:p>
    <w:p w:rsidR="004A4A2B" w:rsidRPr="00242020" w:rsidRDefault="004A4A2B" w:rsidP="004A4A2B">
      <w:pPr>
        <w:jc w:val="both"/>
        <w:rPr>
          <w:rFonts w:eastAsia="Times New Roman" w:cs="Times New Roman"/>
          <w:szCs w:val="28"/>
          <w:lang w:eastAsia="ru-RU"/>
        </w:rPr>
      </w:pPr>
      <w:r w:rsidRPr="00242020">
        <w:rPr>
          <w:rFonts w:eastAsia="Times New Roman" w:cs="Times New Roman"/>
          <w:szCs w:val="28"/>
          <w:lang w:eastAsia="ru-RU"/>
        </w:rPr>
        <w:t xml:space="preserve">На виконання постанови Вищого господарського суду України від 04.08.2015 у справі № 9/17-4528-2011 </w:t>
      </w:r>
      <w:r w:rsidRPr="00242020">
        <w:rPr>
          <w:rFonts w:eastAsia="Times New Roman" w:cs="Times New Roman"/>
          <w:color w:val="000000"/>
          <w:szCs w:val="28"/>
          <w:lang w:eastAsia="ru-RU"/>
        </w:rPr>
        <w:t>за участю представника Регіонального відділення Фонду</w:t>
      </w:r>
      <w:r w:rsidRPr="00242020">
        <w:rPr>
          <w:rFonts w:eastAsia="Times New Roman" w:cs="Times New Roman"/>
          <w:szCs w:val="28"/>
          <w:lang w:eastAsia="ru-RU"/>
        </w:rPr>
        <w:t xml:space="preserve"> по Одеській області 10 березня 2016 року проведено вилучення </w:t>
      </w:r>
      <w:r w:rsidRPr="00242020">
        <w:rPr>
          <w:rFonts w:eastAsia="Times New Roman" w:cs="Times New Roman"/>
          <w:color w:val="000000"/>
          <w:szCs w:val="28"/>
          <w:lang w:eastAsia="ru-RU"/>
        </w:rPr>
        <w:t xml:space="preserve">у боржника майна </w:t>
      </w:r>
      <w:r w:rsidRPr="00242020">
        <w:rPr>
          <w:rFonts w:eastAsia="Times New Roman" w:cs="Times New Roman"/>
          <w:szCs w:val="28"/>
          <w:lang w:eastAsia="ru-RU"/>
        </w:rPr>
        <w:t xml:space="preserve">дитячого оздоровчого табору «Сонячний» </w:t>
      </w:r>
      <w:r w:rsidRPr="00242020">
        <w:rPr>
          <w:rFonts w:eastAsia="Times New Roman" w:cs="Times New Roman"/>
          <w:szCs w:val="28"/>
          <w:lang w:eastAsia="ru-RU"/>
        </w:rPr>
        <w:lastRenderedPageBreak/>
        <w:t>(</w:t>
      </w:r>
      <w:proofErr w:type="spellStart"/>
      <w:r w:rsidRPr="00242020">
        <w:rPr>
          <w:rFonts w:eastAsia="Times New Roman" w:cs="Times New Roman"/>
          <w:szCs w:val="28"/>
          <w:lang w:eastAsia="ru-RU"/>
        </w:rPr>
        <w:t>смт</w:t>
      </w:r>
      <w:proofErr w:type="spellEnd"/>
      <w:r w:rsidRPr="00242020">
        <w:rPr>
          <w:rFonts w:eastAsia="Times New Roman" w:cs="Times New Roman"/>
          <w:szCs w:val="28"/>
          <w:lang w:eastAsia="ru-RU"/>
        </w:rPr>
        <w:t> </w:t>
      </w:r>
      <w:proofErr w:type="spellStart"/>
      <w:r w:rsidRPr="00242020">
        <w:rPr>
          <w:rFonts w:eastAsia="Times New Roman" w:cs="Times New Roman"/>
          <w:szCs w:val="28"/>
          <w:lang w:eastAsia="ru-RU"/>
        </w:rPr>
        <w:t>Сергіївка</w:t>
      </w:r>
      <w:proofErr w:type="spellEnd"/>
      <w:r w:rsidRPr="00242020">
        <w:rPr>
          <w:rFonts w:eastAsia="Times New Roman" w:cs="Times New Roman"/>
          <w:szCs w:val="28"/>
          <w:lang w:eastAsia="ru-RU"/>
        </w:rPr>
        <w:t>, м. Білгород-Дністровський, Одеська область).</w:t>
      </w:r>
    </w:p>
    <w:p w:rsidR="004A4A2B" w:rsidRPr="00242020" w:rsidRDefault="004A4A2B" w:rsidP="004A4A2B">
      <w:pPr>
        <w:widowControl/>
        <w:jc w:val="both"/>
        <w:rPr>
          <w:rFonts w:eastAsia="Times New Roman" w:cs="Times New Roman"/>
          <w:color w:val="000000"/>
          <w:szCs w:val="28"/>
          <w:lang w:eastAsia="ru-RU"/>
        </w:rPr>
      </w:pPr>
      <w:r w:rsidRPr="00242020">
        <w:rPr>
          <w:rFonts w:eastAsia="Times New Roman" w:cs="Times New Roman"/>
          <w:color w:val="000000"/>
          <w:szCs w:val="28"/>
          <w:lang w:eastAsia="ru-RU"/>
        </w:rPr>
        <w:t>На виконання доручення Фонду Регіональним відділенням Фонду по Одеській області було вжито відповідні заходи щодо державної реєстрації права власності на цілісний майновий комплекс дитячого табору за державою в особі Фонду.</w:t>
      </w:r>
    </w:p>
    <w:p w:rsidR="004A4A2B" w:rsidRPr="00242020" w:rsidRDefault="004A4A2B" w:rsidP="004A4A2B">
      <w:pPr>
        <w:jc w:val="both"/>
        <w:rPr>
          <w:rFonts w:eastAsia="Times New Roman" w:cs="Times New Roman"/>
          <w:szCs w:val="28"/>
          <w:lang w:eastAsia="ru-RU"/>
        </w:rPr>
      </w:pPr>
      <w:r w:rsidRPr="00242020">
        <w:rPr>
          <w:rFonts w:eastAsia="Times New Roman" w:cs="Times New Roman"/>
          <w:szCs w:val="28"/>
          <w:lang w:eastAsia="ru-RU"/>
        </w:rPr>
        <w:t>Фондом протягом звітного періоду підготовлено та надано відповідним органам влади та адвокатській компанії «Полонський і партнери» інформацію стосовно майнової належності мостового переходу «</w:t>
      </w:r>
      <w:proofErr w:type="spellStart"/>
      <w:r w:rsidRPr="00242020">
        <w:rPr>
          <w:rFonts w:eastAsia="Times New Roman" w:cs="Times New Roman"/>
          <w:szCs w:val="28"/>
          <w:lang w:eastAsia="ru-RU"/>
        </w:rPr>
        <w:t>Бронниця-Унгурь</w:t>
      </w:r>
      <w:proofErr w:type="spellEnd"/>
      <w:r w:rsidRPr="00242020">
        <w:rPr>
          <w:rFonts w:eastAsia="Times New Roman" w:cs="Times New Roman"/>
          <w:szCs w:val="28"/>
          <w:lang w:eastAsia="ru-RU"/>
        </w:rPr>
        <w:t>» на українсько-молдовському кордоні, очисних споруд м. Сороки (Республіка Молдова), корпусу № 1 пансіонату «Лазурний берег» та корпусу № 2 пансіонату «</w:t>
      </w:r>
      <w:proofErr w:type="spellStart"/>
      <w:r w:rsidRPr="00242020">
        <w:rPr>
          <w:rFonts w:eastAsia="Times New Roman" w:cs="Times New Roman"/>
          <w:szCs w:val="28"/>
          <w:lang w:eastAsia="ru-RU"/>
        </w:rPr>
        <w:t>Волна</w:t>
      </w:r>
      <w:proofErr w:type="spellEnd"/>
      <w:r w:rsidRPr="00242020">
        <w:rPr>
          <w:rFonts w:eastAsia="Times New Roman" w:cs="Times New Roman"/>
          <w:szCs w:val="28"/>
          <w:lang w:eastAsia="ru-RU"/>
        </w:rPr>
        <w:t>», на які претендує Республіка Молдова відповідно до Угоди від 11 серпня 1994 року.</w:t>
      </w:r>
    </w:p>
    <w:p w:rsidR="004A4A2B" w:rsidRPr="00242020" w:rsidRDefault="004A4A2B" w:rsidP="004A4A2B">
      <w:pPr>
        <w:jc w:val="both"/>
        <w:rPr>
          <w:rFonts w:eastAsia="Times New Roman" w:cs="Times New Roman"/>
          <w:sz w:val="16"/>
          <w:szCs w:val="16"/>
          <w:highlight w:val="cyan"/>
          <w:lang w:eastAsia="ru-RU"/>
        </w:rPr>
      </w:pPr>
    </w:p>
    <w:p w:rsidR="004A4A2B" w:rsidRPr="00242020" w:rsidRDefault="004A4A2B" w:rsidP="004A4A2B">
      <w:pPr>
        <w:jc w:val="both"/>
        <w:rPr>
          <w:rFonts w:eastAsia="Times New Roman" w:cs="Times New Roman"/>
          <w:szCs w:val="28"/>
          <w:lang w:eastAsia="ru-RU"/>
        </w:rPr>
      </w:pPr>
      <w:r w:rsidRPr="00242020">
        <w:rPr>
          <w:rFonts w:eastAsia="Times New Roman" w:cs="Times New Roman"/>
          <w:szCs w:val="28"/>
          <w:lang w:eastAsia="ru-RU"/>
        </w:rPr>
        <w:t xml:space="preserve">З метою врегулювання питання щодо об’єктів залізничного транспорту на дільниці </w:t>
      </w:r>
      <w:proofErr w:type="spellStart"/>
      <w:r w:rsidRPr="00242020">
        <w:rPr>
          <w:rFonts w:eastAsia="Times New Roman" w:cs="Times New Roman"/>
          <w:szCs w:val="28"/>
          <w:lang w:eastAsia="ru-RU"/>
        </w:rPr>
        <w:t>Розсош-Чорткове-Міллєрове</w:t>
      </w:r>
      <w:proofErr w:type="spellEnd"/>
      <w:r w:rsidRPr="00242020">
        <w:rPr>
          <w:rFonts w:eastAsia="Times New Roman" w:cs="Times New Roman"/>
          <w:szCs w:val="28"/>
          <w:lang w:eastAsia="ru-RU"/>
        </w:rPr>
        <w:t xml:space="preserve"> (Луганська область) та внесення відповідних пропозицій на розгляд Кабінету Міністрів України 18 лютого та 02 червня 2016 року у Фонді проведено міжвідомчі наради, на яких обговорено подальші заходи української сторони, зважаючи на поточний стан двосторонніх відносин з Російською Федерацією (РФ) та встановлення спеціальних економічних та інших обмежувальних заходів (санкцій), зокрема, до резидентів РФ та осіб, які прямо чи опосередковано контролюються резидентами РФ або діють в їх інтересах, відповідно до Закону України «Про санкції», розпорядження Кабінету Міністрів України від 11 вересня 2014 року № 829-р «Про пропозиції щодо застосування персональних спеціальних економічних та інших обмежувальних заходів», розпорядження Кабінету Міністрів України від 12 серпня 2015 року № 808-р «Про розширення пропозицій щодо застосування персональних спеціальних економічних та інших обмежувальних заходів» та Указу Президента України від 16 вересня 2015 року № 549/2015 «Про рішення Ради національної безпеки і оборони України від 2 вересня 2015 року «Про застосування персональних спеціальних економічних та інших обмежувальних заходів (санкцій)».</w:t>
      </w:r>
    </w:p>
    <w:p w:rsidR="004A4A2B" w:rsidRPr="00242020" w:rsidRDefault="004A4A2B" w:rsidP="004A4A2B">
      <w:pPr>
        <w:ind w:firstLine="708"/>
        <w:jc w:val="both"/>
        <w:rPr>
          <w:rFonts w:eastAsia="Times New Roman" w:cs="Times New Roman"/>
          <w:szCs w:val="28"/>
          <w:lang w:eastAsia="ru-RU"/>
        </w:rPr>
      </w:pPr>
      <w:r w:rsidRPr="00242020">
        <w:rPr>
          <w:rFonts w:eastAsia="Times New Roman" w:cs="Times New Roman"/>
          <w:szCs w:val="28"/>
          <w:lang w:eastAsia="ru-RU"/>
        </w:rPr>
        <w:t>Фондом опрацьовано звернення ВАТ «</w:t>
      </w:r>
      <w:proofErr w:type="spellStart"/>
      <w:r w:rsidRPr="00242020">
        <w:rPr>
          <w:rFonts w:eastAsia="Times New Roman" w:cs="Times New Roman"/>
          <w:szCs w:val="28"/>
          <w:lang w:eastAsia="ru-RU"/>
        </w:rPr>
        <w:t>Трансаміак</w:t>
      </w:r>
      <w:proofErr w:type="spellEnd"/>
      <w:r w:rsidRPr="00242020">
        <w:rPr>
          <w:rFonts w:eastAsia="Times New Roman" w:cs="Times New Roman"/>
          <w:szCs w:val="28"/>
          <w:lang w:eastAsia="ru-RU"/>
        </w:rPr>
        <w:t>» (м. </w:t>
      </w:r>
      <w:proofErr w:type="spellStart"/>
      <w:r w:rsidRPr="00242020">
        <w:rPr>
          <w:rFonts w:eastAsia="Times New Roman" w:cs="Times New Roman"/>
          <w:szCs w:val="28"/>
          <w:lang w:eastAsia="ru-RU"/>
        </w:rPr>
        <w:t>Тольятті</w:t>
      </w:r>
      <w:proofErr w:type="spellEnd"/>
      <w:r w:rsidRPr="00242020">
        <w:rPr>
          <w:rFonts w:eastAsia="Times New Roman" w:cs="Times New Roman"/>
          <w:szCs w:val="28"/>
          <w:lang w:eastAsia="ru-RU"/>
        </w:rPr>
        <w:t>, РФ) про передачу у власність України лінійної дільниці магістрального аміакопроводу «</w:t>
      </w:r>
      <w:proofErr w:type="spellStart"/>
      <w:r w:rsidRPr="00242020">
        <w:rPr>
          <w:rFonts w:eastAsia="Times New Roman" w:cs="Times New Roman"/>
          <w:szCs w:val="28"/>
          <w:lang w:eastAsia="ru-RU"/>
        </w:rPr>
        <w:t>Тольятті</w:t>
      </w:r>
      <w:proofErr w:type="spellEnd"/>
      <w:r w:rsidRPr="00242020">
        <w:rPr>
          <w:rFonts w:eastAsia="Times New Roman" w:cs="Times New Roman"/>
          <w:szCs w:val="28"/>
          <w:lang w:eastAsia="ru-RU"/>
        </w:rPr>
        <w:t xml:space="preserve"> – Одеса», що проходить територією Луганської області. За результатами участі у міжвідомчій нараді </w:t>
      </w:r>
      <w:proofErr w:type="spellStart"/>
      <w:r w:rsidRPr="006129B8">
        <w:rPr>
          <w:rFonts w:eastAsia="Times New Roman" w:cs="Times New Roman"/>
          <w:szCs w:val="28"/>
          <w:lang w:eastAsia="ru-RU"/>
        </w:rPr>
        <w:t>Мінекономрозвитку</w:t>
      </w:r>
      <w:proofErr w:type="spellEnd"/>
      <w:r w:rsidRPr="00242020">
        <w:rPr>
          <w:rFonts w:eastAsia="Times New Roman" w:cs="Times New Roman"/>
          <w:szCs w:val="28"/>
          <w:lang w:eastAsia="ru-RU"/>
        </w:rPr>
        <w:t xml:space="preserve"> направлено відповідні пропозиції.</w:t>
      </w:r>
    </w:p>
    <w:p w:rsidR="004A4A2B" w:rsidRPr="00242020" w:rsidRDefault="004A4A2B" w:rsidP="004A4A2B">
      <w:pPr>
        <w:ind w:firstLine="708"/>
        <w:jc w:val="both"/>
        <w:rPr>
          <w:rFonts w:eastAsia="Times New Roman" w:cs="Times New Roman"/>
          <w:szCs w:val="28"/>
          <w:lang w:eastAsia="ru-RU"/>
        </w:rPr>
      </w:pPr>
      <w:r w:rsidRPr="00242020">
        <w:rPr>
          <w:rFonts w:eastAsia="Times New Roman" w:cs="Times New Roman"/>
          <w:szCs w:val="28"/>
          <w:lang w:eastAsia="ru-RU"/>
        </w:rPr>
        <w:t xml:space="preserve">З метою підготовки 24 засідання Міжурядової українсько-білоруської комісії з питань торговельно-економічного співробітництва Фондом підготовлено та надано </w:t>
      </w:r>
      <w:proofErr w:type="spellStart"/>
      <w:r w:rsidRPr="006129B8">
        <w:rPr>
          <w:rFonts w:eastAsia="Times New Roman" w:cs="Times New Roman"/>
          <w:szCs w:val="28"/>
          <w:lang w:eastAsia="ru-RU"/>
        </w:rPr>
        <w:t>Мінекономрозвитку</w:t>
      </w:r>
      <w:proofErr w:type="spellEnd"/>
      <w:r w:rsidRPr="00242020">
        <w:rPr>
          <w:rFonts w:eastAsia="Times New Roman" w:cs="Times New Roman"/>
          <w:szCs w:val="28"/>
          <w:lang w:eastAsia="ru-RU"/>
        </w:rPr>
        <w:t xml:space="preserve"> інформаційно-аналітичну довідку з питання реалізації Угоди між Україною та Республікою Білорусь про взаємне визнання прав та регулювання відносин від 22 січня 1993 року. </w:t>
      </w:r>
    </w:p>
    <w:p w:rsidR="004A4A2B" w:rsidRPr="00242020" w:rsidRDefault="004A4A2B" w:rsidP="004A4A2B">
      <w:pPr>
        <w:ind w:firstLine="708"/>
        <w:jc w:val="both"/>
        <w:rPr>
          <w:rFonts w:eastAsia="Times New Roman" w:cs="Times New Roman"/>
          <w:szCs w:val="28"/>
          <w:lang w:eastAsia="ru-RU"/>
        </w:rPr>
      </w:pPr>
      <w:r w:rsidRPr="00242020">
        <w:rPr>
          <w:rFonts w:eastAsia="Times New Roman" w:cs="Times New Roman"/>
          <w:szCs w:val="28"/>
          <w:lang w:eastAsia="ru-RU"/>
        </w:rPr>
        <w:t>Також Фондом проведено роботу стосовно захисту майнових інтересів держави у таких товариствах:</w:t>
      </w:r>
    </w:p>
    <w:p w:rsidR="004A4A2B" w:rsidRPr="00242020" w:rsidRDefault="004A4A2B" w:rsidP="00033D7B">
      <w:pPr>
        <w:spacing w:line="230" w:lineRule="auto"/>
        <w:ind w:firstLine="0"/>
        <w:jc w:val="center"/>
        <w:rPr>
          <w:rFonts w:eastAsia="Times New Roman" w:cs="Times New Roman"/>
          <w:i/>
          <w:szCs w:val="28"/>
          <w:lang w:eastAsia="ru-RU"/>
        </w:rPr>
      </w:pPr>
      <w:r w:rsidRPr="00242020">
        <w:rPr>
          <w:rFonts w:eastAsia="Times New Roman" w:cs="Times New Roman"/>
          <w:i/>
          <w:szCs w:val="28"/>
          <w:lang w:eastAsia="ru-RU"/>
        </w:rPr>
        <w:t>ТОВ «</w:t>
      </w:r>
      <w:proofErr w:type="spellStart"/>
      <w:r w:rsidRPr="00242020">
        <w:rPr>
          <w:rFonts w:eastAsia="Times New Roman" w:cs="Times New Roman"/>
          <w:i/>
          <w:szCs w:val="28"/>
          <w:lang w:eastAsia="ru-RU"/>
        </w:rPr>
        <w:t>Брайтшпур</w:t>
      </w:r>
      <w:proofErr w:type="spellEnd"/>
      <w:r w:rsidRPr="00242020">
        <w:rPr>
          <w:rFonts w:eastAsia="Times New Roman" w:cs="Times New Roman"/>
          <w:i/>
          <w:szCs w:val="28"/>
          <w:lang w:eastAsia="ru-RU"/>
        </w:rPr>
        <w:t xml:space="preserve"> </w:t>
      </w:r>
      <w:proofErr w:type="spellStart"/>
      <w:r w:rsidRPr="00242020">
        <w:rPr>
          <w:rFonts w:eastAsia="Times New Roman" w:cs="Times New Roman"/>
          <w:i/>
          <w:szCs w:val="28"/>
          <w:lang w:eastAsia="ru-RU"/>
        </w:rPr>
        <w:t>Планунгсгезельшафт</w:t>
      </w:r>
      <w:proofErr w:type="spellEnd"/>
      <w:r w:rsidRPr="00242020">
        <w:rPr>
          <w:rFonts w:eastAsia="Times New Roman" w:cs="Times New Roman"/>
          <w:i/>
          <w:szCs w:val="28"/>
          <w:lang w:eastAsia="ru-RU"/>
        </w:rPr>
        <w:t xml:space="preserve"> </w:t>
      </w:r>
      <w:proofErr w:type="spellStart"/>
      <w:r w:rsidRPr="00242020">
        <w:rPr>
          <w:rFonts w:eastAsia="Times New Roman" w:cs="Times New Roman"/>
          <w:i/>
          <w:szCs w:val="28"/>
          <w:lang w:eastAsia="ru-RU"/>
        </w:rPr>
        <w:t>мбХ</w:t>
      </w:r>
      <w:proofErr w:type="spellEnd"/>
      <w:r w:rsidRPr="00242020">
        <w:rPr>
          <w:rFonts w:eastAsia="Times New Roman" w:cs="Times New Roman"/>
          <w:i/>
          <w:szCs w:val="28"/>
          <w:lang w:eastAsia="ru-RU"/>
        </w:rPr>
        <w:t>»</w:t>
      </w:r>
    </w:p>
    <w:p w:rsidR="004A4A2B" w:rsidRPr="00242020" w:rsidRDefault="004A4A2B" w:rsidP="00A2497A">
      <w:pPr>
        <w:spacing w:line="230" w:lineRule="auto"/>
        <w:jc w:val="both"/>
        <w:rPr>
          <w:rFonts w:eastAsia="Times New Roman" w:cs="Times New Roman"/>
          <w:szCs w:val="28"/>
          <w:lang w:eastAsia="ru-RU"/>
        </w:rPr>
      </w:pPr>
      <w:r w:rsidRPr="00242020">
        <w:rPr>
          <w:rFonts w:eastAsia="Times New Roman" w:cs="Times New Roman"/>
          <w:szCs w:val="28"/>
          <w:lang w:eastAsia="ru-RU"/>
        </w:rPr>
        <w:t xml:space="preserve">Фондом разом з ПАТ «Українська залізниця» забезпечено реалізацію </w:t>
      </w:r>
      <w:r w:rsidRPr="00242020">
        <w:rPr>
          <w:rFonts w:eastAsia="Times New Roman" w:cs="Times New Roman"/>
          <w:szCs w:val="28"/>
          <w:lang w:eastAsia="ru-RU"/>
        </w:rPr>
        <w:lastRenderedPageBreak/>
        <w:t>передбаченого Угодою виключного права Фонду або ПАТ «Українська залізниця» як його наступника на сплату додаткового вкладу до капіталу ТОВ «</w:t>
      </w:r>
      <w:proofErr w:type="spellStart"/>
      <w:r w:rsidRPr="00242020">
        <w:rPr>
          <w:rFonts w:eastAsia="Times New Roman" w:cs="Times New Roman"/>
          <w:szCs w:val="28"/>
          <w:lang w:eastAsia="ru-RU"/>
        </w:rPr>
        <w:t>Брайтшпур</w:t>
      </w:r>
      <w:proofErr w:type="spellEnd"/>
      <w:r w:rsidRPr="00242020">
        <w:rPr>
          <w:rFonts w:eastAsia="Times New Roman" w:cs="Times New Roman"/>
          <w:szCs w:val="28"/>
          <w:lang w:eastAsia="ru-RU"/>
        </w:rPr>
        <w:t xml:space="preserve"> </w:t>
      </w:r>
      <w:proofErr w:type="spellStart"/>
      <w:r w:rsidRPr="00242020">
        <w:rPr>
          <w:rFonts w:eastAsia="Times New Roman" w:cs="Times New Roman"/>
          <w:szCs w:val="28"/>
          <w:lang w:eastAsia="ru-RU"/>
        </w:rPr>
        <w:t>Планунгсгезельшафт</w:t>
      </w:r>
      <w:proofErr w:type="spellEnd"/>
      <w:r w:rsidRPr="00242020">
        <w:rPr>
          <w:rFonts w:eastAsia="Times New Roman" w:cs="Times New Roman"/>
          <w:szCs w:val="28"/>
          <w:lang w:eastAsia="ru-RU"/>
        </w:rPr>
        <w:t xml:space="preserve"> </w:t>
      </w:r>
      <w:proofErr w:type="spellStart"/>
      <w:r w:rsidRPr="00242020">
        <w:rPr>
          <w:rFonts w:eastAsia="Times New Roman" w:cs="Times New Roman"/>
          <w:szCs w:val="28"/>
          <w:lang w:eastAsia="ru-RU"/>
        </w:rPr>
        <w:t>мбХ</w:t>
      </w:r>
      <w:proofErr w:type="spellEnd"/>
      <w:r w:rsidRPr="00242020">
        <w:rPr>
          <w:rFonts w:eastAsia="Times New Roman" w:cs="Times New Roman"/>
          <w:szCs w:val="28"/>
          <w:lang w:eastAsia="ru-RU"/>
        </w:rPr>
        <w:t xml:space="preserve">» грошових коштів у сумі 1,5 </w:t>
      </w:r>
      <w:proofErr w:type="spellStart"/>
      <w:r w:rsidRPr="00242020">
        <w:rPr>
          <w:rFonts w:eastAsia="Times New Roman" w:cs="Times New Roman"/>
          <w:szCs w:val="28"/>
          <w:lang w:eastAsia="ru-RU"/>
        </w:rPr>
        <w:t>млн</w:t>
      </w:r>
      <w:proofErr w:type="spellEnd"/>
      <w:r w:rsidRPr="00242020">
        <w:rPr>
          <w:rFonts w:eastAsia="Times New Roman" w:cs="Times New Roman"/>
          <w:szCs w:val="28"/>
          <w:lang w:eastAsia="ru-RU"/>
        </w:rPr>
        <w:t xml:space="preserve"> євро, внаслідок чого розмір належної українській стороні частки у капіталі цього товариства відновлений до паритетного з іншими учасниками рівня 25 %.</w:t>
      </w:r>
    </w:p>
    <w:p w:rsidR="004A4A2B" w:rsidRPr="00242020" w:rsidRDefault="004A4A2B" w:rsidP="00033D7B">
      <w:pPr>
        <w:widowControl/>
        <w:spacing w:line="230" w:lineRule="auto"/>
        <w:ind w:firstLine="708"/>
        <w:jc w:val="both"/>
        <w:rPr>
          <w:rFonts w:eastAsia="Times New Roman" w:cs="Times New Roman"/>
          <w:szCs w:val="28"/>
          <w:lang w:eastAsia="ru-RU"/>
        </w:rPr>
      </w:pPr>
      <w:r w:rsidRPr="00242020">
        <w:rPr>
          <w:rFonts w:eastAsia="Times New Roman" w:cs="Times New Roman"/>
          <w:szCs w:val="28"/>
          <w:lang w:eastAsia="ru-RU"/>
        </w:rPr>
        <w:t>Під час позачергового засідання загальних зборів учасників товариства, яке відбулося 08.09.2016, було ухвалено рішення про збільшення статутного капіталу до 12 100 000.00 євро шляхом участі ПАТ «Українська залізниця» в якості нового учасника;</w:t>
      </w:r>
    </w:p>
    <w:p w:rsidR="004A4A2B" w:rsidRPr="00242020" w:rsidRDefault="004A4A2B" w:rsidP="00033D7B">
      <w:pPr>
        <w:spacing w:line="230" w:lineRule="auto"/>
        <w:ind w:firstLine="0"/>
        <w:jc w:val="center"/>
        <w:rPr>
          <w:rFonts w:eastAsia="Times New Roman" w:cs="Times New Roman"/>
          <w:i/>
          <w:szCs w:val="28"/>
          <w:lang w:eastAsia="ru-RU"/>
        </w:rPr>
      </w:pPr>
      <w:proofErr w:type="spellStart"/>
      <w:r w:rsidRPr="00242020">
        <w:rPr>
          <w:rFonts w:eastAsia="Times New Roman" w:cs="Times New Roman"/>
          <w:i/>
          <w:szCs w:val="28"/>
          <w:lang w:eastAsia="ru-RU"/>
        </w:rPr>
        <w:t>Бінаціональній</w:t>
      </w:r>
      <w:proofErr w:type="spellEnd"/>
      <w:r w:rsidRPr="00242020">
        <w:rPr>
          <w:rFonts w:eastAsia="Times New Roman" w:cs="Times New Roman"/>
          <w:i/>
          <w:szCs w:val="28"/>
          <w:lang w:eastAsia="ru-RU"/>
        </w:rPr>
        <w:t xml:space="preserve"> компанії «</w:t>
      </w:r>
      <w:proofErr w:type="spellStart"/>
      <w:r w:rsidRPr="00242020">
        <w:rPr>
          <w:rFonts w:eastAsia="Times New Roman" w:cs="Times New Roman"/>
          <w:i/>
          <w:szCs w:val="28"/>
          <w:lang w:eastAsia="ru-RU"/>
        </w:rPr>
        <w:t>Алкантара</w:t>
      </w:r>
      <w:proofErr w:type="spellEnd"/>
      <w:r w:rsidRPr="00242020">
        <w:rPr>
          <w:rFonts w:eastAsia="Times New Roman" w:cs="Times New Roman"/>
          <w:i/>
          <w:szCs w:val="28"/>
          <w:lang w:eastAsia="ru-RU"/>
        </w:rPr>
        <w:t xml:space="preserve"> Циклон </w:t>
      </w:r>
      <w:proofErr w:type="spellStart"/>
      <w:r w:rsidRPr="00242020">
        <w:rPr>
          <w:rFonts w:eastAsia="Times New Roman" w:cs="Times New Roman"/>
          <w:i/>
          <w:szCs w:val="28"/>
          <w:lang w:eastAsia="ru-RU"/>
        </w:rPr>
        <w:t>Спейс</w:t>
      </w:r>
      <w:proofErr w:type="spellEnd"/>
      <w:r w:rsidRPr="00242020">
        <w:rPr>
          <w:rFonts w:eastAsia="Times New Roman" w:cs="Times New Roman"/>
          <w:i/>
          <w:szCs w:val="28"/>
          <w:lang w:eastAsia="ru-RU"/>
        </w:rPr>
        <w:t>»</w:t>
      </w:r>
    </w:p>
    <w:p w:rsidR="004A4A2B" w:rsidRPr="00242020" w:rsidRDefault="004A4A2B" w:rsidP="00033D7B">
      <w:pPr>
        <w:widowControl/>
        <w:spacing w:line="230" w:lineRule="auto"/>
        <w:ind w:firstLine="708"/>
        <w:jc w:val="both"/>
        <w:rPr>
          <w:rFonts w:eastAsia="Times New Roman" w:cs="Times New Roman"/>
          <w:szCs w:val="28"/>
          <w:lang w:eastAsia="ru-RU"/>
        </w:rPr>
      </w:pPr>
      <w:r w:rsidRPr="00242020">
        <w:rPr>
          <w:rFonts w:eastAsia="Times New Roman" w:cs="Times New Roman"/>
          <w:szCs w:val="28"/>
          <w:lang w:eastAsia="ru-RU"/>
        </w:rPr>
        <w:t xml:space="preserve">Забезпечено представництво держави на 9-му позачерговому засіданні Ради директорів </w:t>
      </w:r>
      <w:proofErr w:type="spellStart"/>
      <w:r w:rsidRPr="00242020">
        <w:rPr>
          <w:rFonts w:eastAsia="Times New Roman" w:cs="Times New Roman"/>
          <w:szCs w:val="28"/>
          <w:lang w:eastAsia="ru-RU"/>
        </w:rPr>
        <w:t>бінаціональної</w:t>
      </w:r>
      <w:proofErr w:type="spellEnd"/>
      <w:r w:rsidRPr="00242020">
        <w:rPr>
          <w:rFonts w:eastAsia="Times New Roman" w:cs="Times New Roman"/>
          <w:szCs w:val="28"/>
          <w:lang w:eastAsia="ru-RU"/>
        </w:rPr>
        <w:t xml:space="preserve"> компанії «</w:t>
      </w:r>
      <w:proofErr w:type="spellStart"/>
      <w:r w:rsidRPr="00242020">
        <w:rPr>
          <w:rFonts w:eastAsia="Times New Roman" w:cs="Times New Roman"/>
          <w:szCs w:val="28"/>
          <w:lang w:eastAsia="ru-RU"/>
        </w:rPr>
        <w:t>Алкантара</w:t>
      </w:r>
      <w:proofErr w:type="spellEnd"/>
      <w:r w:rsidRPr="00242020">
        <w:rPr>
          <w:rFonts w:eastAsia="Times New Roman" w:cs="Times New Roman"/>
          <w:szCs w:val="28"/>
          <w:lang w:eastAsia="ru-RU"/>
        </w:rPr>
        <w:t xml:space="preserve"> Циклон </w:t>
      </w:r>
      <w:proofErr w:type="spellStart"/>
      <w:r w:rsidRPr="00242020">
        <w:rPr>
          <w:rFonts w:eastAsia="Times New Roman" w:cs="Times New Roman"/>
          <w:szCs w:val="28"/>
          <w:lang w:eastAsia="ru-RU"/>
        </w:rPr>
        <w:t>Спейс</w:t>
      </w:r>
      <w:proofErr w:type="spellEnd"/>
      <w:r w:rsidRPr="00242020">
        <w:rPr>
          <w:rFonts w:eastAsia="Times New Roman" w:cs="Times New Roman"/>
          <w:szCs w:val="28"/>
          <w:lang w:eastAsia="ru-RU"/>
        </w:rPr>
        <w:t>».</w:t>
      </w:r>
    </w:p>
    <w:p w:rsidR="004A4A2B" w:rsidRPr="00242020" w:rsidRDefault="004A4A2B" w:rsidP="00033D7B">
      <w:pPr>
        <w:widowControl/>
        <w:spacing w:line="230" w:lineRule="auto"/>
        <w:jc w:val="both"/>
        <w:rPr>
          <w:rFonts w:eastAsia="Times New Roman" w:cs="Times New Roman"/>
          <w:szCs w:val="28"/>
          <w:lang w:eastAsia="ru-RU"/>
        </w:rPr>
      </w:pPr>
      <w:r w:rsidRPr="00242020">
        <w:rPr>
          <w:rFonts w:eastAsia="Times New Roman" w:cs="Times New Roman"/>
          <w:szCs w:val="28"/>
          <w:lang w:eastAsia="ru-RU"/>
        </w:rPr>
        <w:t>Крім того, Фонд взяв участь в опрацюванні проектів Закону України «Про особливості корпоратизації підприємств, які належать до сфери управління центрального органу виконавчої влади, що формує та реалізує державну політику у сфері космічної діяльності», розпорядження Кабінету Міністрів України «Про заходи щодо космічного ракетного комплексу «Циклон-4».</w:t>
      </w:r>
    </w:p>
    <w:p w:rsidR="004A4A2B" w:rsidRPr="00242020" w:rsidRDefault="004A4A2B" w:rsidP="00033D7B">
      <w:pPr>
        <w:widowControl/>
        <w:spacing w:line="230" w:lineRule="auto"/>
        <w:ind w:firstLine="708"/>
        <w:jc w:val="both"/>
        <w:rPr>
          <w:rFonts w:eastAsia="Times New Roman" w:cs="Times New Roman"/>
          <w:szCs w:val="28"/>
          <w:lang w:eastAsia="ru-RU"/>
        </w:rPr>
      </w:pPr>
      <w:r w:rsidRPr="00242020">
        <w:rPr>
          <w:rFonts w:eastAsia="Times New Roman" w:cs="Times New Roman"/>
          <w:szCs w:val="28"/>
          <w:lang w:eastAsia="ru-RU"/>
        </w:rPr>
        <w:t xml:space="preserve">У робочому порядку опрацьовано регламент ліквідаційної комісії </w:t>
      </w:r>
      <w:proofErr w:type="spellStart"/>
      <w:r w:rsidRPr="00242020">
        <w:rPr>
          <w:rFonts w:eastAsia="Times New Roman" w:cs="Times New Roman"/>
          <w:szCs w:val="28"/>
          <w:lang w:eastAsia="ru-RU"/>
        </w:rPr>
        <w:t>бінаціональної</w:t>
      </w:r>
      <w:proofErr w:type="spellEnd"/>
      <w:r w:rsidRPr="00242020">
        <w:rPr>
          <w:rFonts w:eastAsia="Times New Roman" w:cs="Times New Roman"/>
          <w:szCs w:val="28"/>
          <w:lang w:eastAsia="ru-RU"/>
        </w:rPr>
        <w:t xml:space="preserve"> компанії «</w:t>
      </w:r>
      <w:proofErr w:type="spellStart"/>
      <w:r w:rsidRPr="00242020">
        <w:rPr>
          <w:rFonts w:eastAsia="Times New Roman" w:cs="Times New Roman"/>
          <w:szCs w:val="28"/>
          <w:lang w:eastAsia="ru-RU"/>
        </w:rPr>
        <w:t>Алкантара</w:t>
      </w:r>
      <w:proofErr w:type="spellEnd"/>
      <w:r w:rsidRPr="00242020">
        <w:rPr>
          <w:rFonts w:eastAsia="Times New Roman" w:cs="Times New Roman"/>
          <w:szCs w:val="28"/>
          <w:lang w:eastAsia="ru-RU"/>
        </w:rPr>
        <w:t xml:space="preserve"> Циклон </w:t>
      </w:r>
      <w:proofErr w:type="spellStart"/>
      <w:r w:rsidRPr="00242020">
        <w:rPr>
          <w:rFonts w:eastAsia="Times New Roman" w:cs="Times New Roman"/>
          <w:szCs w:val="28"/>
          <w:lang w:eastAsia="ru-RU"/>
        </w:rPr>
        <w:t>Спейс</w:t>
      </w:r>
      <w:proofErr w:type="spellEnd"/>
      <w:r w:rsidRPr="00242020">
        <w:rPr>
          <w:rFonts w:eastAsia="Times New Roman" w:cs="Times New Roman"/>
          <w:szCs w:val="28"/>
          <w:lang w:eastAsia="ru-RU"/>
        </w:rPr>
        <w:t>»;</w:t>
      </w:r>
    </w:p>
    <w:p w:rsidR="004A4A2B" w:rsidRPr="00242020" w:rsidRDefault="004A4A2B" w:rsidP="00033D7B">
      <w:pPr>
        <w:spacing w:line="230" w:lineRule="auto"/>
        <w:ind w:firstLine="0"/>
        <w:jc w:val="center"/>
        <w:rPr>
          <w:rFonts w:eastAsia="Times New Roman" w:cs="Times New Roman"/>
          <w:i/>
          <w:szCs w:val="28"/>
          <w:lang w:eastAsia="ru-RU"/>
        </w:rPr>
      </w:pPr>
      <w:r w:rsidRPr="00242020">
        <w:rPr>
          <w:rFonts w:eastAsia="Times New Roman" w:cs="Times New Roman"/>
          <w:i/>
          <w:szCs w:val="28"/>
          <w:lang w:eastAsia="ru-RU"/>
        </w:rPr>
        <w:t>Криворізькому гірничо-збагачувальному комбінаті окислених руд</w:t>
      </w:r>
    </w:p>
    <w:p w:rsidR="004A4A2B" w:rsidRPr="00242020" w:rsidRDefault="004A4A2B" w:rsidP="00033D7B">
      <w:pPr>
        <w:widowControl/>
        <w:spacing w:line="230" w:lineRule="auto"/>
        <w:jc w:val="both"/>
        <w:rPr>
          <w:rFonts w:eastAsia="Times New Roman" w:cs="Times New Roman"/>
          <w:spacing w:val="-4"/>
          <w:szCs w:val="28"/>
          <w:lang w:eastAsia="ru-RU"/>
        </w:rPr>
      </w:pPr>
      <w:r w:rsidRPr="00242020">
        <w:rPr>
          <w:rFonts w:eastAsia="Times New Roman" w:cs="Times New Roman"/>
          <w:spacing w:val="-4"/>
          <w:szCs w:val="28"/>
          <w:lang w:eastAsia="ru-RU"/>
        </w:rPr>
        <w:t xml:space="preserve">Опрацьовано звернення </w:t>
      </w:r>
      <w:proofErr w:type="spellStart"/>
      <w:r w:rsidRPr="00242020">
        <w:rPr>
          <w:rFonts w:eastAsia="Times New Roman" w:cs="Times New Roman"/>
          <w:spacing w:val="-4"/>
          <w:szCs w:val="28"/>
          <w:lang w:eastAsia="ru-RU"/>
        </w:rPr>
        <w:t>Долинської</w:t>
      </w:r>
      <w:proofErr w:type="spellEnd"/>
      <w:r w:rsidRPr="00242020">
        <w:rPr>
          <w:rFonts w:eastAsia="Times New Roman" w:cs="Times New Roman"/>
          <w:spacing w:val="-4"/>
          <w:szCs w:val="28"/>
          <w:lang w:eastAsia="ru-RU"/>
        </w:rPr>
        <w:t xml:space="preserve"> міської ради Кіровоградської області про передачу у державну власність об’єктів незавершеного будівництва, витрати на будівництво яких були понесені Румунією та Словацькою Республікою.</w:t>
      </w:r>
    </w:p>
    <w:p w:rsidR="004A4A2B" w:rsidRPr="00242020" w:rsidRDefault="004A4A2B" w:rsidP="00033D7B">
      <w:pPr>
        <w:spacing w:line="230" w:lineRule="auto"/>
        <w:jc w:val="both"/>
        <w:rPr>
          <w:rFonts w:eastAsia="Times New Roman" w:cs="Times New Roman"/>
          <w:spacing w:val="-4"/>
          <w:szCs w:val="28"/>
          <w:highlight w:val="cyan"/>
          <w:lang w:eastAsia="ru-RU"/>
        </w:rPr>
      </w:pPr>
      <w:r w:rsidRPr="00242020">
        <w:rPr>
          <w:rFonts w:eastAsia="Times New Roman" w:cs="Times New Roman"/>
          <w:szCs w:val="28"/>
          <w:lang w:eastAsia="ru-RU"/>
        </w:rPr>
        <w:t xml:space="preserve">На запит </w:t>
      </w:r>
      <w:proofErr w:type="spellStart"/>
      <w:r w:rsidRPr="00242020">
        <w:rPr>
          <w:rFonts w:eastAsia="Times New Roman" w:cs="Times New Roman"/>
          <w:szCs w:val="28"/>
          <w:lang w:eastAsia="ru-RU"/>
        </w:rPr>
        <w:t>М</w:t>
      </w:r>
      <w:r w:rsidRPr="006129B8">
        <w:rPr>
          <w:rFonts w:eastAsia="Times New Roman" w:cs="Times New Roman"/>
          <w:szCs w:val="28"/>
          <w:lang w:eastAsia="ru-RU"/>
        </w:rPr>
        <w:t>інекономрозвитку</w:t>
      </w:r>
      <w:proofErr w:type="spellEnd"/>
      <w:r w:rsidRPr="00242020">
        <w:rPr>
          <w:rFonts w:eastAsia="Times New Roman" w:cs="Times New Roman"/>
          <w:szCs w:val="28"/>
          <w:lang w:eastAsia="ru-RU"/>
        </w:rPr>
        <w:t xml:space="preserve"> Фонд надав відповідні роз’яснення щодо застосування методики перерахунку капітальних інвестицій, внесених країнами-учасницями в карбованцях СРСР за цінами 1984 року, в національну валюту України станом на 01.01.2016;</w:t>
      </w:r>
    </w:p>
    <w:p w:rsidR="004A4A2B" w:rsidRPr="00242020" w:rsidRDefault="004A4A2B" w:rsidP="00033D7B">
      <w:pPr>
        <w:spacing w:line="230" w:lineRule="auto"/>
        <w:ind w:firstLine="0"/>
        <w:jc w:val="center"/>
        <w:rPr>
          <w:rFonts w:eastAsia="Times New Roman" w:cs="Times New Roman"/>
          <w:i/>
          <w:spacing w:val="-4"/>
          <w:szCs w:val="28"/>
          <w:lang w:eastAsia="ru-RU"/>
        </w:rPr>
      </w:pPr>
      <w:r w:rsidRPr="00242020">
        <w:rPr>
          <w:rFonts w:eastAsia="Times New Roman" w:cs="Times New Roman"/>
          <w:i/>
          <w:spacing w:val="-4"/>
          <w:szCs w:val="28"/>
          <w:lang w:eastAsia="ru-RU"/>
        </w:rPr>
        <w:t>ТОВ «</w:t>
      </w:r>
      <w:r w:rsidRPr="00242020">
        <w:rPr>
          <w:rFonts w:eastAsia="Times New Roman" w:cs="Times New Roman"/>
          <w:i/>
          <w:szCs w:val="28"/>
          <w:lang w:eastAsia="ru-RU"/>
        </w:rPr>
        <w:t>Торговий</w:t>
      </w:r>
      <w:r w:rsidRPr="00242020">
        <w:rPr>
          <w:rFonts w:eastAsia="Times New Roman" w:cs="Times New Roman"/>
          <w:i/>
          <w:spacing w:val="-4"/>
          <w:szCs w:val="28"/>
          <w:lang w:eastAsia="ru-RU"/>
        </w:rPr>
        <w:t xml:space="preserve"> флот Донбасу»</w:t>
      </w:r>
    </w:p>
    <w:p w:rsidR="004A4A2B" w:rsidRPr="00242020" w:rsidRDefault="004A4A2B" w:rsidP="00033D7B">
      <w:pPr>
        <w:spacing w:line="230" w:lineRule="auto"/>
        <w:jc w:val="both"/>
        <w:rPr>
          <w:rFonts w:eastAsia="Times New Roman" w:cs="Times New Roman"/>
          <w:spacing w:val="-4"/>
          <w:szCs w:val="28"/>
          <w:highlight w:val="cyan"/>
          <w:lang w:eastAsia="ru-RU"/>
        </w:rPr>
      </w:pPr>
      <w:r w:rsidRPr="00242020">
        <w:rPr>
          <w:rFonts w:eastAsia="Times New Roman" w:cs="Times New Roman"/>
          <w:szCs w:val="28"/>
          <w:lang w:eastAsia="ru-RU"/>
        </w:rPr>
        <w:t xml:space="preserve">На запит Департаменту захисту економіки Національної поліції України Фондом направлено документи стосовно </w:t>
      </w:r>
      <w:r w:rsidRPr="00242020">
        <w:rPr>
          <w:rFonts w:eastAsia="Times New Roman" w:cs="Times New Roman"/>
          <w:spacing w:val="-4"/>
          <w:szCs w:val="28"/>
          <w:lang w:eastAsia="ru-RU"/>
        </w:rPr>
        <w:t>ТОВ «Торговий флот Донбасу» для вжиття заходів, спрямованих на забезпечення усунення виявлених порушень майнових інтересів держави як учасника зазначеного товариства.</w:t>
      </w:r>
    </w:p>
    <w:p w:rsidR="004A4A2B" w:rsidRPr="00242020" w:rsidRDefault="004A4A2B" w:rsidP="004A4A2B">
      <w:pPr>
        <w:jc w:val="both"/>
        <w:rPr>
          <w:rFonts w:eastAsia="Times New Roman" w:cs="Times New Roman"/>
          <w:sz w:val="10"/>
          <w:szCs w:val="10"/>
          <w:highlight w:val="green"/>
          <w:lang w:eastAsia="ru-RU"/>
        </w:rPr>
      </w:pPr>
    </w:p>
    <w:p w:rsidR="00805AB4" w:rsidRPr="00242020" w:rsidRDefault="00805AB4" w:rsidP="00805AB4">
      <w:pPr>
        <w:pStyle w:val="2"/>
        <w:rPr>
          <w:szCs w:val="28"/>
        </w:rPr>
      </w:pPr>
      <w:r w:rsidRPr="00242020">
        <w:t>3.5.3. Робота Фонду з управління корпоративними</w:t>
      </w:r>
      <w:r w:rsidRPr="00242020">
        <w:br/>
        <w:t>правами держави та її удосконалення</w:t>
      </w:r>
    </w:p>
    <w:p w:rsidR="006F4201" w:rsidRPr="00242020" w:rsidRDefault="006F4201" w:rsidP="006F4201">
      <w:pPr>
        <w:jc w:val="both"/>
        <w:rPr>
          <w:rFonts w:eastAsia="Times New Roman" w:cs="Times New Roman"/>
          <w:sz w:val="12"/>
          <w:szCs w:val="12"/>
          <w:lang w:eastAsia="ru-RU"/>
        </w:rPr>
      </w:pPr>
    </w:p>
    <w:p w:rsidR="00BC2617" w:rsidRPr="00242020" w:rsidRDefault="00BC2617" w:rsidP="00033D7B">
      <w:pPr>
        <w:spacing w:line="230" w:lineRule="auto"/>
        <w:ind w:firstLine="743"/>
        <w:jc w:val="both"/>
        <w:rPr>
          <w:rFonts w:eastAsia="Times New Roman" w:cs="Times New Roman"/>
          <w:szCs w:val="28"/>
          <w:lang w:eastAsia="ru-RU"/>
        </w:rPr>
      </w:pPr>
      <w:r w:rsidRPr="00242020">
        <w:rPr>
          <w:rFonts w:eastAsia="Times New Roman" w:cs="Times New Roman"/>
          <w:szCs w:val="28"/>
          <w:lang w:eastAsia="ru-RU"/>
        </w:rPr>
        <w:t xml:space="preserve">Фонд відповідно до Порядку складання, затвердження та контролю виконання фінансового плану суб’єкта господарювання державного сектору економіки, затвердженого наказом </w:t>
      </w:r>
      <w:proofErr w:type="spellStart"/>
      <w:r w:rsidRPr="00242020">
        <w:rPr>
          <w:rFonts w:eastAsia="Times New Roman" w:cs="Times New Roman"/>
          <w:szCs w:val="28"/>
          <w:lang w:eastAsia="ru-RU"/>
        </w:rPr>
        <w:t>Мінекономрозвитку</w:t>
      </w:r>
      <w:proofErr w:type="spellEnd"/>
      <w:r w:rsidRPr="00242020">
        <w:rPr>
          <w:rFonts w:eastAsia="Times New Roman" w:cs="Times New Roman"/>
          <w:szCs w:val="28"/>
          <w:lang w:eastAsia="ru-RU"/>
        </w:rPr>
        <w:t xml:space="preserve"> від 02 березня 2015 року № 205 (зі змінами), зареєстрованого в Міністерстві юстиції України 19 березня 2015 року за № 300/26745, здійснює погодження (затвердження) фінансових планів господарських товариств та державних підприємств, які перебувають в сфері його управління.</w:t>
      </w:r>
    </w:p>
    <w:p w:rsidR="00BC2617" w:rsidRPr="00242020" w:rsidRDefault="00BC2617" w:rsidP="00033D7B">
      <w:pPr>
        <w:spacing w:line="230" w:lineRule="auto"/>
        <w:ind w:firstLine="743"/>
        <w:jc w:val="both"/>
        <w:rPr>
          <w:rFonts w:eastAsia="Times New Roman" w:cs="Times New Roman"/>
          <w:szCs w:val="28"/>
          <w:lang w:eastAsia="ru-RU"/>
        </w:rPr>
      </w:pPr>
      <w:r w:rsidRPr="00242020">
        <w:rPr>
          <w:rFonts w:eastAsia="Times New Roman" w:cs="Times New Roman"/>
          <w:szCs w:val="28"/>
          <w:lang w:eastAsia="ru-RU"/>
        </w:rPr>
        <w:t xml:space="preserve">Так, у 2016 році Фондом погоджено (затверджено) фінансові плани на 2016 рік </w:t>
      </w:r>
      <w:r w:rsidR="00033D7B">
        <w:rPr>
          <w:rFonts w:eastAsia="Times New Roman" w:cs="Times New Roman"/>
          <w:szCs w:val="28"/>
          <w:lang w:eastAsia="ru-RU"/>
        </w:rPr>
        <w:t>7</w:t>
      </w:r>
      <w:r w:rsidRPr="00242020">
        <w:rPr>
          <w:rFonts w:eastAsia="Times New Roman" w:cs="Times New Roman"/>
          <w:szCs w:val="28"/>
          <w:lang w:eastAsia="ru-RU"/>
        </w:rPr>
        <w:t xml:space="preserve"> господарських товариств та </w:t>
      </w:r>
      <w:r w:rsidR="00033D7B">
        <w:rPr>
          <w:rFonts w:eastAsia="Times New Roman" w:cs="Times New Roman"/>
          <w:szCs w:val="28"/>
          <w:lang w:eastAsia="ru-RU"/>
        </w:rPr>
        <w:t>7</w:t>
      </w:r>
      <w:r w:rsidRPr="00242020">
        <w:rPr>
          <w:rFonts w:eastAsia="Times New Roman" w:cs="Times New Roman"/>
          <w:szCs w:val="28"/>
          <w:lang w:eastAsia="ru-RU"/>
        </w:rPr>
        <w:t xml:space="preserve"> державних підприємств. </w:t>
      </w:r>
    </w:p>
    <w:p w:rsidR="00BC2617" w:rsidRPr="00242020" w:rsidRDefault="00BC2617" w:rsidP="00033D7B">
      <w:pPr>
        <w:spacing w:line="230" w:lineRule="auto"/>
        <w:ind w:firstLine="743"/>
        <w:jc w:val="both"/>
        <w:rPr>
          <w:rFonts w:eastAsia="Times New Roman" w:cs="Times New Roman"/>
          <w:szCs w:val="28"/>
          <w:lang w:eastAsia="ru-RU"/>
        </w:rPr>
      </w:pPr>
      <w:r w:rsidRPr="00242020">
        <w:rPr>
          <w:rFonts w:eastAsia="Times New Roman" w:cs="Times New Roman"/>
          <w:szCs w:val="28"/>
          <w:lang w:eastAsia="ru-RU"/>
        </w:rPr>
        <w:t>Крім того, у 2016 році затверджено 59 фінансових планів на 2017 рік 38 господарських товариств та 21 державного підприємства.</w:t>
      </w:r>
    </w:p>
    <w:p w:rsidR="00033D7B" w:rsidRPr="00033D7B" w:rsidRDefault="00033D7B" w:rsidP="00033D7B">
      <w:pPr>
        <w:spacing w:line="230" w:lineRule="auto"/>
        <w:ind w:firstLine="743"/>
        <w:jc w:val="both"/>
        <w:rPr>
          <w:rFonts w:eastAsia="Times New Roman" w:cs="Times New Roman"/>
          <w:szCs w:val="28"/>
          <w:lang w:eastAsia="ru-RU"/>
        </w:rPr>
      </w:pPr>
      <w:r w:rsidRPr="00033D7B">
        <w:rPr>
          <w:rFonts w:eastAsia="Times New Roman" w:cs="Times New Roman"/>
          <w:szCs w:val="28"/>
          <w:lang w:eastAsia="ru-RU"/>
        </w:rPr>
        <w:lastRenderedPageBreak/>
        <w:t>Проект фінансового плану ПАТ «</w:t>
      </w:r>
      <w:proofErr w:type="spellStart"/>
      <w:r w:rsidRPr="00033D7B">
        <w:rPr>
          <w:rFonts w:eastAsia="Times New Roman" w:cs="Times New Roman"/>
          <w:szCs w:val="28"/>
          <w:lang w:eastAsia="ru-RU"/>
        </w:rPr>
        <w:t>Центренерго</w:t>
      </w:r>
      <w:proofErr w:type="spellEnd"/>
      <w:r w:rsidRPr="00033D7B">
        <w:rPr>
          <w:rFonts w:eastAsia="Times New Roman" w:cs="Times New Roman"/>
          <w:szCs w:val="28"/>
          <w:lang w:eastAsia="ru-RU"/>
        </w:rPr>
        <w:t>» на 2016 рік затверджений Кабінетом Міністрів України.</w:t>
      </w:r>
    </w:p>
    <w:p w:rsidR="00033D7B" w:rsidRPr="00033D7B" w:rsidRDefault="00033D7B" w:rsidP="00033D7B">
      <w:pPr>
        <w:spacing w:line="230" w:lineRule="auto"/>
        <w:ind w:firstLine="743"/>
        <w:jc w:val="both"/>
        <w:rPr>
          <w:rFonts w:eastAsia="Times New Roman" w:cs="Times New Roman"/>
          <w:szCs w:val="28"/>
          <w:lang w:eastAsia="ru-RU"/>
        </w:rPr>
      </w:pPr>
      <w:r w:rsidRPr="00033D7B">
        <w:rPr>
          <w:rFonts w:eastAsia="Times New Roman" w:cs="Times New Roman"/>
          <w:szCs w:val="28"/>
          <w:lang w:eastAsia="ru-RU"/>
        </w:rPr>
        <w:t>Проекти фінансових планів на 2016 рік та 2017 рік публічного акціонерного товариства «Одеський припортовий завод» та публічного акціонерного товариства «</w:t>
      </w:r>
      <w:proofErr w:type="spellStart"/>
      <w:r w:rsidRPr="00033D7B">
        <w:rPr>
          <w:rFonts w:eastAsia="Times New Roman" w:cs="Times New Roman"/>
          <w:szCs w:val="28"/>
          <w:lang w:eastAsia="ru-RU"/>
        </w:rPr>
        <w:t>Турбоатом</w:t>
      </w:r>
      <w:proofErr w:type="spellEnd"/>
      <w:r w:rsidRPr="00033D7B">
        <w:rPr>
          <w:rFonts w:eastAsia="Times New Roman" w:cs="Times New Roman"/>
          <w:szCs w:val="28"/>
          <w:lang w:eastAsia="ru-RU"/>
        </w:rPr>
        <w:t>», а також проект фінансового плану ПАТ «</w:t>
      </w:r>
      <w:proofErr w:type="spellStart"/>
      <w:r w:rsidRPr="00033D7B">
        <w:rPr>
          <w:rFonts w:eastAsia="Times New Roman" w:cs="Times New Roman"/>
          <w:szCs w:val="28"/>
          <w:lang w:eastAsia="ru-RU"/>
        </w:rPr>
        <w:t>Центренерго</w:t>
      </w:r>
      <w:proofErr w:type="spellEnd"/>
      <w:r w:rsidRPr="00033D7B">
        <w:rPr>
          <w:rFonts w:eastAsia="Times New Roman" w:cs="Times New Roman"/>
          <w:szCs w:val="28"/>
          <w:lang w:eastAsia="ru-RU"/>
        </w:rPr>
        <w:t>» на 2017 рік у 2016 році Кабінетом Міністрів України не затверджені.</w:t>
      </w:r>
    </w:p>
    <w:p w:rsidR="00BC2617" w:rsidRPr="00242020" w:rsidRDefault="00BC2617" w:rsidP="00033D7B">
      <w:pPr>
        <w:spacing w:line="230" w:lineRule="auto"/>
        <w:ind w:firstLine="743"/>
        <w:jc w:val="both"/>
        <w:rPr>
          <w:rFonts w:eastAsia="Times New Roman" w:cs="Times New Roman"/>
          <w:szCs w:val="28"/>
          <w:lang w:eastAsia="ru-RU"/>
        </w:rPr>
      </w:pPr>
      <w:r w:rsidRPr="00242020">
        <w:rPr>
          <w:rFonts w:eastAsia="Times New Roman" w:cs="Times New Roman"/>
          <w:szCs w:val="28"/>
          <w:lang w:eastAsia="ru-RU"/>
        </w:rPr>
        <w:t>На сьогодні здійснюється робота зі збору та моніторингу фінансової звітності підприємств за результатами їх роботи у 2016 році.</w:t>
      </w:r>
    </w:p>
    <w:p w:rsidR="00BC2617" w:rsidRPr="00242020" w:rsidRDefault="00BC2617" w:rsidP="00033D7B">
      <w:pPr>
        <w:spacing w:line="230" w:lineRule="auto"/>
        <w:ind w:firstLine="743"/>
        <w:jc w:val="both"/>
        <w:rPr>
          <w:rFonts w:eastAsia="Times New Roman" w:cs="Times New Roman"/>
          <w:szCs w:val="28"/>
          <w:lang w:eastAsia="ru-RU"/>
        </w:rPr>
      </w:pPr>
      <w:r w:rsidRPr="00242020">
        <w:rPr>
          <w:rFonts w:eastAsia="Times New Roman" w:cs="Times New Roman"/>
          <w:szCs w:val="28"/>
          <w:lang w:eastAsia="ru-RU"/>
        </w:rPr>
        <w:t xml:space="preserve">За підсумком аналізу результатів фінансово-господарської діяльності підприємств за 9 місяців 2016 року, проведеного відповідно до Порядку здійснення контролю за виконанням функцій з управління об’єктами державної власності, затвердженого постановою Кабінету Міністрів України від 19 червня 2007 року № 832, та Методичних рекомендацій застосування критеріїв визначення ефективності управління об’єктами державної власності, затверджених наказом </w:t>
      </w:r>
      <w:proofErr w:type="spellStart"/>
      <w:r w:rsidRPr="00242020">
        <w:rPr>
          <w:rFonts w:eastAsia="Times New Roman" w:cs="Times New Roman"/>
          <w:szCs w:val="28"/>
          <w:lang w:eastAsia="ru-RU"/>
        </w:rPr>
        <w:t>Мінекономрозвитку</w:t>
      </w:r>
      <w:proofErr w:type="spellEnd"/>
      <w:r w:rsidRPr="00242020">
        <w:rPr>
          <w:rFonts w:eastAsia="Times New Roman" w:cs="Times New Roman"/>
          <w:szCs w:val="28"/>
          <w:lang w:eastAsia="ru-RU"/>
        </w:rPr>
        <w:t xml:space="preserve"> від 15 березня 2013 року № 253, із </w:t>
      </w:r>
      <w:r w:rsidRPr="00242020">
        <w:rPr>
          <w:rFonts w:eastAsia="Times New Roman" w:cs="Times New Roman"/>
          <w:b/>
          <w:szCs w:val="28"/>
          <w:lang w:eastAsia="ru-RU"/>
        </w:rPr>
        <w:t>182</w:t>
      </w:r>
      <w:r w:rsidRPr="00242020">
        <w:rPr>
          <w:rFonts w:eastAsia="Times New Roman" w:cs="Times New Roman"/>
          <w:szCs w:val="28"/>
          <w:lang w:eastAsia="ru-RU"/>
        </w:rPr>
        <w:t xml:space="preserve"> державних підприємств та господарських товариств з державною часткою більше 50 % статутного капіталу (діаграма 3.2):</w:t>
      </w:r>
    </w:p>
    <w:p w:rsidR="00BC2617" w:rsidRPr="00242020" w:rsidRDefault="00BC2617" w:rsidP="00033D7B">
      <w:pPr>
        <w:spacing w:line="230" w:lineRule="auto"/>
        <w:ind w:firstLine="743"/>
        <w:jc w:val="both"/>
        <w:rPr>
          <w:rFonts w:eastAsia="Times New Roman" w:cs="Times New Roman"/>
          <w:b/>
          <w:szCs w:val="28"/>
          <w:lang w:eastAsia="ru-RU"/>
        </w:rPr>
      </w:pPr>
      <w:r w:rsidRPr="00242020">
        <w:rPr>
          <w:rFonts w:eastAsia="Times New Roman" w:cs="Times New Roman"/>
          <w:b/>
          <w:szCs w:val="28"/>
          <w:lang w:eastAsia="ru-RU"/>
        </w:rPr>
        <w:t>– 42</w:t>
      </w:r>
      <w:r w:rsidRPr="00242020">
        <w:rPr>
          <w:rFonts w:eastAsia="Times New Roman" w:cs="Times New Roman"/>
          <w:szCs w:val="28"/>
          <w:lang w:eastAsia="ru-RU"/>
        </w:rPr>
        <w:t xml:space="preserve"> (23 % загальної кількості) є прибутковими, з них згідно з критеріями оцінки фінансово-господарської діяльності 14 працювали ефективно, 28 працювали задовільно; </w:t>
      </w:r>
    </w:p>
    <w:p w:rsidR="00BC2617" w:rsidRPr="00242020" w:rsidRDefault="00BC2617" w:rsidP="00033D7B">
      <w:pPr>
        <w:spacing w:line="230" w:lineRule="auto"/>
        <w:ind w:firstLine="743"/>
        <w:jc w:val="both"/>
        <w:rPr>
          <w:rFonts w:eastAsia="Times New Roman" w:cs="Times New Roman"/>
          <w:b/>
          <w:szCs w:val="28"/>
          <w:lang w:eastAsia="ru-RU"/>
        </w:rPr>
      </w:pPr>
      <w:r w:rsidRPr="00242020">
        <w:rPr>
          <w:rFonts w:eastAsia="Times New Roman" w:cs="Times New Roman"/>
          <w:b/>
          <w:szCs w:val="28"/>
          <w:lang w:eastAsia="ru-RU"/>
        </w:rPr>
        <w:t>– 48</w:t>
      </w:r>
      <w:r w:rsidRPr="00242020">
        <w:rPr>
          <w:rFonts w:eastAsia="Times New Roman" w:cs="Times New Roman"/>
          <w:szCs w:val="28"/>
          <w:lang w:eastAsia="ru-RU"/>
        </w:rPr>
        <w:t xml:space="preserve"> (26 %) працювали неефективно; </w:t>
      </w:r>
    </w:p>
    <w:p w:rsidR="00BC2617" w:rsidRPr="00242020" w:rsidRDefault="00BC2617" w:rsidP="00033D7B">
      <w:pPr>
        <w:spacing w:line="230" w:lineRule="auto"/>
        <w:ind w:firstLine="743"/>
        <w:jc w:val="both"/>
        <w:rPr>
          <w:rFonts w:eastAsia="Times New Roman" w:cs="Times New Roman"/>
          <w:szCs w:val="28"/>
          <w:lang w:eastAsia="ru-RU"/>
        </w:rPr>
      </w:pPr>
      <w:r w:rsidRPr="00242020">
        <w:rPr>
          <w:rFonts w:eastAsia="Times New Roman" w:cs="Times New Roman"/>
          <w:b/>
          <w:noProof/>
          <w:szCs w:val="28"/>
          <w:lang w:eastAsia="uk-UA"/>
        </w:rPr>
        <w:drawing>
          <wp:anchor distT="0" distB="0" distL="114300" distR="114300" simplePos="0" relativeHeight="251686400" behindDoc="1" locked="0" layoutInCell="1" allowOverlap="1">
            <wp:simplePos x="0" y="0"/>
            <wp:positionH relativeFrom="margin">
              <wp:align>center</wp:align>
            </wp:positionH>
            <wp:positionV relativeFrom="paragraph">
              <wp:posOffset>94423</wp:posOffset>
            </wp:positionV>
            <wp:extent cx="5329127" cy="3636335"/>
            <wp:effectExtent l="19050" t="0" r="4873" b="0"/>
            <wp:wrapNone/>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Pr="00242020">
        <w:rPr>
          <w:rFonts w:eastAsia="Times New Roman" w:cs="Times New Roman"/>
          <w:b/>
          <w:szCs w:val="28"/>
          <w:lang w:eastAsia="ru-RU"/>
        </w:rPr>
        <w:t>– 92</w:t>
      </w:r>
      <w:r w:rsidRPr="00242020">
        <w:rPr>
          <w:rFonts w:eastAsia="Times New Roman" w:cs="Times New Roman"/>
          <w:szCs w:val="28"/>
          <w:lang w:eastAsia="ru-RU"/>
        </w:rPr>
        <w:t xml:space="preserve"> (51 %) не оцінювалися з ряду причин.</w:t>
      </w:r>
      <w:r w:rsidRPr="00242020">
        <w:rPr>
          <w:rFonts w:eastAsia="Times New Roman" w:cs="Times New Roman"/>
          <w:vertAlign w:val="superscript"/>
          <w:lang w:eastAsia="ru-RU"/>
        </w:rPr>
        <w:footnoteReference w:customMarkFollows="1" w:id="7"/>
        <w:sym w:font="Symbol" w:char="F02A"/>
      </w:r>
    </w:p>
    <w:p w:rsidR="00BC2617" w:rsidRDefault="00BC2617" w:rsidP="00BC2617">
      <w:pPr>
        <w:spacing w:line="230" w:lineRule="auto"/>
        <w:ind w:firstLine="0"/>
        <w:jc w:val="center"/>
        <w:rPr>
          <w:rFonts w:eastAsia="Times New Roman" w:cs="Times New Roman"/>
          <w:szCs w:val="28"/>
          <w:lang w:eastAsia="ru-RU"/>
        </w:rPr>
      </w:pPr>
    </w:p>
    <w:p w:rsidR="00033D7B" w:rsidRDefault="00033D7B" w:rsidP="00BC2617">
      <w:pPr>
        <w:spacing w:line="230" w:lineRule="auto"/>
        <w:ind w:firstLine="0"/>
        <w:jc w:val="center"/>
        <w:rPr>
          <w:rFonts w:eastAsia="Times New Roman" w:cs="Times New Roman"/>
          <w:szCs w:val="28"/>
          <w:lang w:eastAsia="ru-RU"/>
        </w:rPr>
      </w:pPr>
    </w:p>
    <w:p w:rsidR="00A2497A" w:rsidRPr="00242020" w:rsidRDefault="00A2497A" w:rsidP="00BC2617">
      <w:pPr>
        <w:spacing w:line="230" w:lineRule="auto"/>
        <w:ind w:firstLine="0"/>
        <w:jc w:val="center"/>
        <w:rPr>
          <w:rFonts w:eastAsia="Times New Roman" w:cs="Times New Roman"/>
          <w:szCs w:val="28"/>
          <w:lang w:eastAsia="ru-RU"/>
        </w:rPr>
      </w:pPr>
    </w:p>
    <w:p w:rsidR="00BC2617" w:rsidRPr="00242020" w:rsidRDefault="00BC2617" w:rsidP="00BC2617">
      <w:pPr>
        <w:spacing w:line="230" w:lineRule="auto"/>
        <w:ind w:firstLine="0"/>
        <w:jc w:val="center"/>
        <w:rPr>
          <w:rFonts w:eastAsia="Times New Roman" w:cs="Times New Roman"/>
          <w:sz w:val="16"/>
          <w:szCs w:val="16"/>
          <w:lang w:eastAsia="ru-RU"/>
        </w:rPr>
      </w:pPr>
    </w:p>
    <w:p w:rsidR="00BC2617" w:rsidRPr="00242020" w:rsidRDefault="00BC2617" w:rsidP="00BC2617">
      <w:pPr>
        <w:spacing w:line="230" w:lineRule="auto"/>
        <w:ind w:firstLine="0"/>
        <w:jc w:val="center"/>
        <w:rPr>
          <w:rFonts w:eastAsia="Times New Roman" w:cs="Times New Roman"/>
          <w:szCs w:val="28"/>
          <w:lang w:eastAsia="ru-RU"/>
        </w:rPr>
      </w:pPr>
    </w:p>
    <w:p w:rsidR="00BC2617" w:rsidRPr="00242020" w:rsidRDefault="00BC2617" w:rsidP="00BC2617">
      <w:pPr>
        <w:spacing w:line="230" w:lineRule="auto"/>
        <w:ind w:firstLine="0"/>
        <w:jc w:val="center"/>
        <w:rPr>
          <w:rFonts w:eastAsia="Times New Roman" w:cs="Times New Roman"/>
          <w:szCs w:val="28"/>
          <w:lang w:eastAsia="ru-RU"/>
        </w:rPr>
      </w:pPr>
    </w:p>
    <w:p w:rsidR="00BC2617" w:rsidRPr="00242020" w:rsidRDefault="00BC2617" w:rsidP="00BC2617">
      <w:pPr>
        <w:spacing w:line="230" w:lineRule="auto"/>
        <w:ind w:firstLine="0"/>
        <w:jc w:val="center"/>
        <w:rPr>
          <w:rFonts w:eastAsia="Times New Roman" w:cs="Times New Roman"/>
          <w:szCs w:val="28"/>
          <w:lang w:eastAsia="ru-RU"/>
        </w:rPr>
      </w:pPr>
    </w:p>
    <w:p w:rsidR="00BC2617" w:rsidRPr="00242020" w:rsidRDefault="00BC2617" w:rsidP="00BC2617">
      <w:pPr>
        <w:spacing w:line="230" w:lineRule="auto"/>
        <w:ind w:firstLine="0"/>
        <w:jc w:val="center"/>
        <w:rPr>
          <w:rFonts w:eastAsia="Times New Roman" w:cs="Times New Roman"/>
          <w:szCs w:val="28"/>
          <w:lang w:eastAsia="ru-RU"/>
        </w:rPr>
      </w:pPr>
    </w:p>
    <w:p w:rsidR="00BC2617" w:rsidRPr="00242020" w:rsidRDefault="00BC2617" w:rsidP="00BC2617">
      <w:pPr>
        <w:spacing w:line="230" w:lineRule="auto"/>
        <w:ind w:firstLine="0"/>
        <w:jc w:val="center"/>
        <w:rPr>
          <w:rFonts w:eastAsia="Times New Roman" w:cs="Times New Roman"/>
          <w:szCs w:val="28"/>
          <w:lang w:eastAsia="ru-RU"/>
        </w:rPr>
      </w:pPr>
    </w:p>
    <w:p w:rsidR="00BC2617" w:rsidRPr="00242020" w:rsidRDefault="00BC2617" w:rsidP="00BC2617">
      <w:pPr>
        <w:spacing w:line="230" w:lineRule="auto"/>
        <w:ind w:firstLine="0"/>
        <w:jc w:val="center"/>
        <w:rPr>
          <w:rFonts w:eastAsia="Times New Roman" w:cs="Times New Roman"/>
          <w:szCs w:val="28"/>
          <w:lang w:eastAsia="ru-RU"/>
        </w:rPr>
      </w:pPr>
    </w:p>
    <w:p w:rsidR="00BC2617" w:rsidRPr="00242020" w:rsidRDefault="00BC2617" w:rsidP="00BC2617">
      <w:pPr>
        <w:spacing w:line="230" w:lineRule="auto"/>
        <w:ind w:firstLine="0"/>
        <w:jc w:val="center"/>
        <w:rPr>
          <w:rFonts w:eastAsia="Times New Roman" w:cs="Times New Roman"/>
          <w:szCs w:val="28"/>
          <w:lang w:eastAsia="ru-RU"/>
        </w:rPr>
      </w:pPr>
    </w:p>
    <w:p w:rsidR="00BC2617" w:rsidRPr="00242020" w:rsidRDefault="00BC2617" w:rsidP="00BC2617">
      <w:pPr>
        <w:spacing w:line="230" w:lineRule="auto"/>
        <w:ind w:firstLine="0"/>
        <w:jc w:val="center"/>
        <w:rPr>
          <w:rFonts w:eastAsia="Times New Roman" w:cs="Times New Roman"/>
          <w:szCs w:val="28"/>
          <w:lang w:eastAsia="ru-RU"/>
        </w:rPr>
      </w:pPr>
    </w:p>
    <w:p w:rsidR="00BC2617" w:rsidRPr="00242020" w:rsidRDefault="00BC2617" w:rsidP="00BC2617">
      <w:pPr>
        <w:spacing w:line="230" w:lineRule="auto"/>
        <w:ind w:firstLine="0"/>
        <w:jc w:val="center"/>
        <w:rPr>
          <w:rFonts w:eastAsia="Times New Roman" w:cs="Times New Roman"/>
          <w:szCs w:val="28"/>
          <w:lang w:eastAsia="ru-RU"/>
        </w:rPr>
      </w:pPr>
    </w:p>
    <w:p w:rsidR="00BC2617" w:rsidRPr="00242020" w:rsidRDefault="00BC2617" w:rsidP="00BC2617">
      <w:pPr>
        <w:spacing w:line="230" w:lineRule="auto"/>
        <w:ind w:firstLine="0"/>
        <w:jc w:val="center"/>
        <w:rPr>
          <w:rFonts w:eastAsia="Times New Roman" w:cs="Times New Roman"/>
          <w:szCs w:val="28"/>
          <w:lang w:eastAsia="ru-RU"/>
        </w:rPr>
      </w:pPr>
    </w:p>
    <w:p w:rsidR="00BC2617" w:rsidRPr="00242020" w:rsidRDefault="00BC2617" w:rsidP="00BC2617">
      <w:pPr>
        <w:spacing w:line="230" w:lineRule="auto"/>
        <w:ind w:firstLine="0"/>
        <w:jc w:val="center"/>
        <w:rPr>
          <w:rFonts w:eastAsia="Times New Roman" w:cs="Times New Roman"/>
          <w:szCs w:val="28"/>
          <w:lang w:eastAsia="ru-RU"/>
        </w:rPr>
      </w:pPr>
    </w:p>
    <w:p w:rsidR="00BC2617" w:rsidRPr="00242020" w:rsidRDefault="00BC2617" w:rsidP="00BC2617">
      <w:pPr>
        <w:spacing w:line="230" w:lineRule="auto"/>
        <w:ind w:firstLine="0"/>
        <w:jc w:val="center"/>
        <w:rPr>
          <w:rFonts w:eastAsia="Times New Roman" w:cs="Times New Roman"/>
          <w:szCs w:val="28"/>
          <w:lang w:eastAsia="ru-RU"/>
        </w:rPr>
      </w:pPr>
    </w:p>
    <w:p w:rsidR="00BC2617" w:rsidRPr="00242020" w:rsidRDefault="00BC2617" w:rsidP="00BC2617">
      <w:pPr>
        <w:ind w:firstLine="0"/>
        <w:jc w:val="center"/>
        <w:rPr>
          <w:rFonts w:eastAsia="Times New Roman" w:cs="Times New Roman"/>
          <w:b/>
          <w:szCs w:val="20"/>
          <w:lang w:eastAsia="ru-RU"/>
        </w:rPr>
      </w:pPr>
      <w:r w:rsidRPr="00242020">
        <w:rPr>
          <w:rFonts w:eastAsia="Times New Roman" w:cs="Times New Roman"/>
          <w:b/>
          <w:szCs w:val="20"/>
          <w:lang w:eastAsia="ru-RU"/>
        </w:rPr>
        <w:t>Діаграма 3.2. Результати фінансово-господарської діяльності державних підприємств та господарських товариств з державною часткою більше 50 % статутного капіталу, управління якими здійснює Фонд,</w:t>
      </w:r>
      <w:r w:rsidRPr="00242020">
        <w:rPr>
          <w:rFonts w:eastAsia="Times New Roman" w:cs="Times New Roman"/>
          <w:b/>
          <w:szCs w:val="20"/>
          <w:lang w:eastAsia="ru-RU"/>
        </w:rPr>
        <w:br/>
        <w:t>за 9 місяців 2016 року</w:t>
      </w:r>
    </w:p>
    <w:p w:rsidR="00BC2617" w:rsidRPr="00242020" w:rsidRDefault="00BC2617" w:rsidP="005A5D40">
      <w:pPr>
        <w:jc w:val="both"/>
        <w:rPr>
          <w:rFonts w:eastAsia="Times New Roman" w:cs="Times New Roman"/>
          <w:szCs w:val="28"/>
          <w:lang w:eastAsia="ru-RU"/>
        </w:rPr>
      </w:pPr>
      <w:r w:rsidRPr="00242020">
        <w:rPr>
          <w:rFonts w:eastAsia="Times New Roman" w:cs="Times New Roman"/>
          <w:szCs w:val="28"/>
          <w:lang w:eastAsia="ru-RU"/>
        </w:rPr>
        <w:lastRenderedPageBreak/>
        <w:t>Відповідно до вимог законів України «Про акціонерні товариства» та «Про управління об’єктами державної власності» Фондом протягом 2016 року:</w:t>
      </w:r>
    </w:p>
    <w:p w:rsidR="00BC2617" w:rsidRPr="00242020" w:rsidRDefault="00BC2617" w:rsidP="005A5D40">
      <w:pPr>
        <w:jc w:val="both"/>
        <w:rPr>
          <w:rFonts w:eastAsia="Times New Roman" w:cs="Times New Roman"/>
          <w:szCs w:val="28"/>
          <w:lang w:eastAsia="ru-RU"/>
        </w:rPr>
      </w:pPr>
      <w:r w:rsidRPr="00242020">
        <w:rPr>
          <w:rFonts w:eastAsia="Times New Roman" w:cs="Times New Roman"/>
          <w:szCs w:val="28"/>
          <w:lang w:eastAsia="ru-RU"/>
        </w:rPr>
        <w:t xml:space="preserve">– забезпечено участь представників держави у проведенні </w:t>
      </w:r>
      <w:r w:rsidRPr="00242020">
        <w:rPr>
          <w:rFonts w:eastAsia="Times New Roman" w:cs="Times New Roman"/>
          <w:b/>
          <w:szCs w:val="28"/>
          <w:lang w:eastAsia="ru-RU"/>
        </w:rPr>
        <w:t>56</w:t>
      </w:r>
      <w:r w:rsidRPr="00242020">
        <w:rPr>
          <w:rFonts w:eastAsia="Times New Roman" w:cs="Times New Roman"/>
          <w:szCs w:val="28"/>
          <w:lang w:eastAsia="ru-RU"/>
        </w:rPr>
        <w:t xml:space="preserve"> загальних зборів акціонерів господарських товариств, у статутному капіталі яких є державна частка;</w:t>
      </w:r>
    </w:p>
    <w:p w:rsidR="00BC2617" w:rsidRPr="00242020" w:rsidRDefault="00BC2617" w:rsidP="005A5D40">
      <w:pPr>
        <w:jc w:val="both"/>
        <w:rPr>
          <w:rFonts w:eastAsia="Times New Roman" w:cs="Times New Roman"/>
          <w:szCs w:val="28"/>
          <w:lang w:eastAsia="ru-RU"/>
        </w:rPr>
      </w:pPr>
      <w:r w:rsidRPr="00242020">
        <w:rPr>
          <w:rFonts w:eastAsia="Times New Roman" w:cs="Times New Roman"/>
          <w:szCs w:val="28"/>
          <w:lang w:eastAsia="ru-RU"/>
        </w:rPr>
        <w:t xml:space="preserve">– погоджено </w:t>
      </w:r>
      <w:r w:rsidRPr="00242020">
        <w:rPr>
          <w:rFonts w:eastAsia="Times New Roman" w:cs="Times New Roman"/>
          <w:b/>
          <w:szCs w:val="28"/>
          <w:lang w:eastAsia="ru-RU"/>
        </w:rPr>
        <w:t>2</w:t>
      </w:r>
      <w:r w:rsidRPr="00242020">
        <w:rPr>
          <w:rFonts w:eastAsia="Times New Roman" w:cs="Times New Roman"/>
          <w:szCs w:val="28"/>
          <w:lang w:eastAsia="ru-RU"/>
        </w:rPr>
        <w:t xml:space="preserve"> завдання на голосування представникам держави на загальних зборах з окремих питань відповідно до умов Генеральних угод про передачу повноважень на здійснення функцій управління державними корпоративними правами Міністерству палива та енергетики України та Національному космічному агентству України;</w:t>
      </w:r>
    </w:p>
    <w:p w:rsidR="00BC2617" w:rsidRPr="00242020" w:rsidRDefault="00BC2617" w:rsidP="005A5D40">
      <w:pPr>
        <w:jc w:val="both"/>
        <w:rPr>
          <w:rFonts w:eastAsia="Times New Roman" w:cs="Times New Roman"/>
          <w:szCs w:val="28"/>
          <w:lang w:eastAsia="ru-RU"/>
        </w:rPr>
      </w:pPr>
      <w:r w:rsidRPr="00242020">
        <w:rPr>
          <w:rFonts w:eastAsia="Times New Roman" w:cs="Times New Roman"/>
          <w:szCs w:val="28"/>
          <w:lang w:eastAsia="ru-RU"/>
        </w:rPr>
        <w:t xml:space="preserve">– проведено за участю представників держави </w:t>
      </w:r>
      <w:r w:rsidRPr="00242020">
        <w:rPr>
          <w:rFonts w:eastAsia="Times New Roman" w:cs="Times New Roman"/>
          <w:b/>
          <w:szCs w:val="28"/>
          <w:lang w:eastAsia="ru-RU"/>
        </w:rPr>
        <w:t>246</w:t>
      </w:r>
      <w:r w:rsidRPr="00242020">
        <w:rPr>
          <w:rFonts w:eastAsia="Times New Roman" w:cs="Times New Roman"/>
          <w:szCs w:val="28"/>
          <w:lang w:eastAsia="ru-RU"/>
        </w:rPr>
        <w:t xml:space="preserve"> засідань наглядових рад АТ, у статутних капіталах яких є корпоративні права держави.</w:t>
      </w:r>
    </w:p>
    <w:p w:rsidR="00BC2617" w:rsidRPr="00242020" w:rsidRDefault="00BC2617" w:rsidP="005A5D40">
      <w:pPr>
        <w:jc w:val="both"/>
        <w:rPr>
          <w:rFonts w:eastAsia="Times New Roman" w:cs="Times New Roman"/>
          <w:szCs w:val="28"/>
          <w:lang w:eastAsia="ru-RU"/>
        </w:rPr>
      </w:pPr>
      <w:r w:rsidRPr="00242020">
        <w:rPr>
          <w:rFonts w:eastAsia="Times New Roman" w:cs="Times New Roman"/>
          <w:szCs w:val="28"/>
          <w:lang w:eastAsia="ru-RU"/>
        </w:rPr>
        <w:t>На засіданнях наглядових рад прийнято такі рішення: призначення чергових або позачергових загальних зборів; обрання та припинення повноважень голови та членів виконавчого органу, відсторонення голови або члена виконавчого органу та обрання особи, яка тимчасово здійснюватиме повноваження; обрання аудитора та визначення умов договору, що укладатиметься з ним; обрання оцінювача майна товариства; затвердження ринкової вартості майна; прийняття рішення про вчинення значного правочину, якщо ринкова вартість майна або послуг, що є його предметом, становить від 10 до 25 % вартості активів.</w:t>
      </w:r>
    </w:p>
    <w:p w:rsidR="00BC2617" w:rsidRPr="00242020" w:rsidRDefault="00BC2617" w:rsidP="005A5D40">
      <w:pPr>
        <w:jc w:val="both"/>
        <w:rPr>
          <w:rFonts w:eastAsia="Times New Roman" w:cs="Times New Roman"/>
          <w:szCs w:val="28"/>
          <w:lang w:eastAsia="ru-RU"/>
        </w:rPr>
      </w:pPr>
      <w:r w:rsidRPr="00242020">
        <w:rPr>
          <w:rFonts w:eastAsia="Times New Roman" w:cs="Times New Roman"/>
          <w:szCs w:val="28"/>
          <w:lang w:eastAsia="ru-RU"/>
        </w:rPr>
        <w:t>Крім того, керівникам товариств та виконавчим органам товариств надано такі доручення:</w:t>
      </w:r>
    </w:p>
    <w:p w:rsidR="00BC2617" w:rsidRPr="00242020" w:rsidRDefault="00BC2617" w:rsidP="005A5D40">
      <w:pPr>
        <w:jc w:val="both"/>
        <w:rPr>
          <w:rFonts w:eastAsia="Times New Roman" w:cs="Times New Roman"/>
          <w:szCs w:val="28"/>
          <w:lang w:eastAsia="ru-RU"/>
        </w:rPr>
      </w:pPr>
      <w:r w:rsidRPr="00242020">
        <w:rPr>
          <w:rFonts w:eastAsia="Times New Roman" w:cs="Times New Roman"/>
          <w:szCs w:val="28"/>
          <w:lang w:eastAsia="ru-RU"/>
        </w:rPr>
        <w:t>– здійснити державну реєстрацію права власності та інших речових прав на нерухоме майно, що було передано до статутного капіталу товариства та набуте товариством у результаті господарської діяльності;</w:t>
      </w:r>
    </w:p>
    <w:p w:rsidR="00BC2617" w:rsidRPr="00242020" w:rsidRDefault="00BC2617" w:rsidP="005A5D40">
      <w:pPr>
        <w:jc w:val="both"/>
        <w:rPr>
          <w:rFonts w:eastAsia="Times New Roman" w:cs="Times New Roman"/>
          <w:szCs w:val="28"/>
          <w:lang w:eastAsia="ru-RU"/>
        </w:rPr>
      </w:pPr>
      <w:r w:rsidRPr="00242020">
        <w:rPr>
          <w:rFonts w:eastAsia="Times New Roman" w:cs="Times New Roman"/>
          <w:szCs w:val="28"/>
          <w:lang w:eastAsia="ru-RU"/>
        </w:rPr>
        <w:t xml:space="preserve">– забезпечити безумовне виконання Закону України «Про відкритість використання публічних коштів». Керівників товариств попереджено про персональну відповідальність за </w:t>
      </w:r>
      <w:proofErr w:type="spellStart"/>
      <w:r w:rsidRPr="00242020">
        <w:rPr>
          <w:rFonts w:eastAsia="Times New Roman" w:cs="Times New Roman"/>
          <w:szCs w:val="28"/>
          <w:lang w:eastAsia="ru-RU"/>
        </w:rPr>
        <w:t>неоприлюднення</w:t>
      </w:r>
      <w:proofErr w:type="spellEnd"/>
      <w:r w:rsidRPr="00242020">
        <w:rPr>
          <w:rFonts w:eastAsia="Times New Roman" w:cs="Times New Roman"/>
          <w:szCs w:val="28"/>
          <w:lang w:eastAsia="ru-RU"/>
        </w:rPr>
        <w:t xml:space="preserve"> або несвоєчасне оприлюднення інформації відповідно до цього закону, </w:t>
      </w:r>
      <w:bookmarkStart w:id="1" w:name="n57"/>
      <w:bookmarkEnd w:id="1"/>
      <w:r w:rsidRPr="00242020">
        <w:rPr>
          <w:rFonts w:eastAsia="Times New Roman" w:cs="Times New Roman"/>
          <w:szCs w:val="28"/>
          <w:lang w:eastAsia="ru-RU"/>
        </w:rPr>
        <w:t>оприлюднення недостовірної, неточної або неповної інформації;</w:t>
      </w:r>
    </w:p>
    <w:p w:rsidR="00BC2617" w:rsidRPr="00242020" w:rsidRDefault="00BC2617" w:rsidP="005A5D40">
      <w:pPr>
        <w:jc w:val="both"/>
        <w:rPr>
          <w:rFonts w:eastAsia="Times New Roman" w:cs="Times New Roman"/>
          <w:szCs w:val="28"/>
          <w:lang w:eastAsia="ru-RU"/>
        </w:rPr>
      </w:pPr>
      <w:r w:rsidRPr="00242020">
        <w:rPr>
          <w:rFonts w:eastAsia="Times New Roman" w:cs="Times New Roman"/>
          <w:szCs w:val="28"/>
          <w:lang w:eastAsia="ru-RU"/>
        </w:rPr>
        <w:t>– здійснювати закупівлю товарів, робіт та послуг в порядку, спосіб та на умовах, визначених Законом України «Про публічні закупівлі» для замовників;</w:t>
      </w:r>
    </w:p>
    <w:p w:rsidR="00BC2617" w:rsidRPr="00242020" w:rsidRDefault="00BC2617" w:rsidP="005A5D40">
      <w:pPr>
        <w:jc w:val="both"/>
        <w:rPr>
          <w:rFonts w:eastAsia="Times New Roman" w:cs="Times New Roman"/>
          <w:szCs w:val="28"/>
          <w:lang w:eastAsia="ru-RU"/>
        </w:rPr>
      </w:pPr>
      <w:r w:rsidRPr="00242020">
        <w:rPr>
          <w:rFonts w:eastAsia="Times New Roman" w:cs="Times New Roman"/>
          <w:szCs w:val="28"/>
          <w:lang w:eastAsia="ru-RU"/>
        </w:rPr>
        <w:t>– здійснювати фінансові операції товариства лише у банках, у яких частка держави перевищує 75 % акцій, та подати на затвердження наглядовій раді Положення щодо здійснення фінансових операцій товариства;</w:t>
      </w:r>
    </w:p>
    <w:p w:rsidR="00BC2617" w:rsidRPr="00242020" w:rsidRDefault="00BC2617" w:rsidP="005A5D40">
      <w:pPr>
        <w:jc w:val="both"/>
        <w:rPr>
          <w:rFonts w:eastAsia="Times New Roman" w:cs="Times New Roman"/>
          <w:szCs w:val="28"/>
          <w:lang w:eastAsia="ru-RU"/>
        </w:rPr>
      </w:pPr>
      <w:r w:rsidRPr="00242020">
        <w:rPr>
          <w:rFonts w:eastAsia="Times New Roman" w:cs="Times New Roman"/>
          <w:szCs w:val="28"/>
          <w:lang w:eastAsia="ru-RU"/>
        </w:rPr>
        <w:t xml:space="preserve">– забезпечити максимальне висвітлення на </w:t>
      </w:r>
      <w:proofErr w:type="spellStart"/>
      <w:r w:rsidRPr="00242020">
        <w:rPr>
          <w:rFonts w:eastAsia="Times New Roman" w:cs="Times New Roman"/>
          <w:szCs w:val="28"/>
          <w:lang w:eastAsia="ru-RU"/>
        </w:rPr>
        <w:t>веб-сайтах</w:t>
      </w:r>
      <w:proofErr w:type="spellEnd"/>
      <w:r w:rsidRPr="00242020">
        <w:rPr>
          <w:rFonts w:eastAsia="Times New Roman" w:cs="Times New Roman"/>
          <w:szCs w:val="28"/>
          <w:lang w:eastAsia="ru-RU"/>
        </w:rPr>
        <w:t xml:space="preserve"> товариств інформації про прийняті органами товариства рішення;</w:t>
      </w:r>
    </w:p>
    <w:p w:rsidR="00BC2617" w:rsidRPr="00242020" w:rsidRDefault="00BC2617" w:rsidP="005A5D40">
      <w:pPr>
        <w:jc w:val="both"/>
        <w:rPr>
          <w:rFonts w:eastAsia="Times New Roman" w:cs="Times New Roman"/>
          <w:szCs w:val="28"/>
          <w:lang w:eastAsia="ru-RU"/>
        </w:rPr>
      </w:pPr>
      <w:r w:rsidRPr="00242020">
        <w:rPr>
          <w:rFonts w:eastAsia="Times New Roman" w:cs="Times New Roman"/>
          <w:szCs w:val="28"/>
          <w:lang w:eastAsia="ru-RU"/>
        </w:rPr>
        <w:t xml:space="preserve">– забезпечити проведення інвентаризації основних засобів, капітальних інвестицій та нематеріальних активів товариств з метою переходу на стимулююче </w:t>
      </w:r>
      <w:proofErr w:type="spellStart"/>
      <w:r w:rsidRPr="00242020">
        <w:rPr>
          <w:rFonts w:eastAsia="Times New Roman" w:cs="Times New Roman"/>
          <w:szCs w:val="28"/>
          <w:lang w:eastAsia="ru-RU"/>
        </w:rPr>
        <w:t>тарифоутворення</w:t>
      </w:r>
      <w:proofErr w:type="spellEnd"/>
      <w:r w:rsidRPr="00242020">
        <w:rPr>
          <w:rFonts w:eastAsia="Times New Roman" w:cs="Times New Roman"/>
          <w:szCs w:val="28"/>
          <w:lang w:eastAsia="ru-RU"/>
        </w:rPr>
        <w:t>.</w:t>
      </w:r>
    </w:p>
    <w:p w:rsidR="00BC2617" w:rsidRPr="00242020" w:rsidRDefault="00BC2617" w:rsidP="005A5D40">
      <w:pPr>
        <w:jc w:val="both"/>
        <w:rPr>
          <w:rFonts w:eastAsia="Times New Roman" w:cs="Times New Roman"/>
          <w:szCs w:val="28"/>
          <w:lang w:eastAsia="ru-RU"/>
        </w:rPr>
      </w:pPr>
      <w:r w:rsidRPr="00242020">
        <w:rPr>
          <w:rFonts w:eastAsia="Times New Roman" w:cs="Times New Roman"/>
          <w:szCs w:val="28"/>
          <w:lang w:eastAsia="ru-RU"/>
        </w:rPr>
        <w:t xml:space="preserve">На виконання вищезазначених доручень забезпечено: </w:t>
      </w:r>
    </w:p>
    <w:p w:rsidR="00BC2617" w:rsidRPr="00242020" w:rsidRDefault="00BC2617" w:rsidP="005A5D40">
      <w:pPr>
        <w:jc w:val="both"/>
        <w:rPr>
          <w:rFonts w:eastAsia="Times New Roman" w:cs="Times New Roman"/>
          <w:szCs w:val="28"/>
          <w:lang w:eastAsia="ru-RU"/>
        </w:rPr>
      </w:pPr>
      <w:r w:rsidRPr="00242020">
        <w:rPr>
          <w:rFonts w:eastAsia="Times New Roman" w:cs="Times New Roman"/>
          <w:szCs w:val="28"/>
          <w:lang w:eastAsia="ru-RU"/>
        </w:rPr>
        <w:t xml:space="preserve">– розроблення на </w:t>
      </w:r>
      <w:proofErr w:type="spellStart"/>
      <w:r w:rsidRPr="00242020">
        <w:rPr>
          <w:rFonts w:eastAsia="Times New Roman" w:cs="Times New Roman"/>
          <w:szCs w:val="28"/>
          <w:lang w:eastAsia="ru-RU"/>
        </w:rPr>
        <w:t>веб-сайтах</w:t>
      </w:r>
      <w:proofErr w:type="spellEnd"/>
      <w:r w:rsidRPr="00242020">
        <w:rPr>
          <w:rFonts w:eastAsia="Times New Roman" w:cs="Times New Roman"/>
          <w:szCs w:val="28"/>
          <w:lang w:eastAsia="ru-RU"/>
        </w:rPr>
        <w:t xml:space="preserve"> товариств «особистих кабінетів акціонерів» (більшість працюють у тестовому режимі, «особисті кабінети» на </w:t>
      </w:r>
      <w:proofErr w:type="spellStart"/>
      <w:r w:rsidRPr="00242020">
        <w:rPr>
          <w:rFonts w:eastAsia="Times New Roman" w:cs="Times New Roman"/>
          <w:szCs w:val="28"/>
          <w:lang w:eastAsia="ru-RU"/>
        </w:rPr>
        <w:t>веб-сайтах</w:t>
      </w:r>
      <w:proofErr w:type="spellEnd"/>
      <w:r w:rsidRPr="00242020">
        <w:rPr>
          <w:rFonts w:eastAsia="Times New Roman" w:cs="Times New Roman"/>
          <w:szCs w:val="28"/>
          <w:lang w:eastAsia="ru-RU"/>
        </w:rPr>
        <w:t xml:space="preserve"> ПАТ «</w:t>
      </w:r>
      <w:proofErr w:type="spellStart"/>
      <w:r w:rsidRPr="00242020">
        <w:rPr>
          <w:rFonts w:eastAsia="Times New Roman" w:cs="Times New Roman"/>
          <w:szCs w:val="28"/>
          <w:lang w:eastAsia="ru-RU"/>
        </w:rPr>
        <w:t>Турбоатом</w:t>
      </w:r>
      <w:proofErr w:type="spellEnd"/>
      <w:r w:rsidRPr="00242020">
        <w:rPr>
          <w:rFonts w:eastAsia="Times New Roman" w:cs="Times New Roman"/>
          <w:szCs w:val="28"/>
          <w:lang w:eastAsia="ru-RU"/>
        </w:rPr>
        <w:t xml:space="preserve">» та ПАТ «Хмельницькобленерго» працюють у штатному </w:t>
      </w:r>
      <w:r w:rsidRPr="00242020">
        <w:rPr>
          <w:rFonts w:eastAsia="Times New Roman" w:cs="Times New Roman"/>
          <w:szCs w:val="28"/>
          <w:lang w:eastAsia="ru-RU"/>
        </w:rPr>
        <w:lastRenderedPageBreak/>
        <w:t>режимі);</w:t>
      </w:r>
    </w:p>
    <w:p w:rsidR="00BC2617" w:rsidRPr="00242020" w:rsidRDefault="00BC2617" w:rsidP="005A5D40">
      <w:pPr>
        <w:jc w:val="both"/>
        <w:rPr>
          <w:rFonts w:eastAsia="Times New Roman" w:cs="Times New Roman"/>
          <w:szCs w:val="28"/>
          <w:lang w:eastAsia="ru-RU"/>
        </w:rPr>
      </w:pPr>
      <w:r w:rsidRPr="00242020">
        <w:rPr>
          <w:rFonts w:eastAsia="Times New Roman" w:cs="Times New Roman"/>
          <w:szCs w:val="28"/>
          <w:lang w:eastAsia="ru-RU"/>
        </w:rPr>
        <w:t>– розроблення план-графіків державної реєстрації права власності та інших речових прав на нерухоме майно (включаючи земельні ділянки) в 11 товариствах (затверджено наглядовими радами – 5, решта знаходиться на стадії опрацювання);</w:t>
      </w:r>
    </w:p>
    <w:p w:rsidR="00BC2617" w:rsidRPr="00242020" w:rsidRDefault="00BC2617" w:rsidP="005A5D40">
      <w:pPr>
        <w:jc w:val="both"/>
        <w:rPr>
          <w:rFonts w:eastAsia="Times New Roman" w:cs="Times New Roman"/>
          <w:szCs w:val="28"/>
          <w:lang w:eastAsia="ru-RU"/>
        </w:rPr>
      </w:pPr>
      <w:r w:rsidRPr="00242020">
        <w:rPr>
          <w:rFonts w:eastAsia="Times New Roman" w:cs="Times New Roman"/>
          <w:szCs w:val="28"/>
          <w:lang w:eastAsia="ru-RU"/>
        </w:rPr>
        <w:t xml:space="preserve">– реєстрацію 18 товариств на Єдиному </w:t>
      </w:r>
      <w:proofErr w:type="spellStart"/>
      <w:r w:rsidRPr="00242020">
        <w:rPr>
          <w:rFonts w:eastAsia="Times New Roman" w:cs="Times New Roman"/>
          <w:szCs w:val="28"/>
          <w:lang w:eastAsia="ru-RU"/>
        </w:rPr>
        <w:t>веб-порталі</w:t>
      </w:r>
      <w:proofErr w:type="spellEnd"/>
      <w:r w:rsidRPr="00242020">
        <w:rPr>
          <w:rFonts w:eastAsia="Times New Roman" w:cs="Times New Roman"/>
          <w:szCs w:val="28"/>
          <w:lang w:eastAsia="ru-RU"/>
        </w:rPr>
        <w:t xml:space="preserve"> використання публічних коштів з подальшим висвітленням на ньому передбаченої Законом України «Про відкритість використання публічних коштів» інформації;</w:t>
      </w:r>
    </w:p>
    <w:p w:rsidR="00BC2617" w:rsidRPr="00242020" w:rsidRDefault="00BC2617" w:rsidP="005A5D40">
      <w:pPr>
        <w:jc w:val="both"/>
        <w:rPr>
          <w:rFonts w:eastAsia="Times New Roman" w:cs="Times New Roman"/>
          <w:szCs w:val="28"/>
          <w:lang w:eastAsia="ru-RU"/>
        </w:rPr>
      </w:pPr>
      <w:r w:rsidRPr="00242020">
        <w:rPr>
          <w:rFonts w:eastAsia="Times New Roman" w:cs="Times New Roman"/>
          <w:szCs w:val="28"/>
          <w:lang w:eastAsia="ru-RU"/>
        </w:rPr>
        <w:t>– здійснення 13 товариствами закупівлі товарів, робіт та послуг в порядку, спосіб та на умовах, визначених Законом України «Про публічні закупівлі» для замовників.</w:t>
      </w:r>
    </w:p>
    <w:p w:rsidR="00BC2617" w:rsidRPr="00242020" w:rsidRDefault="00BC2617" w:rsidP="005A5D40">
      <w:pPr>
        <w:jc w:val="both"/>
        <w:rPr>
          <w:rFonts w:eastAsia="Times New Roman" w:cs="Times New Roman"/>
          <w:szCs w:val="28"/>
          <w:lang w:eastAsia="ru-RU"/>
        </w:rPr>
      </w:pPr>
      <w:r w:rsidRPr="00242020">
        <w:rPr>
          <w:rFonts w:eastAsia="Times New Roman" w:cs="Times New Roman"/>
          <w:szCs w:val="28"/>
          <w:lang w:eastAsia="ru-RU"/>
        </w:rPr>
        <w:t>Працівники Фонду – члени наглядових рад господарських товариств, корпоративні права яких перебувають в управлінні Фонду, з часткою держави менше 50 % статутного капіталу беруть активну участь у засіданнях наглядових рад з метою контролю за діяльністю таких суб’єктів господарювання.</w:t>
      </w:r>
    </w:p>
    <w:p w:rsidR="00BC2617" w:rsidRPr="00242020" w:rsidRDefault="00BC2617" w:rsidP="005A5D40">
      <w:pPr>
        <w:jc w:val="both"/>
        <w:rPr>
          <w:rFonts w:eastAsia="Times New Roman" w:cs="Times New Roman"/>
          <w:szCs w:val="28"/>
          <w:lang w:eastAsia="ru-RU"/>
        </w:rPr>
      </w:pPr>
      <w:r w:rsidRPr="00242020">
        <w:rPr>
          <w:rFonts w:eastAsia="Times New Roman" w:cs="Times New Roman"/>
          <w:szCs w:val="28"/>
          <w:lang w:eastAsia="ru-RU"/>
        </w:rPr>
        <w:t>Разом з тим частиною господарських товариств (ПАТ «</w:t>
      </w:r>
      <w:proofErr w:type="spellStart"/>
      <w:r w:rsidRPr="00242020">
        <w:rPr>
          <w:rFonts w:eastAsia="Times New Roman" w:cs="Times New Roman"/>
          <w:szCs w:val="28"/>
          <w:lang w:eastAsia="ru-RU"/>
        </w:rPr>
        <w:t>Турбоатом</w:t>
      </w:r>
      <w:proofErr w:type="spellEnd"/>
      <w:r w:rsidRPr="00242020">
        <w:rPr>
          <w:rFonts w:eastAsia="Times New Roman" w:cs="Times New Roman"/>
          <w:szCs w:val="28"/>
          <w:lang w:eastAsia="ru-RU"/>
        </w:rPr>
        <w:t xml:space="preserve">», ПАТ «Сумихімпром», </w:t>
      </w:r>
      <w:proofErr w:type="spellStart"/>
      <w:r w:rsidRPr="00242020">
        <w:rPr>
          <w:rFonts w:eastAsia="Times New Roman" w:cs="Times New Roman"/>
          <w:szCs w:val="28"/>
          <w:lang w:eastAsia="ru-RU"/>
        </w:rPr>
        <w:t>АК</w:t>
      </w:r>
      <w:proofErr w:type="spellEnd"/>
      <w:r w:rsidRPr="00242020">
        <w:rPr>
          <w:rFonts w:eastAsia="Times New Roman" w:cs="Times New Roman"/>
          <w:szCs w:val="28"/>
          <w:lang w:eastAsia="ru-RU"/>
        </w:rPr>
        <w:t xml:space="preserve"> «Харківобленерго», ВАТ «</w:t>
      </w:r>
      <w:proofErr w:type="spellStart"/>
      <w:r w:rsidRPr="00242020">
        <w:rPr>
          <w:rFonts w:eastAsia="Times New Roman" w:cs="Times New Roman"/>
          <w:szCs w:val="28"/>
          <w:lang w:eastAsia="ru-RU"/>
        </w:rPr>
        <w:t>Запоріжжяобленерго</w:t>
      </w:r>
      <w:proofErr w:type="spellEnd"/>
      <w:r w:rsidRPr="00242020">
        <w:rPr>
          <w:rFonts w:eastAsia="Times New Roman" w:cs="Times New Roman"/>
          <w:szCs w:val="28"/>
          <w:lang w:eastAsia="ru-RU"/>
        </w:rPr>
        <w:t>», ПАТ «НВК «Наука» тощо) загальні збори протягом 1-4 років не проводилися або їх проведення блокувалося, що унеможливлювало реалізацію державою своїх прав як акціонера в таких суб’єктах господарювання.</w:t>
      </w:r>
    </w:p>
    <w:p w:rsidR="00BC2617" w:rsidRPr="00242020" w:rsidRDefault="00BC2617" w:rsidP="005A5D40">
      <w:pPr>
        <w:jc w:val="both"/>
        <w:rPr>
          <w:rFonts w:eastAsia="Times New Roman" w:cs="Times New Roman"/>
          <w:szCs w:val="28"/>
          <w:lang w:eastAsia="ru-RU"/>
        </w:rPr>
      </w:pPr>
      <w:r w:rsidRPr="00242020">
        <w:rPr>
          <w:rFonts w:eastAsia="Times New Roman" w:cs="Times New Roman"/>
          <w:szCs w:val="28"/>
          <w:lang w:eastAsia="ru-RU"/>
        </w:rPr>
        <w:t>На загальних зборах акціонерів (учасників), проведення яких забезпечено Фондом у звітному періоді, було прийнято, зокрема, такі рішення: внесено зміни до статутів господарських товариств, змінено склади наглядових рад та ревізійних комісій, прийнято рішення про виплату дивідендів тощо.</w:t>
      </w:r>
    </w:p>
    <w:p w:rsidR="00BC2617" w:rsidRPr="00242020" w:rsidRDefault="00BC2617" w:rsidP="005A5D40">
      <w:pPr>
        <w:jc w:val="both"/>
        <w:rPr>
          <w:rFonts w:eastAsia="Times New Roman" w:cs="Times New Roman"/>
          <w:szCs w:val="28"/>
          <w:lang w:eastAsia="ru-RU"/>
        </w:rPr>
      </w:pPr>
      <w:r w:rsidRPr="00242020">
        <w:rPr>
          <w:rFonts w:eastAsia="Times New Roman" w:cs="Times New Roman"/>
          <w:szCs w:val="28"/>
          <w:lang w:eastAsia="ru-RU"/>
        </w:rPr>
        <w:t>Фондом за власною ініціативою розроблено уніфікований статут господарського товариства, який охоплює найкращі вітчизняні та зарубіжні практики корпоративного управління (у тому числі Керівні принципи ОЕСР з корпоративного управління для підприємств з державною участю). Цим документом посилюється роль та контроль наглядових рад і ревізійних комісій за господарською діяльністю товариств з державною часткою.</w:t>
      </w:r>
    </w:p>
    <w:p w:rsidR="00BC2617" w:rsidRPr="00242020" w:rsidRDefault="00BC2617" w:rsidP="005A5D40">
      <w:pPr>
        <w:jc w:val="both"/>
        <w:rPr>
          <w:rFonts w:eastAsia="Times New Roman" w:cs="Times New Roman"/>
          <w:szCs w:val="28"/>
          <w:lang w:eastAsia="ru-RU"/>
        </w:rPr>
      </w:pPr>
      <w:r w:rsidRPr="00242020">
        <w:rPr>
          <w:rFonts w:eastAsia="Times New Roman" w:cs="Times New Roman"/>
          <w:szCs w:val="28"/>
          <w:lang w:eastAsia="ru-RU"/>
        </w:rPr>
        <w:t xml:space="preserve">Завдяки внесенню змін до статутів господарських товариств Фонд отримав можливість здійснення заміни представників держави у наглядових радах господарських товариств без скликання загальних зборів. Протягом року представників держави у значній частині наглядових рад суб’єктів господарювання, підпорядкованих апарату Фонду (зокрема ПАТ «Сумихімпром», </w:t>
      </w:r>
      <w:proofErr w:type="spellStart"/>
      <w:r w:rsidRPr="00242020">
        <w:rPr>
          <w:rFonts w:eastAsia="Times New Roman" w:cs="Times New Roman"/>
          <w:szCs w:val="28"/>
          <w:lang w:eastAsia="ru-RU"/>
        </w:rPr>
        <w:t>АК</w:t>
      </w:r>
      <w:proofErr w:type="spellEnd"/>
      <w:r w:rsidRPr="00242020">
        <w:rPr>
          <w:rFonts w:eastAsia="Times New Roman" w:cs="Times New Roman"/>
          <w:szCs w:val="28"/>
          <w:lang w:eastAsia="ru-RU"/>
        </w:rPr>
        <w:t xml:space="preserve"> «Харківобленерго», ВАТ «</w:t>
      </w:r>
      <w:proofErr w:type="spellStart"/>
      <w:r w:rsidRPr="00242020">
        <w:rPr>
          <w:rFonts w:eastAsia="Times New Roman" w:cs="Times New Roman"/>
          <w:szCs w:val="28"/>
          <w:lang w:eastAsia="ru-RU"/>
        </w:rPr>
        <w:t>Запоріжжяобленерго</w:t>
      </w:r>
      <w:proofErr w:type="spellEnd"/>
      <w:r w:rsidRPr="00242020">
        <w:rPr>
          <w:rFonts w:eastAsia="Times New Roman" w:cs="Times New Roman"/>
          <w:szCs w:val="28"/>
          <w:lang w:eastAsia="ru-RU"/>
        </w:rPr>
        <w:t>»), до складу яких не входили представники Фонду або господарських товариств та які не були заінтересовані в ефективній роботі товариств, у переважній більшості замінено на представників Фонду.</w:t>
      </w:r>
    </w:p>
    <w:p w:rsidR="00BC2617" w:rsidRPr="00242020" w:rsidRDefault="00BC2617" w:rsidP="005A5D40">
      <w:pPr>
        <w:jc w:val="both"/>
        <w:rPr>
          <w:rFonts w:eastAsia="Times New Roman" w:cs="Times New Roman"/>
          <w:szCs w:val="28"/>
          <w:lang w:eastAsia="ru-RU"/>
        </w:rPr>
      </w:pPr>
      <w:r w:rsidRPr="00242020">
        <w:rPr>
          <w:rFonts w:eastAsia="Times New Roman" w:cs="Times New Roman"/>
          <w:szCs w:val="28"/>
          <w:lang w:eastAsia="ru-RU"/>
        </w:rPr>
        <w:t>Господарськими товариствами, якими від 1 до 4 років не приймалися рішення про виплату дивідендів, у 2016 році загальними зборами було прийнято рішення про виплату дивідендів за всі попередні періоди.</w:t>
      </w:r>
    </w:p>
    <w:p w:rsidR="00BC2617" w:rsidRPr="00242020" w:rsidRDefault="00BC2617" w:rsidP="005A5D40">
      <w:pPr>
        <w:jc w:val="both"/>
        <w:rPr>
          <w:rFonts w:eastAsia="Times New Roman" w:cs="Times New Roman"/>
          <w:szCs w:val="28"/>
          <w:lang w:eastAsia="ru-RU"/>
        </w:rPr>
      </w:pPr>
      <w:r w:rsidRPr="00242020">
        <w:rPr>
          <w:rFonts w:eastAsia="Times New Roman" w:cs="Times New Roman"/>
          <w:szCs w:val="28"/>
          <w:lang w:eastAsia="ru-RU"/>
        </w:rPr>
        <w:t>Також відповідно до вимог чинного законодавства Фондом забезпечено проведення незалежного аудиту фінансової звітності господарських товариств за 2015 рік, корпоративні права яких перебувають в управлінні Фонду.</w:t>
      </w:r>
    </w:p>
    <w:p w:rsidR="00BC2617" w:rsidRPr="00242020" w:rsidRDefault="00BC2617" w:rsidP="005A5D40">
      <w:pPr>
        <w:jc w:val="both"/>
        <w:rPr>
          <w:rFonts w:eastAsia="Times New Roman" w:cs="Times New Roman"/>
          <w:sz w:val="16"/>
          <w:szCs w:val="16"/>
          <w:u w:val="single"/>
          <w:lang w:eastAsia="ru-RU"/>
        </w:rPr>
      </w:pPr>
    </w:p>
    <w:p w:rsidR="00BC2617" w:rsidRPr="00242020" w:rsidRDefault="00BC2617" w:rsidP="005A5D40">
      <w:pPr>
        <w:jc w:val="both"/>
        <w:rPr>
          <w:rFonts w:eastAsia="Times New Roman" w:cs="Times New Roman"/>
          <w:szCs w:val="28"/>
          <w:lang w:eastAsia="ru-RU"/>
        </w:rPr>
      </w:pPr>
      <w:r w:rsidRPr="00242020">
        <w:rPr>
          <w:rFonts w:eastAsia="Times New Roman" w:cs="Times New Roman"/>
          <w:szCs w:val="28"/>
          <w:lang w:eastAsia="ru-RU"/>
        </w:rPr>
        <w:t>Фондом приділяється постійна увага питанням удосконалення нормативно-правового забезпечення управління корпоративними правами держави. Так, протягом 2016 року Фондом опрацьовано 1</w:t>
      </w:r>
      <w:r w:rsidR="00FC066C">
        <w:rPr>
          <w:rFonts w:eastAsia="Times New Roman" w:cs="Times New Roman"/>
          <w:szCs w:val="28"/>
          <w:lang w:eastAsia="ru-RU"/>
        </w:rPr>
        <w:t>8</w:t>
      </w:r>
      <w:r w:rsidRPr="00242020">
        <w:rPr>
          <w:rFonts w:eastAsia="Times New Roman" w:cs="Times New Roman"/>
          <w:szCs w:val="28"/>
          <w:lang w:eastAsia="ru-RU"/>
        </w:rPr>
        <w:t xml:space="preserve"> проектів актів Уряду з питань управління корпоративними правами держави, а саме:</w:t>
      </w:r>
    </w:p>
    <w:p w:rsidR="00BC2617" w:rsidRPr="00242020" w:rsidRDefault="00BC2617" w:rsidP="005A5D40">
      <w:pPr>
        <w:jc w:val="both"/>
        <w:rPr>
          <w:rFonts w:eastAsia="Times New Roman" w:cs="Times New Roman"/>
          <w:szCs w:val="28"/>
          <w:lang w:eastAsia="ru-RU"/>
        </w:rPr>
      </w:pPr>
      <w:r w:rsidRPr="00242020">
        <w:rPr>
          <w:rFonts w:eastAsia="Times New Roman" w:cs="Times New Roman"/>
          <w:szCs w:val="28"/>
          <w:lang w:eastAsia="ru-RU"/>
        </w:rPr>
        <w:t>– постанови Кабінету Міністрів України «Питання управління публічним акціонерним товариством «Науково-дослідний інститут електромеханічних приладів»;</w:t>
      </w:r>
    </w:p>
    <w:p w:rsidR="00BC2617" w:rsidRPr="00242020" w:rsidRDefault="00BC2617" w:rsidP="005A5D40">
      <w:pPr>
        <w:jc w:val="both"/>
        <w:rPr>
          <w:rFonts w:eastAsia="Times New Roman" w:cs="Times New Roman"/>
          <w:szCs w:val="28"/>
          <w:lang w:eastAsia="ru-RU"/>
        </w:rPr>
      </w:pPr>
      <w:r w:rsidRPr="00242020">
        <w:rPr>
          <w:rFonts w:eastAsia="Times New Roman" w:cs="Times New Roman"/>
          <w:szCs w:val="28"/>
          <w:lang w:eastAsia="ru-RU"/>
        </w:rPr>
        <w:t>– розпорядження Кабінету Міністрів України «Про передачу Державному концерну «</w:t>
      </w:r>
      <w:proofErr w:type="spellStart"/>
      <w:r w:rsidRPr="00242020">
        <w:rPr>
          <w:rFonts w:eastAsia="Times New Roman" w:cs="Times New Roman"/>
          <w:szCs w:val="28"/>
          <w:lang w:eastAsia="ru-RU"/>
        </w:rPr>
        <w:t>Укроборонпром</w:t>
      </w:r>
      <w:proofErr w:type="spellEnd"/>
      <w:r w:rsidRPr="00242020">
        <w:rPr>
          <w:rFonts w:eastAsia="Times New Roman" w:cs="Times New Roman"/>
          <w:szCs w:val="28"/>
          <w:lang w:eastAsia="ru-RU"/>
        </w:rPr>
        <w:t>» повноважень з управління корпоративними правами держави щодо публічного акціонерного товариства «Центральне конструкторське бюро «Ритм»;</w:t>
      </w:r>
    </w:p>
    <w:p w:rsidR="00BC2617" w:rsidRPr="00242020" w:rsidRDefault="00BC2617" w:rsidP="005A5D40">
      <w:pPr>
        <w:jc w:val="both"/>
        <w:rPr>
          <w:rFonts w:eastAsia="Times New Roman" w:cs="Times New Roman"/>
          <w:szCs w:val="28"/>
          <w:lang w:eastAsia="ru-RU"/>
        </w:rPr>
      </w:pPr>
      <w:r w:rsidRPr="00242020">
        <w:rPr>
          <w:rFonts w:eastAsia="Times New Roman" w:cs="Times New Roman"/>
          <w:szCs w:val="28"/>
          <w:lang w:eastAsia="ru-RU"/>
        </w:rPr>
        <w:t>– постанови Кабінету Міністрів України «Деякі питання публічного акціонерного товариства «Аграрний фонд»;</w:t>
      </w:r>
    </w:p>
    <w:p w:rsidR="00BC2617" w:rsidRPr="00242020" w:rsidRDefault="00BC2617" w:rsidP="005A5D40">
      <w:pPr>
        <w:jc w:val="both"/>
        <w:rPr>
          <w:rFonts w:eastAsia="Times New Roman" w:cs="Times New Roman"/>
          <w:szCs w:val="28"/>
          <w:lang w:eastAsia="ru-RU"/>
        </w:rPr>
      </w:pPr>
      <w:r w:rsidRPr="00242020">
        <w:rPr>
          <w:rFonts w:eastAsia="Times New Roman" w:cs="Times New Roman"/>
          <w:szCs w:val="28"/>
          <w:lang w:eastAsia="ru-RU"/>
        </w:rPr>
        <w:t>– розпорядження Кабінету Міністрів України «Деякі питання Державного концерну «</w:t>
      </w:r>
      <w:proofErr w:type="spellStart"/>
      <w:r w:rsidRPr="00242020">
        <w:rPr>
          <w:rFonts w:eastAsia="Times New Roman" w:cs="Times New Roman"/>
          <w:szCs w:val="28"/>
          <w:lang w:eastAsia="ru-RU"/>
        </w:rPr>
        <w:t>Укроборонпром</w:t>
      </w:r>
      <w:proofErr w:type="spellEnd"/>
      <w:r w:rsidRPr="00242020">
        <w:rPr>
          <w:rFonts w:eastAsia="Times New Roman" w:cs="Times New Roman"/>
          <w:szCs w:val="28"/>
          <w:lang w:eastAsia="ru-RU"/>
        </w:rPr>
        <w:t>»;</w:t>
      </w:r>
    </w:p>
    <w:p w:rsidR="00BC2617" w:rsidRPr="00242020" w:rsidRDefault="00BC2617" w:rsidP="005A5D40">
      <w:pPr>
        <w:jc w:val="both"/>
        <w:rPr>
          <w:rFonts w:eastAsia="Times New Roman" w:cs="Times New Roman"/>
          <w:szCs w:val="28"/>
          <w:lang w:eastAsia="ru-RU"/>
        </w:rPr>
      </w:pPr>
      <w:r w:rsidRPr="00242020">
        <w:rPr>
          <w:rFonts w:eastAsia="Times New Roman" w:cs="Times New Roman"/>
          <w:szCs w:val="28"/>
          <w:lang w:eastAsia="ru-RU"/>
        </w:rPr>
        <w:t>– постанови Кабінету Міністрів України «Про відокремлення діяльності з транспортування та зберігання (закачування, відбору) природного газу» та План реструктуризації публічного акціонерного товариства «Національна акціонерна компанія «</w:t>
      </w:r>
      <w:proofErr w:type="spellStart"/>
      <w:r w:rsidRPr="00242020">
        <w:rPr>
          <w:rFonts w:eastAsia="Times New Roman" w:cs="Times New Roman"/>
          <w:szCs w:val="28"/>
          <w:lang w:eastAsia="ru-RU"/>
        </w:rPr>
        <w:t>Нафтогаз</w:t>
      </w:r>
      <w:proofErr w:type="spellEnd"/>
      <w:r w:rsidRPr="00242020">
        <w:rPr>
          <w:rFonts w:eastAsia="Times New Roman" w:cs="Times New Roman"/>
          <w:szCs w:val="28"/>
          <w:lang w:eastAsia="ru-RU"/>
        </w:rPr>
        <w:t xml:space="preserve"> України» з метою відокремлення діяльності з транспортування та зберігання (закачування, відбору) природного газу;</w:t>
      </w:r>
    </w:p>
    <w:p w:rsidR="00BC2617" w:rsidRPr="00242020" w:rsidRDefault="00BC2617" w:rsidP="005A5D40">
      <w:pPr>
        <w:jc w:val="both"/>
        <w:rPr>
          <w:rFonts w:eastAsia="Times New Roman" w:cs="Times New Roman"/>
          <w:szCs w:val="28"/>
          <w:lang w:eastAsia="ru-RU"/>
        </w:rPr>
      </w:pPr>
      <w:r w:rsidRPr="00242020">
        <w:rPr>
          <w:rFonts w:eastAsia="Times New Roman" w:cs="Times New Roman"/>
          <w:szCs w:val="28"/>
          <w:lang w:eastAsia="ru-RU"/>
        </w:rPr>
        <w:t>– розпорядження Кабінету Міністрів України «Про передачу Державному концерну «</w:t>
      </w:r>
      <w:proofErr w:type="spellStart"/>
      <w:r w:rsidRPr="00242020">
        <w:rPr>
          <w:rFonts w:eastAsia="Times New Roman" w:cs="Times New Roman"/>
          <w:szCs w:val="28"/>
          <w:lang w:eastAsia="ru-RU"/>
        </w:rPr>
        <w:t>Укроборонпром</w:t>
      </w:r>
      <w:proofErr w:type="spellEnd"/>
      <w:r w:rsidRPr="00242020">
        <w:rPr>
          <w:rFonts w:eastAsia="Times New Roman" w:cs="Times New Roman"/>
          <w:szCs w:val="28"/>
          <w:lang w:eastAsia="ru-RU"/>
        </w:rPr>
        <w:t>» повноважень з управління корпоративними правами держави щодо публічного акціонерного товариства «Науково-технічний комплекс «</w:t>
      </w:r>
      <w:proofErr w:type="spellStart"/>
      <w:r w:rsidRPr="00242020">
        <w:rPr>
          <w:rFonts w:eastAsia="Times New Roman" w:cs="Times New Roman"/>
          <w:szCs w:val="28"/>
          <w:lang w:eastAsia="ru-RU"/>
        </w:rPr>
        <w:t>Електронприлад</w:t>
      </w:r>
      <w:proofErr w:type="spellEnd"/>
      <w:r w:rsidRPr="00242020">
        <w:rPr>
          <w:rFonts w:eastAsia="Times New Roman" w:cs="Times New Roman"/>
          <w:szCs w:val="28"/>
          <w:lang w:eastAsia="ru-RU"/>
        </w:rPr>
        <w:t>»;</w:t>
      </w:r>
    </w:p>
    <w:p w:rsidR="00BC2617" w:rsidRPr="00242020" w:rsidRDefault="00BC2617" w:rsidP="005A5D40">
      <w:pPr>
        <w:jc w:val="both"/>
        <w:rPr>
          <w:rFonts w:eastAsia="Times New Roman" w:cs="Times New Roman"/>
          <w:szCs w:val="28"/>
          <w:lang w:eastAsia="ru-RU"/>
        </w:rPr>
      </w:pPr>
      <w:r w:rsidRPr="00242020">
        <w:rPr>
          <w:rFonts w:eastAsia="Times New Roman" w:cs="Times New Roman"/>
          <w:szCs w:val="28"/>
          <w:lang w:eastAsia="ru-RU"/>
        </w:rPr>
        <w:t>– розпорядження Кабінету Міністрів України «Про утворення ПАТ «Магістральні газопроводи України»;</w:t>
      </w:r>
    </w:p>
    <w:p w:rsidR="00BC2617" w:rsidRPr="00242020" w:rsidRDefault="00BC2617" w:rsidP="005A5D40">
      <w:pPr>
        <w:jc w:val="both"/>
        <w:rPr>
          <w:rFonts w:eastAsia="Times New Roman" w:cs="Times New Roman"/>
          <w:szCs w:val="28"/>
          <w:lang w:eastAsia="ru-RU"/>
        </w:rPr>
      </w:pPr>
      <w:r w:rsidRPr="00242020">
        <w:rPr>
          <w:rFonts w:eastAsia="Times New Roman" w:cs="Times New Roman"/>
          <w:szCs w:val="28"/>
          <w:lang w:eastAsia="ru-RU"/>
        </w:rPr>
        <w:t>– розпорядження Кабінету Міністрів України «Про перетворення державного підприємства «Національна енергетична компанія «Укренерго»;</w:t>
      </w:r>
    </w:p>
    <w:p w:rsidR="00BC2617" w:rsidRPr="00242020" w:rsidRDefault="00BC2617" w:rsidP="005A5D40">
      <w:pPr>
        <w:jc w:val="both"/>
        <w:rPr>
          <w:rFonts w:eastAsia="Times New Roman" w:cs="Times New Roman"/>
          <w:szCs w:val="28"/>
          <w:lang w:eastAsia="ru-RU"/>
        </w:rPr>
      </w:pPr>
      <w:r w:rsidRPr="00242020">
        <w:rPr>
          <w:rFonts w:eastAsia="Times New Roman" w:cs="Times New Roman"/>
          <w:szCs w:val="28"/>
          <w:lang w:eastAsia="ru-RU"/>
        </w:rPr>
        <w:t>– постанови Кабінету Міністрів України «Про затвердження Порядку встановлення чітких цілей діяльності для державних унітарних підприємств та господарських товариств, у статутному капіталі яких більше 50 відсотків акцій (часток) належать державі»;</w:t>
      </w:r>
    </w:p>
    <w:p w:rsidR="00BC2617" w:rsidRPr="00242020" w:rsidRDefault="00BC2617" w:rsidP="005A5D40">
      <w:pPr>
        <w:jc w:val="both"/>
        <w:rPr>
          <w:rFonts w:eastAsia="Times New Roman" w:cs="Times New Roman"/>
          <w:szCs w:val="28"/>
          <w:lang w:eastAsia="ru-RU"/>
        </w:rPr>
      </w:pPr>
      <w:r w:rsidRPr="00242020">
        <w:rPr>
          <w:rFonts w:eastAsia="Times New Roman" w:cs="Times New Roman"/>
          <w:szCs w:val="28"/>
          <w:lang w:eastAsia="ru-RU"/>
        </w:rPr>
        <w:t>– постанови Кабінету Міністрів України «Про затвердження порядку оприлюднення інформації про діяльність державних унітарних підприємств та господарських товариств, у статутному капіталі яких більше 50 відсотків акцій (часток) належить державі, а також господарських товариств, 50 і більше відсотків акцій (часток) яких належить господарським товариствам, частка держави в яких становить 100 відсотків»;</w:t>
      </w:r>
    </w:p>
    <w:p w:rsidR="00BC2617" w:rsidRPr="00242020" w:rsidRDefault="00BC2617" w:rsidP="005A5D40">
      <w:pPr>
        <w:jc w:val="both"/>
        <w:rPr>
          <w:rFonts w:eastAsia="Times New Roman" w:cs="Times New Roman"/>
          <w:szCs w:val="28"/>
          <w:lang w:eastAsia="ru-RU"/>
        </w:rPr>
      </w:pPr>
      <w:r w:rsidRPr="00242020">
        <w:rPr>
          <w:rFonts w:eastAsia="Times New Roman" w:cs="Times New Roman"/>
          <w:szCs w:val="28"/>
          <w:lang w:eastAsia="ru-RU"/>
        </w:rPr>
        <w:t>– постанови Кабінету Міністрів України «Про деякі питання управління державними унітарними підприємствами та господарськими товариствами, у статутному капіталі яких більше 50 відсотків акцій (часток) належать державі»;</w:t>
      </w:r>
    </w:p>
    <w:p w:rsidR="00BC2617" w:rsidRPr="00242020" w:rsidRDefault="00BC2617" w:rsidP="005A5D40">
      <w:pPr>
        <w:jc w:val="both"/>
        <w:rPr>
          <w:rFonts w:eastAsia="Times New Roman" w:cs="Times New Roman"/>
          <w:szCs w:val="28"/>
          <w:lang w:eastAsia="ru-RU"/>
        </w:rPr>
      </w:pPr>
      <w:r w:rsidRPr="00242020">
        <w:rPr>
          <w:rFonts w:eastAsia="Times New Roman" w:cs="Times New Roman"/>
          <w:szCs w:val="28"/>
          <w:lang w:eastAsia="ru-RU"/>
        </w:rPr>
        <w:t xml:space="preserve">– постанови Кабінету Міністрів України «Про затвердження порядку встановлення чітких цілей діяльності для державних унітарних підприємств та господарських товариств, у статутному капіталі яких більше 50 відсотків акцій </w:t>
      </w:r>
      <w:r w:rsidRPr="00242020">
        <w:rPr>
          <w:rFonts w:eastAsia="Times New Roman" w:cs="Times New Roman"/>
          <w:szCs w:val="28"/>
          <w:lang w:eastAsia="ru-RU"/>
        </w:rPr>
        <w:lastRenderedPageBreak/>
        <w:t>(часток) належить державі»;</w:t>
      </w:r>
    </w:p>
    <w:p w:rsidR="00BC2617" w:rsidRPr="00242020" w:rsidRDefault="00BC2617" w:rsidP="005A5D40">
      <w:pPr>
        <w:jc w:val="both"/>
        <w:rPr>
          <w:rFonts w:eastAsia="Times New Roman" w:cs="Times New Roman"/>
          <w:szCs w:val="28"/>
          <w:lang w:eastAsia="ru-RU"/>
        </w:rPr>
      </w:pPr>
      <w:r w:rsidRPr="00242020">
        <w:rPr>
          <w:rFonts w:eastAsia="Times New Roman" w:cs="Times New Roman"/>
          <w:szCs w:val="28"/>
          <w:lang w:eastAsia="ru-RU"/>
        </w:rPr>
        <w:t>– постанови Кабінету Міністрів України «Про деякі питання управління об’єктами державної власності»;</w:t>
      </w:r>
    </w:p>
    <w:p w:rsidR="00BC2617" w:rsidRPr="00242020" w:rsidRDefault="00BC2617" w:rsidP="005A5D40">
      <w:pPr>
        <w:jc w:val="both"/>
        <w:rPr>
          <w:rFonts w:eastAsia="Times New Roman" w:cs="Times New Roman"/>
          <w:szCs w:val="28"/>
          <w:lang w:eastAsia="ru-RU"/>
        </w:rPr>
      </w:pPr>
      <w:r w:rsidRPr="00242020">
        <w:rPr>
          <w:rFonts w:eastAsia="Times New Roman" w:cs="Times New Roman"/>
          <w:szCs w:val="28"/>
          <w:lang w:eastAsia="ru-RU"/>
        </w:rPr>
        <w:t>– постанови Кабінету Міністрів України «Про формування та ведення реєстру укладених контрактів з керівниками суб’єктів господарської діяльності державного сектору економіки»;</w:t>
      </w:r>
    </w:p>
    <w:p w:rsidR="00BC2617" w:rsidRPr="00242020" w:rsidRDefault="00BC2617" w:rsidP="005A5D40">
      <w:pPr>
        <w:jc w:val="both"/>
        <w:rPr>
          <w:rFonts w:eastAsia="Times New Roman" w:cs="Times New Roman"/>
          <w:szCs w:val="28"/>
          <w:lang w:eastAsia="ru-RU"/>
        </w:rPr>
      </w:pPr>
      <w:r w:rsidRPr="00242020">
        <w:rPr>
          <w:rFonts w:eastAsia="Times New Roman" w:cs="Times New Roman"/>
          <w:szCs w:val="28"/>
          <w:lang w:eastAsia="ru-RU"/>
        </w:rPr>
        <w:t>– постанови Кабінету Міністрів України «Про затвердження порядку добровільного страхування відповідальності членів наглядових рад державних унітарних підприємств та господарських товариств, у статутному капіталі яких більше 50 відсотків акцій (часток) належить державі»;</w:t>
      </w:r>
    </w:p>
    <w:p w:rsidR="00BC2617" w:rsidRPr="00242020" w:rsidRDefault="00BC2617" w:rsidP="005A5D40">
      <w:pPr>
        <w:jc w:val="both"/>
        <w:rPr>
          <w:rFonts w:eastAsia="Times New Roman" w:cs="Times New Roman"/>
          <w:szCs w:val="28"/>
          <w:lang w:eastAsia="ru-RU"/>
        </w:rPr>
      </w:pPr>
      <w:r w:rsidRPr="00242020">
        <w:rPr>
          <w:rFonts w:eastAsia="Times New Roman" w:cs="Times New Roman"/>
          <w:szCs w:val="28"/>
          <w:lang w:eastAsia="ru-RU"/>
        </w:rPr>
        <w:t>– постанови Кабінету Міністрів України «Про затвердження порядку визначення умов оплати послуг та компенсації витрат членів наглядових рад державних унітарних підприємств та господарських товариств, у статутному капіталі яких більше 50 відсотків акцій (часток) належить державі»;</w:t>
      </w:r>
    </w:p>
    <w:p w:rsidR="00033D7B" w:rsidRDefault="00BC2617" w:rsidP="005A5D40">
      <w:pPr>
        <w:jc w:val="both"/>
        <w:rPr>
          <w:rFonts w:eastAsia="Times New Roman" w:cs="Times New Roman"/>
          <w:szCs w:val="28"/>
          <w:lang w:eastAsia="ru-RU"/>
        </w:rPr>
      </w:pPr>
      <w:r w:rsidRPr="00242020">
        <w:rPr>
          <w:rFonts w:eastAsia="Times New Roman" w:cs="Times New Roman"/>
          <w:szCs w:val="28"/>
          <w:lang w:eastAsia="ru-RU"/>
        </w:rPr>
        <w:t>– постанови Кабінету Міністрів України «Про затвердження порядку оприлюднення інформації про діяльність державних унітарних підприємств та господарських товариств, у статутному капіталі яких більше 50 відсотків акцій (часток) належать державі, а також господарських товариств, 50 і більше відсотків акцій (часток) яких належать господарським товариствам, частка держави в яких становить 100 відсотків»</w:t>
      </w:r>
      <w:r w:rsidR="00033D7B">
        <w:rPr>
          <w:rFonts w:eastAsia="Times New Roman" w:cs="Times New Roman"/>
          <w:szCs w:val="28"/>
          <w:lang w:eastAsia="ru-RU"/>
        </w:rPr>
        <w:t>;</w:t>
      </w:r>
    </w:p>
    <w:p w:rsidR="00033D7B" w:rsidRPr="00033D7B" w:rsidRDefault="00033D7B" w:rsidP="00033D7B">
      <w:pPr>
        <w:jc w:val="both"/>
        <w:rPr>
          <w:rFonts w:eastAsia="Times New Roman"/>
          <w:lang w:eastAsia="ru-RU"/>
        </w:rPr>
      </w:pPr>
      <w:r w:rsidRPr="00033D7B">
        <w:rPr>
          <w:rFonts w:eastAsia="Times New Roman"/>
          <w:lang w:eastAsia="ru-RU"/>
        </w:rPr>
        <w:t>– постанови Кабінету Міністрів України «Про внесення змін до Порядку здійснення контролю за виконанням функцій з управління об</w:t>
      </w:r>
      <w:r>
        <w:rPr>
          <w:rFonts w:eastAsia="Times New Roman"/>
          <w:lang w:eastAsia="ru-RU"/>
        </w:rPr>
        <w:t>’</w:t>
      </w:r>
      <w:r w:rsidRPr="00033D7B">
        <w:rPr>
          <w:rFonts w:eastAsia="Times New Roman"/>
          <w:lang w:eastAsia="ru-RU"/>
        </w:rPr>
        <w:t>єктами державної власності та критеріїв визначення ефективності управління об‘єктами державної власності».</w:t>
      </w:r>
    </w:p>
    <w:p w:rsidR="00BC2617" w:rsidRPr="00242020" w:rsidRDefault="00BC2617" w:rsidP="005A5D40">
      <w:pPr>
        <w:jc w:val="both"/>
        <w:rPr>
          <w:rFonts w:eastAsia="Times New Roman" w:cs="Times New Roman"/>
          <w:szCs w:val="28"/>
          <w:lang w:eastAsia="ru-RU"/>
        </w:rPr>
      </w:pPr>
      <w:r w:rsidRPr="00242020">
        <w:rPr>
          <w:rFonts w:eastAsia="Times New Roman" w:cs="Times New Roman"/>
          <w:szCs w:val="28"/>
          <w:lang w:eastAsia="ru-RU"/>
        </w:rPr>
        <w:t>Крім того, опрацьовано та погоджено:</w:t>
      </w:r>
    </w:p>
    <w:p w:rsidR="00BC2617" w:rsidRPr="00242020" w:rsidRDefault="00BC2617" w:rsidP="005A5D40">
      <w:pPr>
        <w:jc w:val="both"/>
        <w:rPr>
          <w:rFonts w:eastAsia="Times New Roman" w:cs="Times New Roman"/>
          <w:szCs w:val="28"/>
          <w:lang w:eastAsia="ru-RU"/>
        </w:rPr>
      </w:pPr>
      <w:r w:rsidRPr="00242020">
        <w:rPr>
          <w:rFonts w:eastAsia="Times New Roman" w:cs="Times New Roman"/>
          <w:szCs w:val="28"/>
          <w:lang w:eastAsia="ru-RU"/>
        </w:rPr>
        <w:t>– </w:t>
      </w:r>
      <w:r w:rsidRPr="00242020">
        <w:rPr>
          <w:rFonts w:eastAsia="Times-Roman" w:cs="Times New Roman"/>
          <w:szCs w:val="28"/>
          <w:lang w:eastAsia="ru-RU"/>
        </w:rPr>
        <w:t>проект Закону України «Про внесення змін до статті 7 Закону України «Про трубопровідний транспорт» (реєстраційний № 5396 від 15.11.2016)</w:t>
      </w:r>
      <w:r w:rsidRPr="00242020">
        <w:rPr>
          <w:rFonts w:eastAsia="Times New Roman" w:cs="Times New Roman"/>
          <w:szCs w:val="28"/>
          <w:lang w:eastAsia="ru-RU"/>
        </w:rPr>
        <w:t>;</w:t>
      </w:r>
    </w:p>
    <w:p w:rsidR="00BC2617" w:rsidRPr="00242020" w:rsidRDefault="00BC2617" w:rsidP="005A5D40">
      <w:pPr>
        <w:jc w:val="both"/>
        <w:rPr>
          <w:rFonts w:eastAsia="Times New Roman" w:cs="Times New Roman"/>
          <w:szCs w:val="28"/>
          <w:lang w:eastAsia="ru-RU"/>
        </w:rPr>
      </w:pPr>
      <w:r w:rsidRPr="00242020">
        <w:rPr>
          <w:rFonts w:eastAsia="Times-Roman" w:cs="Times New Roman"/>
          <w:szCs w:val="28"/>
          <w:lang w:eastAsia="ru-RU"/>
        </w:rPr>
        <w:t>– проект постанови Кабінету Міністрів України «Питання публічного акціонерного товариства «Магістральні газопроводи України»;</w:t>
      </w:r>
    </w:p>
    <w:p w:rsidR="00BC2617" w:rsidRPr="00242020" w:rsidRDefault="00BC2617" w:rsidP="005A5D40">
      <w:pPr>
        <w:jc w:val="both"/>
        <w:rPr>
          <w:rFonts w:eastAsia="Times New Roman" w:cs="Times New Roman"/>
          <w:szCs w:val="28"/>
          <w:lang w:eastAsia="ru-RU"/>
        </w:rPr>
      </w:pPr>
      <w:r w:rsidRPr="00242020">
        <w:rPr>
          <w:rFonts w:eastAsia="Times New Roman" w:cs="Times New Roman"/>
          <w:szCs w:val="28"/>
          <w:lang w:eastAsia="ru-RU"/>
        </w:rPr>
        <w:t>– </w:t>
      </w:r>
      <w:r w:rsidRPr="00242020">
        <w:rPr>
          <w:rFonts w:eastAsia="Times-Roman" w:cs="Times New Roman"/>
          <w:szCs w:val="28"/>
          <w:lang w:eastAsia="ru-RU"/>
        </w:rPr>
        <w:t xml:space="preserve">проект розпорядження Кабінету Міністрів України «Питання переведення </w:t>
      </w:r>
      <w:proofErr w:type="spellStart"/>
      <w:r w:rsidRPr="00242020">
        <w:rPr>
          <w:rFonts w:eastAsia="Times-Roman" w:cs="Times New Roman"/>
          <w:szCs w:val="28"/>
          <w:lang w:eastAsia="ru-RU"/>
        </w:rPr>
        <w:t>Зміївської</w:t>
      </w:r>
      <w:proofErr w:type="spellEnd"/>
      <w:r w:rsidRPr="00242020">
        <w:rPr>
          <w:rFonts w:eastAsia="Times-Roman" w:cs="Times New Roman"/>
          <w:szCs w:val="28"/>
          <w:lang w:eastAsia="ru-RU"/>
        </w:rPr>
        <w:t xml:space="preserve"> теплової електростанції публічного акціонерного товариства «</w:t>
      </w:r>
      <w:proofErr w:type="spellStart"/>
      <w:r w:rsidRPr="00242020">
        <w:rPr>
          <w:rFonts w:eastAsia="Times-Roman" w:cs="Times New Roman"/>
          <w:szCs w:val="28"/>
          <w:lang w:eastAsia="ru-RU"/>
        </w:rPr>
        <w:t>Центренерго</w:t>
      </w:r>
      <w:proofErr w:type="spellEnd"/>
      <w:r w:rsidRPr="00242020">
        <w:rPr>
          <w:rFonts w:eastAsia="Times-Roman" w:cs="Times New Roman"/>
          <w:szCs w:val="28"/>
          <w:lang w:eastAsia="ru-RU"/>
        </w:rPr>
        <w:t>» на використання вугілля марок «Г», «</w:t>
      </w:r>
      <w:proofErr w:type="spellStart"/>
      <w:r w:rsidRPr="00242020">
        <w:rPr>
          <w:rFonts w:eastAsia="Times-Roman" w:cs="Times New Roman"/>
          <w:szCs w:val="28"/>
          <w:lang w:eastAsia="ru-RU"/>
        </w:rPr>
        <w:t>ДГ</w:t>
      </w:r>
      <w:proofErr w:type="spellEnd"/>
      <w:r w:rsidRPr="00242020">
        <w:rPr>
          <w:rFonts w:eastAsia="Times-Roman" w:cs="Times New Roman"/>
          <w:szCs w:val="28"/>
          <w:lang w:eastAsia="ru-RU"/>
        </w:rPr>
        <w:t>»</w:t>
      </w:r>
      <w:r w:rsidRPr="00242020">
        <w:rPr>
          <w:rFonts w:eastAsia="Times New Roman" w:cs="Times New Roman"/>
          <w:szCs w:val="28"/>
          <w:lang w:eastAsia="ru-RU"/>
        </w:rPr>
        <w:t>.</w:t>
      </w:r>
    </w:p>
    <w:p w:rsidR="00BC2617" w:rsidRPr="00242020" w:rsidRDefault="00BC2617" w:rsidP="005A5D40">
      <w:pPr>
        <w:jc w:val="both"/>
        <w:rPr>
          <w:rFonts w:eastAsia="Times-Roman" w:cs="Times New Roman"/>
          <w:szCs w:val="28"/>
          <w:lang w:eastAsia="ru-RU"/>
        </w:rPr>
      </w:pPr>
      <w:r w:rsidRPr="00242020">
        <w:rPr>
          <w:rFonts w:eastAsia="Times New Roman" w:cs="Times New Roman"/>
          <w:szCs w:val="28"/>
          <w:lang w:eastAsia="ru-RU"/>
        </w:rPr>
        <w:t xml:space="preserve">Також у звітному періоді Фондом </w:t>
      </w:r>
      <w:r w:rsidRPr="00242020">
        <w:rPr>
          <w:rFonts w:eastAsia="Times-Roman" w:cs="Times New Roman"/>
          <w:szCs w:val="28"/>
          <w:lang w:eastAsia="ru-RU"/>
        </w:rPr>
        <w:t>підготовлено 2 проекти розпоряджень Кабінету Міністрів України з питань затвердження завдань на голосування представникам держави на засіданнях наглядових рад АТ та 4 проекти розпоряджень Кабінету Міністрів України з питань погодження кандидатур для обрання керівників АТ</w:t>
      </w:r>
      <w:r w:rsidR="00033D7B" w:rsidRPr="00033D7B">
        <w:rPr>
          <w:rFonts w:eastAsia="Times-Roman" w:cs="Times New Roman"/>
          <w:szCs w:val="28"/>
          <w:lang w:eastAsia="ru-RU"/>
        </w:rPr>
        <w:t>, а також 6 проектів розпоряджень Кабінету Міністрів України про затвердження фінансових планів товариств.</w:t>
      </w:r>
    </w:p>
    <w:p w:rsidR="00BC2617" w:rsidRPr="00242020" w:rsidRDefault="00BC2617" w:rsidP="005A5D40">
      <w:pPr>
        <w:jc w:val="both"/>
        <w:rPr>
          <w:rFonts w:eastAsia="Times New Roman" w:cs="Times New Roman"/>
          <w:sz w:val="16"/>
          <w:szCs w:val="16"/>
          <w:u w:val="single"/>
          <w:lang w:eastAsia="ru-RU"/>
        </w:rPr>
      </w:pPr>
    </w:p>
    <w:p w:rsidR="00BC2617" w:rsidRPr="00242020" w:rsidRDefault="00BC2617" w:rsidP="005A5D40">
      <w:pPr>
        <w:jc w:val="both"/>
        <w:rPr>
          <w:rFonts w:eastAsia="Times New Roman" w:cs="Times New Roman"/>
          <w:szCs w:val="28"/>
          <w:lang w:eastAsia="ru-RU"/>
        </w:rPr>
      </w:pPr>
      <w:r w:rsidRPr="00242020">
        <w:rPr>
          <w:rFonts w:eastAsia="Times New Roman" w:cs="Times New Roman"/>
          <w:szCs w:val="28"/>
          <w:lang w:eastAsia="ru-RU"/>
        </w:rPr>
        <w:t xml:space="preserve">У Фонді створені та діють тимчасова Комісія Фонду державного майна України з питань погашення заборгованості із заробітної плати (грошового забезпечення), пенсій, стипендій та інших соціальних виплат (далі – тимчасова Комісія), Комісія з проведення фінансово-економічного аналізу господарської діяльності АТ та Комісія з атестації керівників виконавчих органів акціонерних товариств. На засіданнях зазначених комісій заслуховуються звіти керівників </w:t>
      </w:r>
      <w:r w:rsidRPr="00242020">
        <w:rPr>
          <w:rFonts w:eastAsia="Times New Roman" w:cs="Times New Roman"/>
          <w:szCs w:val="28"/>
          <w:lang w:eastAsia="ru-RU"/>
        </w:rPr>
        <w:lastRenderedPageBreak/>
        <w:t>господарських товариств щодо вжитих ними заходів з погашення заборгованості з виплати заробітної плати, за платежами до бюджету, перед Пенсійним фондом України та стану виконання показників фінансового плану.</w:t>
      </w:r>
    </w:p>
    <w:p w:rsidR="00BC2617" w:rsidRPr="00242020" w:rsidRDefault="00BC2617" w:rsidP="00A2497A">
      <w:pPr>
        <w:spacing w:line="264" w:lineRule="auto"/>
        <w:jc w:val="both"/>
        <w:rPr>
          <w:rFonts w:eastAsia="Times New Roman" w:cs="Times New Roman"/>
          <w:szCs w:val="28"/>
          <w:lang w:eastAsia="ru-RU"/>
        </w:rPr>
      </w:pPr>
      <w:r w:rsidRPr="00242020">
        <w:rPr>
          <w:rFonts w:eastAsia="Times New Roman" w:cs="Times New Roman"/>
          <w:szCs w:val="28"/>
          <w:lang w:eastAsia="ru-RU"/>
        </w:rPr>
        <w:t>У квітні 2016 року на засіданні Комісії з проведення фінансово-економічного аналізу господарської діяльності АТ розглянуто фінансовий стан ПАТ ДАК «Національна мережа аукціонних центрів», ПАТ «Гайворонський тепловозоремонтний завод», ПАТ «Укрнафтопродукт», ПАТ «Закарпатський завод «Електроавтоматика», ПАТ «Дніпродзержинська ТЕЦ», ПАТ «Науково-дослідний інститут електромеханічних приладів».</w:t>
      </w:r>
    </w:p>
    <w:p w:rsidR="00BC2617" w:rsidRPr="00242020" w:rsidRDefault="00BC2617" w:rsidP="00A2497A">
      <w:pPr>
        <w:spacing w:line="264" w:lineRule="auto"/>
        <w:jc w:val="both"/>
        <w:rPr>
          <w:rFonts w:eastAsia="Times New Roman" w:cs="Times New Roman"/>
          <w:szCs w:val="28"/>
          <w:lang w:eastAsia="ru-RU"/>
        </w:rPr>
      </w:pPr>
      <w:r w:rsidRPr="00242020">
        <w:rPr>
          <w:rFonts w:eastAsia="Times New Roman" w:cs="Times New Roman"/>
          <w:szCs w:val="28"/>
          <w:lang w:eastAsia="ru-RU"/>
        </w:rPr>
        <w:t>На спільних засіданнях тимчасової Комісії та Комісії з проведення фінансово-економічного аналізу господарської діяльності АТ було розглянуто фінансовий стан ПАТ «Черкаський приладобудівний завод», ПАТ ДАК «Національна мережа аукціонних центрів», ПАТ «</w:t>
      </w:r>
      <w:proofErr w:type="spellStart"/>
      <w:r w:rsidRPr="00242020">
        <w:rPr>
          <w:rFonts w:eastAsia="Times New Roman" w:cs="Times New Roman"/>
          <w:szCs w:val="28"/>
          <w:lang w:eastAsia="ru-RU"/>
        </w:rPr>
        <w:t>ЗАлК</w:t>
      </w:r>
      <w:proofErr w:type="spellEnd"/>
      <w:r w:rsidRPr="00242020">
        <w:rPr>
          <w:rFonts w:eastAsia="Times New Roman" w:cs="Times New Roman"/>
          <w:szCs w:val="28"/>
          <w:lang w:eastAsia="ru-RU"/>
        </w:rPr>
        <w:t>», ПАТ «</w:t>
      </w:r>
      <w:proofErr w:type="spellStart"/>
      <w:r w:rsidRPr="00242020">
        <w:rPr>
          <w:rFonts w:eastAsia="Times New Roman" w:cs="Times New Roman"/>
          <w:szCs w:val="28"/>
          <w:lang w:eastAsia="ru-RU"/>
        </w:rPr>
        <w:t>Азовмаш</w:t>
      </w:r>
      <w:proofErr w:type="spellEnd"/>
      <w:r w:rsidRPr="00242020">
        <w:rPr>
          <w:rFonts w:eastAsia="Times New Roman" w:cs="Times New Roman"/>
          <w:szCs w:val="28"/>
          <w:lang w:eastAsia="ru-RU"/>
        </w:rPr>
        <w:t>», ПАТ «</w:t>
      </w:r>
      <w:proofErr w:type="spellStart"/>
      <w:r w:rsidRPr="00242020">
        <w:rPr>
          <w:rFonts w:eastAsia="Times New Roman" w:cs="Times New Roman"/>
          <w:szCs w:val="28"/>
          <w:lang w:eastAsia="ru-RU"/>
        </w:rPr>
        <w:t>Механобрчормет</w:t>
      </w:r>
      <w:proofErr w:type="spellEnd"/>
      <w:r w:rsidRPr="00242020">
        <w:rPr>
          <w:rFonts w:eastAsia="Times New Roman" w:cs="Times New Roman"/>
          <w:szCs w:val="28"/>
          <w:lang w:eastAsia="ru-RU"/>
        </w:rPr>
        <w:t xml:space="preserve">», </w:t>
      </w:r>
      <w:proofErr w:type="spellStart"/>
      <w:r w:rsidRPr="00242020">
        <w:rPr>
          <w:rFonts w:eastAsia="Times New Roman" w:cs="Times New Roman"/>
          <w:szCs w:val="28"/>
          <w:lang w:eastAsia="ru-RU"/>
        </w:rPr>
        <w:t>ПрАТ</w:t>
      </w:r>
      <w:proofErr w:type="spellEnd"/>
      <w:r w:rsidRPr="00242020">
        <w:rPr>
          <w:rFonts w:eastAsia="Times New Roman" w:cs="Times New Roman"/>
          <w:szCs w:val="28"/>
          <w:lang w:eastAsia="ru-RU"/>
        </w:rPr>
        <w:t xml:space="preserve"> «</w:t>
      </w:r>
      <w:proofErr w:type="spellStart"/>
      <w:r w:rsidRPr="00242020">
        <w:rPr>
          <w:rFonts w:eastAsia="Times New Roman" w:cs="Times New Roman"/>
          <w:szCs w:val="28"/>
          <w:lang w:eastAsia="ru-RU"/>
        </w:rPr>
        <w:t>Рітм</w:t>
      </w:r>
      <w:proofErr w:type="spellEnd"/>
      <w:r w:rsidRPr="00242020">
        <w:rPr>
          <w:rFonts w:eastAsia="Times New Roman" w:cs="Times New Roman"/>
          <w:szCs w:val="28"/>
          <w:lang w:eastAsia="ru-RU"/>
        </w:rPr>
        <w:t>», ДАК «Україна туристична» та ПАТ «Науково-дослідний інститут електромеханічних приладів».</w:t>
      </w:r>
    </w:p>
    <w:p w:rsidR="00BC2617" w:rsidRPr="00242020" w:rsidRDefault="00BC2617" w:rsidP="00A2497A">
      <w:pPr>
        <w:spacing w:line="264" w:lineRule="auto"/>
        <w:jc w:val="both"/>
        <w:rPr>
          <w:rFonts w:eastAsia="Times New Roman" w:cs="Times New Roman"/>
          <w:szCs w:val="28"/>
          <w:lang w:eastAsia="ru-RU"/>
        </w:rPr>
      </w:pPr>
      <w:r w:rsidRPr="00242020">
        <w:rPr>
          <w:rFonts w:eastAsia="Times New Roman" w:cs="Times New Roman"/>
          <w:szCs w:val="28"/>
          <w:lang w:eastAsia="ru-RU"/>
        </w:rPr>
        <w:t>З метою підвищення рівня корпоративного управління Фондом вжито організаційні та управлінські заходи щодо управління ПАТ «Хмельницькобленерго», ВАТ «</w:t>
      </w:r>
      <w:proofErr w:type="spellStart"/>
      <w:r w:rsidRPr="00242020">
        <w:rPr>
          <w:rFonts w:eastAsia="Times New Roman" w:cs="Times New Roman"/>
          <w:szCs w:val="28"/>
          <w:lang w:eastAsia="ru-RU"/>
        </w:rPr>
        <w:t>Тернопільобленерго</w:t>
      </w:r>
      <w:proofErr w:type="spellEnd"/>
      <w:r w:rsidRPr="00242020">
        <w:rPr>
          <w:rFonts w:eastAsia="Times New Roman" w:cs="Times New Roman"/>
          <w:szCs w:val="28"/>
          <w:lang w:eastAsia="ru-RU"/>
        </w:rPr>
        <w:t>», ТОВ «</w:t>
      </w:r>
      <w:proofErr w:type="spellStart"/>
      <w:r w:rsidRPr="00242020">
        <w:rPr>
          <w:rFonts w:eastAsia="Times New Roman" w:cs="Times New Roman"/>
          <w:szCs w:val="28"/>
          <w:lang w:eastAsia="ru-RU"/>
        </w:rPr>
        <w:t>Керамнадра</w:t>
      </w:r>
      <w:proofErr w:type="spellEnd"/>
      <w:r w:rsidRPr="00242020">
        <w:rPr>
          <w:rFonts w:eastAsia="Times New Roman" w:cs="Times New Roman"/>
          <w:szCs w:val="28"/>
          <w:lang w:eastAsia="ru-RU"/>
        </w:rPr>
        <w:t>», ПАТ «</w:t>
      </w:r>
      <w:proofErr w:type="spellStart"/>
      <w:r w:rsidRPr="00242020">
        <w:rPr>
          <w:rFonts w:eastAsia="Times New Roman" w:cs="Times New Roman"/>
          <w:szCs w:val="28"/>
          <w:lang w:eastAsia="ru-RU"/>
        </w:rPr>
        <w:t>Черкасиобленерго</w:t>
      </w:r>
      <w:proofErr w:type="spellEnd"/>
      <w:r w:rsidRPr="00242020">
        <w:rPr>
          <w:rFonts w:eastAsia="Times New Roman" w:cs="Times New Roman"/>
          <w:szCs w:val="28"/>
          <w:lang w:eastAsia="ru-RU"/>
        </w:rPr>
        <w:t>», ВАТ «</w:t>
      </w:r>
      <w:proofErr w:type="spellStart"/>
      <w:r w:rsidRPr="00242020">
        <w:rPr>
          <w:rFonts w:eastAsia="Times New Roman" w:cs="Times New Roman"/>
          <w:szCs w:val="28"/>
          <w:lang w:eastAsia="ru-RU"/>
        </w:rPr>
        <w:t>Запоріжжяобленерго</w:t>
      </w:r>
      <w:proofErr w:type="spellEnd"/>
      <w:r w:rsidRPr="00242020">
        <w:rPr>
          <w:rFonts w:eastAsia="Times New Roman" w:cs="Times New Roman"/>
          <w:szCs w:val="28"/>
          <w:lang w:eastAsia="ru-RU"/>
        </w:rPr>
        <w:t xml:space="preserve">», </w:t>
      </w:r>
      <w:proofErr w:type="spellStart"/>
      <w:r w:rsidRPr="00242020">
        <w:rPr>
          <w:rFonts w:eastAsia="Times New Roman" w:cs="Times New Roman"/>
          <w:szCs w:val="28"/>
          <w:lang w:eastAsia="ru-RU"/>
        </w:rPr>
        <w:t>ПрАТ</w:t>
      </w:r>
      <w:proofErr w:type="spellEnd"/>
      <w:r w:rsidRPr="00242020">
        <w:rPr>
          <w:rFonts w:eastAsia="Times New Roman" w:cs="Times New Roman"/>
          <w:szCs w:val="28"/>
          <w:lang w:eastAsia="ru-RU"/>
        </w:rPr>
        <w:t xml:space="preserve"> «Президент-Готель», </w:t>
      </w:r>
      <w:proofErr w:type="spellStart"/>
      <w:r w:rsidRPr="00242020">
        <w:rPr>
          <w:rFonts w:eastAsia="Times New Roman" w:cs="Times New Roman"/>
          <w:szCs w:val="28"/>
          <w:lang w:eastAsia="ru-RU"/>
        </w:rPr>
        <w:t>ПрАТ</w:t>
      </w:r>
      <w:proofErr w:type="spellEnd"/>
      <w:r w:rsidRPr="00242020">
        <w:rPr>
          <w:rFonts w:eastAsia="Times New Roman" w:cs="Times New Roman"/>
          <w:szCs w:val="28"/>
          <w:lang w:eastAsia="ru-RU"/>
        </w:rPr>
        <w:t xml:space="preserve"> «Івано-Франківський локомотиворемонтний завод». </w:t>
      </w:r>
    </w:p>
    <w:p w:rsidR="006F4201" w:rsidRPr="00242020" w:rsidRDefault="006F4201" w:rsidP="006F4201">
      <w:pPr>
        <w:jc w:val="both"/>
        <w:rPr>
          <w:rFonts w:eastAsia="Times New Roman" w:cs="Times New Roman"/>
          <w:sz w:val="12"/>
          <w:szCs w:val="12"/>
          <w:lang w:eastAsia="ru-RU"/>
        </w:rPr>
      </w:pPr>
    </w:p>
    <w:p w:rsidR="00805AB4" w:rsidRPr="00242020" w:rsidRDefault="00805AB4" w:rsidP="00805AB4">
      <w:pPr>
        <w:pStyle w:val="2"/>
      </w:pPr>
      <w:r w:rsidRPr="00242020">
        <w:t>3.5.4. Стан перерахування дивідендів до державного бюджету господарськими товариствами, що належать до сфери управління Фонду</w:t>
      </w:r>
    </w:p>
    <w:p w:rsidR="006F4201" w:rsidRPr="00242020" w:rsidRDefault="006F4201" w:rsidP="006F4201">
      <w:pPr>
        <w:jc w:val="both"/>
        <w:rPr>
          <w:rFonts w:eastAsia="Times New Roman" w:cs="Times New Roman"/>
          <w:sz w:val="12"/>
          <w:szCs w:val="12"/>
          <w:lang w:eastAsia="ru-RU"/>
        </w:rPr>
      </w:pPr>
    </w:p>
    <w:p w:rsidR="00A5280A" w:rsidRPr="00A2497A" w:rsidRDefault="00A5280A" w:rsidP="00A2497A">
      <w:pPr>
        <w:spacing w:line="264" w:lineRule="auto"/>
        <w:jc w:val="both"/>
        <w:rPr>
          <w:rFonts w:eastAsia="Times New Roman" w:cs="Times New Roman"/>
          <w:szCs w:val="28"/>
          <w:lang w:eastAsia="ru-RU"/>
        </w:rPr>
      </w:pPr>
      <w:r w:rsidRPr="00A2497A">
        <w:rPr>
          <w:rFonts w:eastAsia="Times New Roman" w:cs="Times New Roman"/>
          <w:szCs w:val="28"/>
          <w:lang w:eastAsia="ru-RU"/>
        </w:rPr>
        <w:t>Відповідно до вимог статті 5 Закону України «Про Фонд державного майна України» Фонд здійснює моніторинг сплати до Державного бюджету України дивідендів, нарахованих на корпоративні права держави, господарськими товариствами, що належать до сфери управління Фонду.</w:t>
      </w:r>
    </w:p>
    <w:p w:rsidR="00033D7B" w:rsidRPr="00A2497A" w:rsidRDefault="00033D7B" w:rsidP="00A2497A">
      <w:pPr>
        <w:spacing w:line="264" w:lineRule="auto"/>
        <w:jc w:val="both"/>
        <w:rPr>
          <w:rFonts w:eastAsia="Times New Roman" w:cs="Times New Roman"/>
          <w:szCs w:val="28"/>
          <w:lang w:eastAsia="ru-RU"/>
        </w:rPr>
      </w:pPr>
      <w:r w:rsidRPr="00A2497A">
        <w:rPr>
          <w:szCs w:val="28"/>
        </w:rPr>
        <w:t>Відповідно до статті 11 Закону України «Про управління об’єктами державної власності» господарські товариства, у статутному капіталі яких є корпоративні права держави, які не прийняли рішення про нарахування дивідендів до 1 травня року, що настає за звітним, сплачують до державного бюджету частину чистого прибутку.</w:t>
      </w:r>
    </w:p>
    <w:p w:rsidR="00A5280A" w:rsidRPr="00A2497A" w:rsidRDefault="00033D7B" w:rsidP="00A2497A">
      <w:pPr>
        <w:spacing w:line="264" w:lineRule="auto"/>
        <w:jc w:val="both"/>
        <w:rPr>
          <w:rFonts w:eastAsia="Times New Roman" w:cs="Times New Roman"/>
          <w:szCs w:val="28"/>
          <w:highlight w:val="yellow"/>
          <w:lang w:eastAsia="ru-RU"/>
        </w:rPr>
      </w:pPr>
      <w:r w:rsidRPr="00A2497A">
        <w:rPr>
          <w:rFonts w:eastAsia="Times New Roman" w:cs="Times New Roman"/>
          <w:szCs w:val="28"/>
          <w:lang w:eastAsia="ru-RU"/>
        </w:rPr>
        <w:t>С</w:t>
      </w:r>
      <w:r w:rsidR="00A5280A" w:rsidRPr="00A2497A">
        <w:rPr>
          <w:rFonts w:eastAsia="Times New Roman" w:cs="Times New Roman"/>
          <w:szCs w:val="28"/>
          <w:lang w:eastAsia="ru-RU"/>
        </w:rPr>
        <w:t xml:space="preserve">таном на 31.12.2016 господарськими товариствами, що знаходяться в сфері управління Фонду, прийняті рішення про нарахування за результатами фінансово-господарської діяльності у 2015 році дивідендів на корпоративні права держави в розмірі </w:t>
      </w:r>
      <w:r w:rsidR="00A5280A" w:rsidRPr="00A2497A">
        <w:rPr>
          <w:rFonts w:eastAsia="Times New Roman" w:cs="Times New Roman"/>
          <w:b/>
          <w:szCs w:val="28"/>
          <w:lang w:eastAsia="ru-RU"/>
        </w:rPr>
        <w:t>15 645,00 тис. грн</w:t>
      </w:r>
      <w:r w:rsidR="00A5280A" w:rsidRPr="00A2497A">
        <w:rPr>
          <w:rFonts w:eastAsia="Times New Roman" w:cs="Times New Roman"/>
          <w:szCs w:val="28"/>
          <w:lang w:eastAsia="ru-RU"/>
        </w:rPr>
        <w:t xml:space="preserve">. До Державного бюджету України відповідно до абзацу восьмого частини п’ятої статті 11 Закону України «Про управління об’єктами державної власності» сплачено </w:t>
      </w:r>
      <w:r w:rsidR="00A5280A" w:rsidRPr="00A2497A">
        <w:rPr>
          <w:rFonts w:eastAsia="Times New Roman" w:cs="Times New Roman"/>
          <w:b/>
          <w:szCs w:val="28"/>
          <w:lang w:eastAsia="ru-RU"/>
        </w:rPr>
        <w:t xml:space="preserve">дивідендів </w:t>
      </w:r>
      <w:r w:rsidR="00A5280A" w:rsidRPr="00A2497A">
        <w:rPr>
          <w:rFonts w:eastAsia="Times New Roman" w:cs="Times New Roman"/>
          <w:b/>
          <w:bCs/>
          <w:szCs w:val="28"/>
          <w:lang w:eastAsia="ru-RU"/>
        </w:rPr>
        <w:t>на суму 20 468,388 </w:t>
      </w:r>
      <w:r w:rsidR="00A5280A" w:rsidRPr="00A2497A">
        <w:rPr>
          <w:rFonts w:eastAsia="Times New Roman" w:cs="Times New Roman"/>
          <w:b/>
          <w:szCs w:val="28"/>
          <w:lang w:eastAsia="ru-RU"/>
        </w:rPr>
        <w:t xml:space="preserve">тис. </w:t>
      </w:r>
      <w:proofErr w:type="spellStart"/>
      <w:r w:rsidR="00A5280A" w:rsidRPr="00A2497A">
        <w:rPr>
          <w:rFonts w:eastAsia="Times New Roman" w:cs="Times New Roman"/>
          <w:b/>
          <w:szCs w:val="28"/>
          <w:lang w:eastAsia="ru-RU"/>
        </w:rPr>
        <w:t>грн</w:t>
      </w:r>
      <w:proofErr w:type="spellEnd"/>
      <w:r w:rsidR="00A5280A" w:rsidRPr="00A2497A">
        <w:rPr>
          <w:rFonts w:eastAsia="Times New Roman" w:cs="Times New Roman"/>
          <w:b/>
          <w:szCs w:val="28"/>
          <w:lang w:eastAsia="ru-RU"/>
        </w:rPr>
        <w:t xml:space="preserve">, а також </w:t>
      </w:r>
      <w:r w:rsidRPr="00A2497A">
        <w:rPr>
          <w:rFonts w:eastAsia="Times New Roman" w:cs="Times New Roman"/>
          <w:b/>
          <w:szCs w:val="28"/>
          <w:lang w:eastAsia="ru-RU"/>
        </w:rPr>
        <w:t>частин</w:t>
      </w:r>
      <w:r w:rsidR="000F55FF">
        <w:rPr>
          <w:rFonts w:eastAsia="Times New Roman" w:cs="Times New Roman"/>
          <w:b/>
          <w:szCs w:val="28"/>
          <w:lang w:eastAsia="ru-RU"/>
        </w:rPr>
        <w:t>у</w:t>
      </w:r>
      <w:r w:rsidRPr="00A2497A">
        <w:rPr>
          <w:rFonts w:eastAsia="Times New Roman" w:cs="Times New Roman"/>
          <w:b/>
          <w:szCs w:val="28"/>
          <w:lang w:eastAsia="ru-RU"/>
        </w:rPr>
        <w:t xml:space="preserve"> </w:t>
      </w:r>
      <w:r w:rsidR="00A5280A" w:rsidRPr="00A2497A">
        <w:rPr>
          <w:rFonts w:eastAsia="Times New Roman" w:cs="Times New Roman"/>
          <w:b/>
          <w:szCs w:val="28"/>
          <w:lang w:eastAsia="ru-RU"/>
        </w:rPr>
        <w:t>чистого прибутку у розмірі 1 228 634,04</w:t>
      </w:r>
      <w:r w:rsidR="000F55FF">
        <w:rPr>
          <w:rFonts w:eastAsia="Times New Roman" w:cs="Times New Roman"/>
          <w:b/>
          <w:szCs w:val="28"/>
          <w:lang w:eastAsia="ru-RU"/>
        </w:rPr>
        <w:t> </w:t>
      </w:r>
      <w:r w:rsidR="00A5280A" w:rsidRPr="00A2497A">
        <w:rPr>
          <w:rFonts w:eastAsia="Times New Roman" w:cs="Times New Roman"/>
          <w:b/>
          <w:szCs w:val="28"/>
          <w:lang w:eastAsia="ru-RU"/>
        </w:rPr>
        <w:t>тис. </w:t>
      </w:r>
      <w:proofErr w:type="spellStart"/>
      <w:r w:rsidR="00A5280A" w:rsidRPr="00A2497A">
        <w:rPr>
          <w:rFonts w:eastAsia="Times New Roman" w:cs="Times New Roman"/>
          <w:b/>
          <w:szCs w:val="28"/>
          <w:lang w:eastAsia="ru-RU"/>
        </w:rPr>
        <w:t>грн</w:t>
      </w:r>
      <w:proofErr w:type="spellEnd"/>
      <w:r w:rsidR="00A5280A" w:rsidRPr="00A2497A">
        <w:rPr>
          <w:rFonts w:eastAsia="Times New Roman" w:cs="Times New Roman"/>
          <w:szCs w:val="28"/>
          <w:lang w:eastAsia="ru-RU"/>
        </w:rPr>
        <w:t xml:space="preserve"> та</w:t>
      </w:r>
      <w:r w:rsidR="00A5280A" w:rsidRPr="00A2497A">
        <w:rPr>
          <w:rFonts w:eastAsia="Times New Roman" w:cs="Times New Roman"/>
          <w:b/>
          <w:szCs w:val="28"/>
          <w:lang w:eastAsia="ru-RU"/>
        </w:rPr>
        <w:t xml:space="preserve"> пеню за несвоєчасно сплачені дивіденди – 382,111 тис. грн.</w:t>
      </w:r>
    </w:p>
    <w:p w:rsidR="00A5280A" w:rsidRPr="00A2497A" w:rsidRDefault="00A5280A" w:rsidP="00A2497A">
      <w:pPr>
        <w:spacing w:line="264" w:lineRule="auto"/>
        <w:jc w:val="both"/>
        <w:rPr>
          <w:rFonts w:eastAsia="Times New Roman" w:cs="Times New Roman"/>
          <w:szCs w:val="28"/>
          <w:lang w:eastAsia="ru-RU"/>
        </w:rPr>
      </w:pPr>
      <w:r w:rsidRPr="00A2497A">
        <w:rPr>
          <w:rFonts w:eastAsia="Times New Roman" w:cs="Times New Roman"/>
          <w:szCs w:val="28"/>
          <w:lang w:eastAsia="ru-RU"/>
        </w:rPr>
        <w:lastRenderedPageBreak/>
        <w:t>Різниця між сумою нарахованих та сплачених дивідендів виникла у зв’язку зі сплатою до державного бюджету дивідендів товариствами, на яких загальні збори акціонерів не були проведені, сплатою дивідендів у більшому або меншому розмірі, ніж була затверджена загальними зборами акціонерів, та у зв’язку з несплатою дивідендів.</w:t>
      </w:r>
    </w:p>
    <w:p w:rsidR="00A5280A" w:rsidRPr="00A2497A" w:rsidRDefault="00A5280A" w:rsidP="00A2497A">
      <w:pPr>
        <w:spacing w:line="264" w:lineRule="auto"/>
        <w:jc w:val="both"/>
        <w:rPr>
          <w:rFonts w:eastAsia="Times New Roman" w:cs="Times New Roman"/>
          <w:szCs w:val="28"/>
          <w:lang w:eastAsia="ru-RU"/>
        </w:rPr>
      </w:pPr>
      <w:r w:rsidRPr="00A2497A">
        <w:rPr>
          <w:rFonts w:eastAsia="Times New Roman" w:cs="Times New Roman"/>
          <w:b/>
          <w:szCs w:val="28"/>
          <w:lang w:eastAsia="ru-RU"/>
        </w:rPr>
        <w:t>Найбільшими платниками</w:t>
      </w:r>
      <w:r w:rsidRPr="00A2497A">
        <w:rPr>
          <w:rFonts w:eastAsia="Times New Roman" w:cs="Times New Roman"/>
          <w:szCs w:val="28"/>
          <w:lang w:eastAsia="ru-RU"/>
        </w:rPr>
        <w:t xml:space="preserve"> до державного бюджету </w:t>
      </w:r>
      <w:r w:rsidRPr="00A2497A">
        <w:rPr>
          <w:rFonts w:eastAsia="Times New Roman" w:cs="Times New Roman"/>
          <w:b/>
          <w:szCs w:val="28"/>
          <w:lang w:eastAsia="ru-RU"/>
        </w:rPr>
        <w:t>дивідендів</w:t>
      </w:r>
      <w:r w:rsidRPr="00A2497A">
        <w:rPr>
          <w:rFonts w:eastAsia="Times New Roman" w:cs="Times New Roman"/>
          <w:szCs w:val="28"/>
          <w:lang w:eastAsia="ru-RU"/>
        </w:rPr>
        <w:t xml:space="preserve"> у 2016 році є:</w:t>
      </w:r>
    </w:p>
    <w:p w:rsidR="00A5280A" w:rsidRPr="00A2497A" w:rsidRDefault="00A5280A" w:rsidP="00A2497A">
      <w:pPr>
        <w:spacing w:line="264" w:lineRule="auto"/>
        <w:ind w:left="1069" w:hanging="360"/>
        <w:jc w:val="both"/>
        <w:rPr>
          <w:rFonts w:eastAsia="Times New Roman" w:cs="Times New Roman"/>
          <w:szCs w:val="28"/>
          <w:lang w:eastAsia="ru-RU"/>
        </w:rPr>
      </w:pPr>
      <w:r w:rsidRPr="00A2497A">
        <w:rPr>
          <w:rFonts w:eastAsia="Times New Roman" w:cs="Times New Roman"/>
          <w:szCs w:val="28"/>
          <w:lang w:eastAsia="ru-RU"/>
        </w:rPr>
        <w:t>1. </w:t>
      </w:r>
      <w:proofErr w:type="spellStart"/>
      <w:r w:rsidRPr="00A2497A">
        <w:rPr>
          <w:rFonts w:eastAsia="Times New Roman" w:cs="Times New Roman"/>
          <w:szCs w:val="28"/>
          <w:lang w:eastAsia="ru-RU"/>
        </w:rPr>
        <w:t>ПрАТ</w:t>
      </w:r>
      <w:proofErr w:type="spellEnd"/>
      <w:r w:rsidRPr="00A2497A">
        <w:rPr>
          <w:rFonts w:eastAsia="Times New Roman" w:cs="Times New Roman"/>
          <w:szCs w:val="28"/>
          <w:lang w:eastAsia="ru-RU"/>
        </w:rPr>
        <w:t xml:space="preserve"> «Президент-Готель» – 8 799,57 тис. грн.</w:t>
      </w:r>
    </w:p>
    <w:p w:rsidR="00A5280A" w:rsidRPr="00A2497A" w:rsidRDefault="00A5280A" w:rsidP="00A2497A">
      <w:pPr>
        <w:spacing w:line="264" w:lineRule="auto"/>
        <w:ind w:left="1069" w:hanging="360"/>
        <w:jc w:val="both"/>
        <w:rPr>
          <w:rFonts w:eastAsia="Times New Roman" w:cs="Times New Roman"/>
          <w:szCs w:val="28"/>
          <w:lang w:eastAsia="ru-RU"/>
        </w:rPr>
      </w:pPr>
      <w:r w:rsidRPr="00A2497A">
        <w:rPr>
          <w:rFonts w:eastAsia="Times New Roman" w:cs="Times New Roman"/>
          <w:szCs w:val="28"/>
          <w:lang w:eastAsia="ru-RU"/>
        </w:rPr>
        <w:t>2. ПАТ «</w:t>
      </w:r>
      <w:proofErr w:type="spellStart"/>
      <w:r w:rsidRPr="00A2497A">
        <w:rPr>
          <w:rFonts w:eastAsia="Times New Roman" w:cs="Times New Roman"/>
          <w:szCs w:val="28"/>
          <w:lang w:eastAsia="ru-RU"/>
        </w:rPr>
        <w:t>НТК</w:t>
      </w:r>
      <w:proofErr w:type="spellEnd"/>
      <w:r w:rsidRPr="00A2497A">
        <w:rPr>
          <w:rFonts w:eastAsia="Times New Roman" w:cs="Times New Roman"/>
          <w:szCs w:val="28"/>
          <w:lang w:eastAsia="ru-RU"/>
        </w:rPr>
        <w:t xml:space="preserve"> «</w:t>
      </w:r>
      <w:proofErr w:type="spellStart"/>
      <w:r w:rsidRPr="00A2497A">
        <w:rPr>
          <w:rFonts w:eastAsia="Times New Roman" w:cs="Times New Roman"/>
          <w:szCs w:val="28"/>
          <w:lang w:eastAsia="ru-RU"/>
        </w:rPr>
        <w:t>Електронприлад</w:t>
      </w:r>
      <w:proofErr w:type="spellEnd"/>
      <w:r w:rsidRPr="00A2497A">
        <w:rPr>
          <w:rFonts w:eastAsia="Times New Roman" w:cs="Times New Roman"/>
          <w:szCs w:val="28"/>
          <w:lang w:eastAsia="ru-RU"/>
        </w:rPr>
        <w:t>» – 5 802, 92 тис. грн.</w:t>
      </w:r>
    </w:p>
    <w:p w:rsidR="00A5280A" w:rsidRPr="00A2497A" w:rsidRDefault="00A5280A" w:rsidP="00A2497A">
      <w:pPr>
        <w:spacing w:line="264" w:lineRule="auto"/>
        <w:ind w:left="1069" w:hanging="360"/>
        <w:jc w:val="both"/>
        <w:rPr>
          <w:rFonts w:eastAsia="Times New Roman" w:cs="Times New Roman"/>
          <w:szCs w:val="28"/>
          <w:lang w:eastAsia="ru-RU"/>
        </w:rPr>
      </w:pPr>
      <w:r w:rsidRPr="00A2497A">
        <w:rPr>
          <w:rFonts w:eastAsia="Times New Roman" w:cs="Times New Roman"/>
          <w:szCs w:val="28"/>
          <w:lang w:eastAsia="ru-RU"/>
        </w:rPr>
        <w:t>3. ВАТ «Центральне конструкторське бюро «Ритм» – 1 657,56 тис. грн.</w:t>
      </w:r>
    </w:p>
    <w:p w:rsidR="00A5280A" w:rsidRPr="00A2497A" w:rsidRDefault="00A5280A" w:rsidP="00A2497A">
      <w:pPr>
        <w:spacing w:line="264" w:lineRule="auto"/>
        <w:ind w:left="1069" w:hanging="360"/>
        <w:jc w:val="both"/>
        <w:rPr>
          <w:rFonts w:eastAsia="Times New Roman" w:cs="Times New Roman"/>
          <w:szCs w:val="28"/>
          <w:lang w:eastAsia="ru-RU"/>
        </w:rPr>
      </w:pPr>
      <w:r w:rsidRPr="00A2497A">
        <w:rPr>
          <w:rFonts w:eastAsia="Times New Roman" w:cs="Times New Roman"/>
          <w:szCs w:val="28"/>
          <w:lang w:eastAsia="ru-RU"/>
        </w:rPr>
        <w:t>4. ПАТ «Тернопільський радіозавод «Оріон» – 1 638,24 тис. грн.</w:t>
      </w:r>
    </w:p>
    <w:p w:rsidR="00A5280A" w:rsidRPr="00A2497A" w:rsidRDefault="00A5280A" w:rsidP="00A2497A">
      <w:pPr>
        <w:spacing w:line="264" w:lineRule="auto"/>
        <w:jc w:val="both"/>
        <w:rPr>
          <w:rFonts w:eastAsia="Times New Roman" w:cs="Times New Roman"/>
          <w:szCs w:val="28"/>
          <w:lang w:eastAsia="ru-RU"/>
        </w:rPr>
      </w:pPr>
      <w:r w:rsidRPr="00A2497A">
        <w:rPr>
          <w:rFonts w:eastAsia="Times New Roman" w:cs="Times New Roman"/>
          <w:b/>
          <w:szCs w:val="28"/>
          <w:lang w:eastAsia="ru-RU"/>
        </w:rPr>
        <w:t>Найбільшими платниками</w:t>
      </w:r>
      <w:r w:rsidRPr="00A2497A">
        <w:rPr>
          <w:rFonts w:eastAsia="Times New Roman" w:cs="Times New Roman"/>
          <w:szCs w:val="28"/>
          <w:lang w:eastAsia="ru-RU"/>
        </w:rPr>
        <w:t xml:space="preserve"> до державного бюджету </w:t>
      </w:r>
      <w:r w:rsidRPr="00A2497A">
        <w:rPr>
          <w:rFonts w:eastAsia="Times New Roman" w:cs="Times New Roman"/>
          <w:b/>
          <w:szCs w:val="28"/>
          <w:lang w:eastAsia="ru-RU"/>
        </w:rPr>
        <w:t>частини чистого прибутку</w:t>
      </w:r>
      <w:r w:rsidRPr="00A2497A">
        <w:rPr>
          <w:rFonts w:eastAsia="Times New Roman" w:cs="Times New Roman"/>
          <w:szCs w:val="28"/>
          <w:lang w:eastAsia="ru-RU"/>
        </w:rPr>
        <w:t xml:space="preserve"> у 2016 році є:</w:t>
      </w:r>
    </w:p>
    <w:p w:rsidR="00A5280A" w:rsidRPr="00A2497A" w:rsidRDefault="00A5280A" w:rsidP="00A2497A">
      <w:pPr>
        <w:spacing w:line="264" w:lineRule="auto"/>
        <w:ind w:left="1069" w:hanging="360"/>
        <w:jc w:val="both"/>
        <w:rPr>
          <w:rFonts w:eastAsia="Times New Roman" w:cs="Times New Roman"/>
          <w:szCs w:val="28"/>
          <w:lang w:eastAsia="ru-RU"/>
        </w:rPr>
      </w:pPr>
      <w:r w:rsidRPr="00A2497A">
        <w:rPr>
          <w:rFonts w:eastAsia="Times New Roman" w:cs="Times New Roman"/>
          <w:szCs w:val="28"/>
          <w:lang w:eastAsia="ru-RU"/>
        </w:rPr>
        <w:t>1. ПАТ «</w:t>
      </w:r>
      <w:proofErr w:type="spellStart"/>
      <w:r w:rsidRPr="00A2497A">
        <w:rPr>
          <w:rFonts w:eastAsia="Times New Roman" w:cs="Times New Roman"/>
          <w:szCs w:val="28"/>
          <w:lang w:eastAsia="ru-RU"/>
        </w:rPr>
        <w:t>Турбоатом</w:t>
      </w:r>
      <w:proofErr w:type="spellEnd"/>
      <w:r w:rsidRPr="00A2497A">
        <w:rPr>
          <w:rFonts w:eastAsia="Times New Roman" w:cs="Times New Roman"/>
          <w:szCs w:val="28"/>
          <w:lang w:eastAsia="ru-RU"/>
        </w:rPr>
        <w:t>» – 921 166,90 тис. грн.</w:t>
      </w:r>
    </w:p>
    <w:p w:rsidR="00A5280A" w:rsidRPr="00A2497A" w:rsidRDefault="00A5280A" w:rsidP="00A2497A">
      <w:pPr>
        <w:spacing w:line="264" w:lineRule="auto"/>
        <w:ind w:left="1069" w:hanging="360"/>
        <w:jc w:val="both"/>
        <w:rPr>
          <w:rFonts w:eastAsia="Times New Roman" w:cs="Times New Roman"/>
          <w:szCs w:val="28"/>
          <w:lang w:eastAsia="ru-RU"/>
        </w:rPr>
      </w:pPr>
      <w:r w:rsidRPr="00A2497A">
        <w:rPr>
          <w:rFonts w:eastAsia="Times New Roman" w:cs="Times New Roman"/>
          <w:szCs w:val="28"/>
          <w:lang w:eastAsia="ru-RU"/>
        </w:rPr>
        <w:t>2. ПАТ «Одеський припортовий завод» – 163 885,71 тис. грн.</w:t>
      </w:r>
    </w:p>
    <w:p w:rsidR="00A5280A" w:rsidRPr="00A2497A" w:rsidRDefault="00A5280A" w:rsidP="00A2497A">
      <w:pPr>
        <w:spacing w:line="264" w:lineRule="auto"/>
        <w:ind w:left="1069" w:hanging="360"/>
        <w:jc w:val="both"/>
        <w:rPr>
          <w:rFonts w:eastAsia="Times New Roman" w:cs="Times New Roman"/>
          <w:szCs w:val="28"/>
          <w:lang w:eastAsia="ru-RU"/>
        </w:rPr>
      </w:pPr>
      <w:r w:rsidRPr="00A2497A">
        <w:rPr>
          <w:rFonts w:eastAsia="Times New Roman" w:cs="Times New Roman"/>
          <w:szCs w:val="28"/>
          <w:lang w:eastAsia="ru-RU"/>
        </w:rPr>
        <w:t xml:space="preserve">3. ТОВ «Запорізький </w:t>
      </w:r>
      <w:proofErr w:type="spellStart"/>
      <w:r w:rsidRPr="00A2497A">
        <w:rPr>
          <w:rFonts w:eastAsia="Times New Roman" w:cs="Times New Roman"/>
          <w:szCs w:val="28"/>
          <w:lang w:eastAsia="ru-RU"/>
        </w:rPr>
        <w:t>титано-магнієвий</w:t>
      </w:r>
      <w:proofErr w:type="spellEnd"/>
      <w:r w:rsidRPr="00A2497A">
        <w:rPr>
          <w:rFonts w:eastAsia="Times New Roman" w:cs="Times New Roman"/>
          <w:szCs w:val="28"/>
          <w:lang w:eastAsia="ru-RU"/>
        </w:rPr>
        <w:t xml:space="preserve"> комбінат» – 43 136,07 тис. грн.</w:t>
      </w:r>
    </w:p>
    <w:p w:rsidR="00A5280A" w:rsidRPr="00A2497A" w:rsidRDefault="00A5280A" w:rsidP="00A2497A">
      <w:pPr>
        <w:spacing w:line="264" w:lineRule="auto"/>
        <w:ind w:left="1069" w:hanging="360"/>
        <w:jc w:val="both"/>
        <w:rPr>
          <w:rFonts w:eastAsia="Times New Roman" w:cs="Times New Roman"/>
          <w:szCs w:val="28"/>
          <w:lang w:eastAsia="ru-RU"/>
        </w:rPr>
      </w:pPr>
      <w:r w:rsidRPr="00A2497A">
        <w:rPr>
          <w:rFonts w:eastAsia="Times New Roman" w:cs="Times New Roman"/>
          <w:szCs w:val="28"/>
          <w:lang w:eastAsia="ru-RU"/>
        </w:rPr>
        <w:t>4. ПАТ «Хмельницькобленерго» – 20 414,35 тис. грн.</w:t>
      </w:r>
    </w:p>
    <w:p w:rsidR="00A5280A" w:rsidRPr="00A2497A" w:rsidRDefault="00A5280A" w:rsidP="00A2497A">
      <w:pPr>
        <w:spacing w:line="264" w:lineRule="auto"/>
        <w:ind w:left="1069" w:hanging="360"/>
        <w:jc w:val="both"/>
        <w:rPr>
          <w:rFonts w:eastAsia="Times New Roman" w:cs="Times New Roman"/>
          <w:szCs w:val="28"/>
          <w:lang w:eastAsia="ru-RU"/>
        </w:rPr>
      </w:pPr>
      <w:r w:rsidRPr="00A2497A">
        <w:rPr>
          <w:rFonts w:eastAsia="Times New Roman" w:cs="Times New Roman"/>
          <w:szCs w:val="28"/>
          <w:lang w:eastAsia="ru-RU"/>
        </w:rPr>
        <w:t>5. </w:t>
      </w:r>
      <w:proofErr w:type="spellStart"/>
      <w:r w:rsidRPr="00A2497A">
        <w:rPr>
          <w:rFonts w:eastAsia="Times New Roman" w:cs="Times New Roman"/>
          <w:szCs w:val="28"/>
          <w:lang w:eastAsia="ru-RU"/>
        </w:rPr>
        <w:t>АК</w:t>
      </w:r>
      <w:proofErr w:type="spellEnd"/>
      <w:r w:rsidRPr="00A2497A">
        <w:rPr>
          <w:rFonts w:eastAsia="Times New Roman" w:cs="Times New Roman"/>
          <w:szCs w:val="28"/>
          <w:lang w:eastAsia="ru-RU"/>
        </w:rPr>
        <w:t xml:space="preserve"> «Харківобленерго» – 15 676,61 тис. грн.</w:t>
      </w:r>
    </w:p>
    <w:p w:rsidR="00A5280A" w:rsidRPr="00A2497A" w:rsidRDefault="00A5280A" w:rsidP="00A2497A">
      <w:pPr>
        <w:spacing w:line="264" w:lineRule="auto"/>
        <w:ind w:left="1069" w:hanging="360"/>
        <w:jc w:val="both"/>
        <w:rPr>
          <w:rFonts w:eastAsia="Times New Roman" w:cs="Times New Roman"/>
          <w:szCs w:val="28"/>
          <w:lang w:eastAsia="ru-RU"/>
        </w:rPr>
      </w:pPr>
      <w:r w:rsidRPr="00A2497A">
        <w:rPr>
          <w:rFonts w:eastAsia="Times New Roman" w:cs="Times New Roman"/>
          <w:szCs w:val="28"/>
          <w:lang w:eastAsia="ru-RU"/>
        </w:rPr>
        <w:t>6. ПАТ «</w:t>
      </w:r>
      <w:proofErr w:type="spellStart"/>
      <w:r w:rsidRPr="00A2497A">
        <w:rPr>
          <w:rFonts w:eastAsia="Times New Roman" w:cs="Times New Roman"/>
          <w:szCs w:val="28"/>
          <w:lang w:eastAsia="ru-RU"/>
        </w:rPr>
        <w:t>Центренерго</w:t>
      </w:r>
      <w:proofErr w:type="spellEnd"/>
      <w:r w:rsidRPr="00A2497A">
        <w:rPr>
          <w:rFonts w:eastAsia="Times New Roman" w:cs="Times New Roman"/>
          <w:szCs w:val="28"/>
          <w:lang w:eastAsia="ru-RU"/>
        </w:rPr>
        <w:t>» – 12 833,59 тис. грн.</w:t>
      </w:r>
    </w:p>
    <w:p w:rsidR="00A5280A" w:rsidRPr="00A2497A" w:rsidRDefault="00A5280A" w:rsidP="00A2497A">
      <w:pPr>
        <w:spacing w:line="264" w:lineRule="auto"/>
        <w:ind w:left="1069" w:hanging="360"/>
        <w:jc w:val="both"/>
        <w:rPr>
          <w:rFonts w:eastAsia="Times New Roman" w:cs="Times New Roman"/>
          <w:szCs w:val="28"/>
          <w:lang w:eastAsia="ru-RU"/>
        </w:rPr>
      </w:pPr>
      <w:r w:rsidRPr="00A2497A">
        <w:rPr>
          <w:rFonts w:eastAsia="Times New Roman" w:cs="Times New Roman"/>
          <w:szCs w:val="28"/>
          <w:lang w:eastAsia="ru-RU"/>
        </w:rPr>
        <w:t>7. ПАТ «</w:t>
      </w:r>
      <w:proofErr w:type="spellStart"/>
      <w:r w:rsidRPr="00A2497A">
        <w:rPr>
          <w:rFonts w:eastAsia="Times New Roman" w:cs="Times New Roman"/>
          <w:szCs w:val="28"/>
          <w:lang w:eastAsia="ru-RU"/>
        </w:rPr>
        <w:t>Сумиобленерго</w:t>
      </w:r>
      <w:proofErr w:type="spellEnd"/>
      <w:r w:rsidRPr="00A2497A">
        <w:rPr>
          <w:rFonts w:eastAsia="Times New Roman" w:cs="Times New Roman"/>
          <w:szCs w:val="28"/>
          <w:lang w:eastAsia="ru-RU"/>
        </w:rPr>
        <w:t>» – 11 434,78 тис. грн.</w:t>
      </w:r>
    </w:p>
    <w:p w:rsidR="00A5280A" w:rsidRPr="00A2497A" w:rsidRDefault="00A5280A" w:rsidP="00A2497A">
      <w:pPr>
        <w:spacing w:line="264" w:lineRule="auto"/>
        <w:ind w:left="1069" w:hanging="360"/>
        <w:jc w:val="both"/>
        <w:rPr>
          <w:rFonts w:eastAsia="Times New Roman" w:cs="Times New Roman"/>
          <w:szCs w:val="28"/>
          <w:lang w:eastAsia="ru-RU"/>
        </w:rPr>
      </w:pPr>
      <w:r w:rsidRPr="00A2497A">
        <w:rPr>
          <w:rFonts w:eastAsia="Times New Roman" w:cs="Times New Roman"/>
          <w:szCs w:val="28"/>
          <w:lang w:eastAsia="ru-RU"/>
        </w:rPr>
        <w:t>8. ВАТ «</w:t>
      </w:r>
      <w:proofErr w:type="spellStart"/>
      <w:r w:rsidRPr="00A2497A">
        <w:rPr>
          <w:rFonts w:eastAsia="Times New Roman" w:cs="Times New Roman"/>
          <w:szCs w:val="28"/>
          <w:lang w:eastAsia="ru-RU"/>
        </w:rPr>
        <w:t>Запоріжжяобленерго</w:t>
      </w:r>
      <w:proofErr w:type="spellEnd"/>
      <w:r w:rsidRPr="00A2497A">
        <w:rPr>
          <w:rFonts w:eastAsia="Times New Roman" w:cs="Times New Roman"/>
          <w:szCs w:val="28"/>
          <w:lang w:eastAsia="ru-RU"/>
        </w:rPr>
        <w:t>» – 9 664,65 тис. грн.</w:t>
      </w:r>
    </w:p>
    <w:p w:rsidR="00A5280A" w:rsidRPr="00A2497A" w:rsidRDefault="00A5280A" w:rsidP="00A2497A">
      <w:pPr>
        <w:spacing w:line="264" w:lineRule="auto"/>
        <w:ind w:left="1069" w:hanging="360"/>
        <w:jc w:val="both"/>
        <w:rPr>
          <w:rFonts w:eastAsia="Times New Roman" w:cs="Times New Roman"/>
          <w:szCs w:val="28"/>
          <w:lang w:eastAsia="ru-RU"/>
        </w:rPr>
      </w:pPr>
      <w:r w:rsidRPr="00A2497A">
        <w:rPr>
          <w:rFonts w:eastAsia="Times New Roman" w:cs="Times New Roman"/>
          <w:szCs w:val="28"/>
          <w:lang w:eastAsia="ru-RU"/>
        </w:rPr>
        <w:t>9. ПАТ «</w:t>
      </w:r>
      <w:proofErr w:type="spellStart"/>
      <w:r w:rsidRPr="00A2497A">
        <w:rPr>
          <w:rFonts w:eastAsia="Times New Roman" w:cs="Times New Roman"/>
          <w:szCs w:val="28"/>
          <w:lang w:eastAsia="ru-RU"/>
        </w:rPr>
        <w:t>Черкасиобленерго</w:t>
      </w:r>
      <w:proofErr w:type="spellEnd"/>
      <w:r w:rsidRPr="00A2497A">
        <w:rPr>
          <w:rFonts w:eastAsia="Times New Roman" w:cs="Times New Roman"/>
          <w:szCs w:val="28"/>
          <w:lang w:eastAsia="ru-RU"/>
        </w:rPr>
        <w:t>» – 8 732,30 тис. грн.</w:t>
      </w:r>
    </w:p>
    <w:p w:rsidR="00A5280A" w:rsidRPr="00A2497A" w:rsidRDefault="00A5280A" w:rsidP="00A2497A">
      <w:pPr>
        <w:widowControl/>
        <w:spacing w:line="264" w:lineRule="auto"/>
        <w:jc w:val="both"/>
        <w:rPr>
          <w:rFonts w:eastAsia="Times New Roman" w:cs="Times New Roman"/>
          <w:b/>
          <w:szCs w:val="28"/>
          <w:lang w:eastAsia="ru-RU"/>
        </w:rPr>
      </w:pPr>
      <w:r w:rsidRPr="00A2497A">
        <w:rPr>
          <w:rFonts w:eastAsia="Times New Roman" w:cs="Times New Roman"/>
          <w:szCs w:val="28"/>
          <w:lang w:eastAsia="ru-RU"/>
        </w:rPr>
        <w:t xml:space="preserve">Отже, станом на 31.12.2016 Фонд забезпечив надходження до Державного бюджету України коштів від сплати дивідендів на корпоративні права держави, пені за несвоєчасно сплачені дивіденди та відрахування частини чистого прибутку господарських товариств, що перебувають у сфері управління Фонду, на загальну суму </w:t>
      </w:r>
      <w:r w:rsidRPr="00A2497A">
        <w:rPr>
          <w:rFonts w:eastAsia="Times New Roman" w:cs="Times New Roman"/>
          <w:b/>
          <w:szCs w:val="28"/>
          <w:lang w:eastAsia="ru-RU"/>
        </w:rPr>
        <w:t>1 249 484,54 тис. грн.</w:t>
      </w:r>
    </w:p>
    <w:p w:rsidR="00A5280A" w:rsidRPr="00A2497A" w:rsidRDefault="00A5280A" w:rsidP="00A2497A">
      <w:pPr>
        <w:widowControl/>
        <w:spacing w:line="264" w:lineRule="auto"/>
        <w:jc w:val="both"/>
        <w:rPr>
          <w:rFonts w:eastAsia="Times New Roman" w:cs="Times New Roman"/>
          <w:i/>
          <w:szCs w:val="28"/>
          <w:lang w:eastAsia="ru-RU"/>
        </w:rPr>
      </w:pPr>
      <w:r w:rsidRPr="00A2497A">
        <w:rPr>
          <w:rFonts w:eastAsia="Times New Roman" w:cs="Times New Roman"/>
          <w:i/>
          <w:szCs w:val="28"/>
          <w:lang w:eastAsia="ru-RU"/>
        </w:rPr>
        <w:t xml:space="preserve">У 2015 році господарськими товариствами, що перебувають у сфері управління Фонду, на загальних зборах акціонерів яких прийнято рішення про нарахування за результатами фінансово-господарської діяльності у 2014 році дивідендів на корпоративні права держави, перераховано до Державного бюджету України дивідендів на корпоративні права держави в розмірі </w:t>
      </w:r>
      <w:r w:rsidRPr="00A2497A">
        <w:rPr>
          <w:rFonts w:eastAsia="Times New Roman" w:cs="Times New Roman"/>
          <w:bCs/>
          <w:i/>
          <w:szCs w:val="28"/>
          <w:lang w:eastAsia="ru-RU"/>
        </w:rPr>
        <w:t>384 473,798 </w:t>
      </w:r>
      <w:r w:rsidRPr="00A2497A">
        <w:rPr>
          <w:rFonts w:eastAsia="Times New Roman" w:cs="Times New Roman"/>
          <w:i/>
          <w:szCs w:val="28"/>
          <w:lang w:eastAsia="ru-RU"/>
        </w:rPr>
        <w:t>тис. грн.</w:t>
      </w:r>
    </w:p>
    <w:p w:rsidR="00A5280A" w:rsidRPr="00A2497A" w:rsidRDefault="00A5280A" w:rsidP="00A2497A">
      <w:pPr>
        <w:widowControl/>
        <w:spacing w:line="264" w:lineRule="auto"/>
        <w:jc w:val="both"/>
        <w:rPr>
          <w:rFonts w:eastAsia="Times New Roman" w:cs="Times New Roman"/>
          <w:szCs w:val="28"/>
          <w:lang w:eastAsia="ru-RU"/>
        </w:rPr>
      </w:pPr>
      <w:r w:rsidRPr="00A2497A">
        <w:rPr>
          <w:rFonts w:eastAsia="Times New Roman" w:cs="Times New Roman"/>
          <w:szCs w:val="28"/>
          <w:lang w:eastAsia="ru-RU"/>
        </w:rPr>
        <w:t>Одночасно слід зазначити, що в управління Фонду для здійснення приватизації передаються корпоративні права держави господарських товариств, які належать до різних галузей, державну політику в яких впроваджують міністерства та інші органи влади. Переважна більшість переданих на приватизацію товариств, як правило, має незадовільний фінансово-економічний стан, обтяжена боргами та потребує значних фінансових інвестицій. Фонд не має бюджетних коштів для підтримки суб’єктів господарювання через відсутність відповідного бюджетного фінансування.</w:t>
      </w:r>
    </w:p>
    <w:p w:rsidR="00A5280A" w:rsidRPr="00A2497A" w:rsidRDefault="00A5280A" w:rsidP="00A2497A">
      <w:pPr>
        <w:spacing w:line="264" w:lineRule="auto"/>
        <w:jc w:val="both"/>
        <w:rPr>
          <w:rFonts w:eastAsia="Times New Roman" w:cs="Times New Roman"/>
          <w:szCs w:val="28"/>
          <w:lang w:eastAsia="ru-RU"/>
        </w:rPr>
      </w:pPr>
      <w:r w:rsidRPr="00A2497A">
        <w:rPr>
          <w:rFonts w:eastAsia="Times New Roman" w:cs="Times New Roman"/>
          <w:szCs w:val="28"/>
          <w:lang w:eastAsia="ru-RU"/>
        </w:rPr>
        <w:lastRenderedPageBreak/>
        <w:t>Заборгованість зі сплати дивідендів, яка виникла у 2005-2010 роках, мають два товариства:</w:t>
      </w:r>
    </w:p>
    <w:p w:rsidR="00A5280A" w:rsidRPr="00A2497A" w:rsidRDefault="00A5280A" w:rsidP="00A2497A">
      <w:pPr>
        <w:spacing w:line="264" w:lineRule="auto"/>
        <w:jc w:val="both"/>
        <w:rPr>
          <w:rFonts w:eastAsia="Times New Roman" w:cs="Times New Roman"/>
          <w:szCs w:val="28"/>
          <w:lang w:eastAsia="ru-RU"/>
        </w:rPr>
      </w:pPr>
      <w:r w:rsidRPr="00A2497A">
        <w:rPr>
          <w:rFonts w:eastAsia="Times New Roman" w:cs="Times New Roman"/>
          <w:szCs w:val="28"/>
          <w:lang w:eastAsia="ru-RU"/>
        </w:rPr>
        <w:t xml:space="preserve">1. ВАТ «Нафтохімік Прикарпаття» (Івано-Франківська обл.) за результатами роботи у 2005 та 2006 роках має борг у сумі 8,3 </w:t>
      </w:r>
      <w:proofErr w:type="spellStart"/>
      <w:r w:rsidRPr="00A2497A">
        <w:rPr>
          <w:rFonts w:eastAsia="Times New Roman" w:cs="Times New Roman"/>
          <w:szCs w:val="28"/>
          <w:lang w:eastAsia="ru-RU"/>
        </w:rPr>
        <w:t>млн</w:t>
      </w:r>
      <w:proofErr w:type="spellEnd"/>
      <w:r w:rsidRPr="00A2497A">
        <w:rPr>
          <w:rFonts w:eastAsia="Times New Roman" w:cs="Times New Roman"/>
          <w:szCs w:val="28"/>
          <w:lang w:eastAsia="ru-RU"/>
        </w:rPr>
        <w:t xml:space="preserve"> грн. Незважаючи на рішення судів різних інстанцій, Фонд продовжує роботу із захисту інтересів держави щодо стягнення заборгованості в судовому порядку.</w:t>
      </w:r>
    </w:p>
    <w:p w:rsidR="00A5280A" w:rsidRPr="00A2497A" w:rsidRDefault="00A5280A" w:rsidP="00A2497A">
      <w:pPr>
        <w:spacing w:line="264" w:lineRule="auto"/>
        <w:jc w:val="both"/>
        <w:rPr>
          <w:rFonts w:eastAsia="Times New Roman" w:cs="Times New Roman"/>
          <w:szCs w:val="28"/>
          <w:lang w:eastAsia="ru-RU"/>
        </w:rPr>
      </w:pPr>
      <w:r w:rsidRPr="00A2497A">
        <w:rPr>
          <w:rFonts w:eastAsia="Times New Roman" w:cs="Times New Roman"/>
          <w:szCs w:val="28"/>
          <w:lang w:eastAsia="ru-RU"/>
        </w:rPr>
        <w:t>2. Українсько-російське ЗАТ «Фазотрон-Україна» за результатами роботи у 2010 році має борг у сумі 499,72 тис. грн. За позовом Фонду Господарським судом м. Києва прийнято рішення про стягнення з товариства на користь Державного бюджету України заборгованості зі сплати дивідендів разом з пенею в сумі 105,32 тис. </w:t>
      </w:r>
      <w:proofErr w:type="spellStart"/>
      <w:r w:rsidRPr="00A2497A">
        <w:rPr>
          <w:rFonts w:eastAsia="Times New Roman" w:cs="Times New Roman"/>
          <w:szCs w:val="28"/>
          <w:lang w:eastAsia="ru-RU"/>
        </w:rPr>
        <w:t>грн</w:t>
      </w:r>
      <w:proofErr w:type="spellEnd"/>
      <w:r w:rsidRPr="00A2497A">
        <w:rPr>
          <w:rFonts w:eastAsia="Times New Roman" w:cs="Times New Roman"/>
          <w:szCs w:val="28"/>
          <w:lang w:eastAsia="ru-RU"/>
        </w:rPr>
        <w:t xml:space="preserve"> за несвоєчасно сплачені дивіденди. </w:t>
      </w:r>
    </w:p>
    <w:p w:rsidR="00A5280A" w:rsidRPr="00A2497A" w:rsidRDefault="00A5280A" w:rsidP="00A2497A">
      <w:pPr>
        <w:spacing w:line="264" w:lineRule="auto"/>
        <w:jc w:val="both"/>
        <w:rPr>
          <w:rFonts w:eastAsia="Times New Roman" w:cs="Times New Roman"/>
          <w:szCs w:val="28"/>
          <w:lang w:eastAsia="ru-RU"/>
        </w:rPr>
      </w:pPr>
      <w:r w:rsidRPr="00A2497A">
        <w:rPr>
          <w:rFonts w:eastAsia="Times New Roman" w:cs="Times New Roman"/>
          <w:szCs w:val="28"/>
          <w:lang w:eastAsia="ru-RU"/>
        </w:rPr>
        <w:t xml:space="preserve">Відділом державної виконавчої служби (далі – </w:t>
      </w:r>
      <w:proofErr w:type="spellStart"/>
      <w:r w:rsidRPr="00A2497A">
        <w:rPr>
          <w:rFonts w:eastAsia="Times New Roman" w:cs="Times New Roman"/>
          <w:szCs w:val="28"/>
          <w:lang w:eastAsia="ru-RU"/>
        </w:rPr>
        <w:t>ДВС</w:t>
      </w:r>
      <w:proofErr w:type="spellEnd"/>
      <w:r w:rsidRPr="00A2497A">
        <w:rPr>
          <w:rFonts w:eastAsia="Times New Roman" w:cs="Times New Roman"/>
          <w:szCs w:val="28"/>
          <w:lang w:eastAsia="ru-RU"/>
        </w:rPr>
        <w:t>) Шевченківського районного управління юстиції у м. Києві на виконання наказу Господарського суду м. Києва від 10 грудня 2012 року в 2014 році здійснено заходи щодо часткового погашення боргу з виплати дивідендів перед державним бюджетом у сумі 23,1 тис. грн. Постановою Господарського суду м. Києва від 29 грудня 2014 року зазначений наказ повернено без виконання у зв’язку з відсутністю майна, на яке можливо звернути стягнення в рахунок погашення залишку заборгованості в сумі 594,328 тис. грн.</w:t>
      </w:r>
    </w:p>
    <w:p w:rsidR="00A5280A" w:rsidRPr="00A2497A" w:rsidRDefault="00A5280A" w:rsidP="00A2497A">
      <w:pPr>
        <w:spacing w:line="264" w:lineRule="auto"/>
        <w:jc w:val="both"/>
        <w:rPr>
          <w:rFonts w:eastAsia="Times New Roman" w:cs="Times New Roman"/>
          <w:szCs w:val="28"/>
          <w:lang w:eastAsia="ru-RU"/>
        </w:rPr>
      </w:pPr>
      <w:r w:rsidRPr="00A2497A">
        <w:rPr>
          <w:rFonts w:eastAsia="Times New Roman" w:cs="Times New Roman"/>
          <w:szCs w:val="28"/>
          <w:lang w:eastAsia="ru-RU"/>
        </w:rPr>
        <w:t xml:space="preserve">У січні 2016 року Фонд звернувся із заявою до відділу </w:t>
      </w:r>
      <w:proofErr w:type="spellStart"/>
      <w:r w:rsidRPr="00A2497A">
        <w:rPr>
          <w:rFonts w:eastAsia="Times New Roman" w:cs="Times New Roman"/>
          <w:szCs w:val="28"/>
          <w:lang w:eastAsia="ru-RU"/>
        </w:rPr>
        <w:t>ДВС</w:t>
      </w:r>
      <w:proofErr w:type="spellEnd"/>
      <w:r w:rsidRPr="00A2497A">
        <w:rPr>
          <w:rFonts w:eastAsia="Times New Roman" w:cs="Times New Roman"/>
          <w:szCs w:val="28"/>
          <w:lang w:eastAsia="ru-RU"/>
        </w:rPr>
        <w:t xml:space="preserve"> Шевченківського районного управління юстиції у м. Києві про повторне відкриття виконавчого провадження. Постановою державного виконавця відділу </w:t>
      </w:r>
      <w:proofErr w:type="spellStart"/>
      <w:r w:rsidRPr="00A2497A">
        <w:rPr>
          <w:rFonts w:eastAsia="Times New Roman" w:cs="Times New Roman"/>
          <w:szCs w:val="28"/>
          <w:lang w:eastAsia="ru-RU"/>
        </w:rPr>
        <w:t>ДВС</w:t>
      </w:r>
      <w:proofErr w:type="spellEnd"/>
      <w:r w:rsidRPr="00A2497A">
        <w:rPr>
          <w:rFonts w:eastAsia="Times New Roman" w:cs="Times New Roman"/>
          <w:szCs w:val="28"/>
          <w:lang w:eastAsia="ru-RU"/>
        </w:rPr>
        <w:t xml:space="preserve"> Шевченківського районного управління юстиції у м. Києві від 29.02.2016 відкрито виконавче провадження № 48157591. Виконавчий документ 30.06.2016 повернено без виконання у зв’язку з відсутністю у боржника коштів та майна, на яке може бути звернено стягнення.</w:t>
      </w:r>
    </w:p>
    <w:p w:rsidR="00A5280A" w:rsidRPr="00A2497A" w:rsidRDefault="00A5280A" w:rsidP="00A2497A">
      <w:pPr>
        <w:spacing w:line="264" w:lineRule="auto"/>
        <w:jc w:val="both"/>
        <w:rPr>
          <w:rFonts w:eastAsia="Times New Roman" w:cs="Times New Roman"/>
          <w:szCs w:val="28"/>
          <w:lang w:eastAsia="ru-RU"/>
        </w:rPr>
      </w:pPr>
      <w:r w:rsidRPr="00A2497A">
        <w:rPr>
          <w:rFonts w:eastAsia="Times New Roman" w:cs="Times New Roman"/>
          <w:szCs w:val="28"/>
          <w:lang w:eastAsia="ru-RU"/>
        </w:rPr>
        <w:t>Крім того, Фондом проводиться робота щодо стягнення заборгованості зі сплати дивідендів та частини чистого прибутку такими товариствами:</w:t>
      </w:r>
    </w:p>
    <w:p w:rsidR="00A5280A" w:rsidRPr="00A2497A" w:rsidRDefault="00A5280A" w:rsidP="00A2497A">
      <w:pPr>
        <w:spacing w:line="264" w:lineRule="auto"/>
        <w:jc w:val="both"/>
        <w:rPr>
          <w:rFonts w:eastAsia="Times New Roman" w:cs="Times New Roman"/>
          <w:szCs w:val="28"/>
          <w:lang w:eastAsia="ru-RU"/>
        </w:rPr>
      </w:pPr>
      <w:r w:rsidRPr="00A2497A">
        <w:rPr>
          <w:rFonts w:eastAsia="Times New Roman" w:cs="Times New Roman"/>
          <w:szCs w:val="28"/>
          <w:lang w:eastAsia="ru-RU"/>
        </w:rPr>
        <w:t xml:space="preserve">ПАТ «Державна акціонерна компанія «Національна мережа аукціонних центрів». </w:t>
      </w:r>
      <w:r w:rsidR="00B2765A" w:rsidRPr="00A2497A">
        <w:rPr>
          <w:rFonts w:eastAsia="Times New Roman" w:cs="Times New Roman"/>
          <w:szCs w:val="28"/>
          <w:lang w:eastAsia="ru-RU"/>
        </w:rPr>
        <w:t xml:space="preserve">У провадженні Господарського суду міста Києва перебувала справа за позовом Фонду до ПАТ «Державна акціонерна компанія «Національна мережа аукціонних центрів» про стягнення частини чистого прибутку. Рішенням Господарського суду м. Києва від 16.02.2017 у справі № 910/243350/16 позовні вимоги задоволено у повному обсязі, зокрема, стягнуто на користь Державного бюджету України частину чистого прибутку у розмірі 2 244 750 </w:t>
      </w:r>
      <w:proofErr w:type="spellStart"/>
      <w:r w:rsidR="00B2765A" w:rsidRPr="00A2497A">
        <w:rPr>
          <w:rFonts w:eastAsia="Times New Roman" w:cs="Times New Roman"/>
          <w:szCs w:val="28"/>
          <w:lang w:eastAsia="ru-RU"/>
        </w:rPr>
        <w:t>грн</w:t>
      </w:r>
      <w:proofErr w:type="spellEnd"/>
      <w:r w:rsidRPr="00A2497A">
        <w:rPr>
          <w:rFonts w:eastAsia="Times New Roman" w:cs="Times New Roman"/>
          <w:szCs w:val="28"/>
          <w:lang w:eastAsia="ru-RU"/>
        </w:rPr>
        <w:t xml:space="preserve">; </w:t>
      </w:r>
    </w:p>
    <w:p w:rsidR="00C67F11" w:rsidRPr="00A2497A" w:rsidRDefault="00A5280A" w:rsidP="00A2497A">
      <w:pPr>
        <w:spacing w:line="264" w:lineRule="auto"/>
        <w:jc w:val="both"/>
        <w:rPr>
          <w:rFonts w:eastAsia="Calibri" w:cs="Times New Roman"/>
          <w:szCs w:val="28"/>
        </w:rPr>
      </w:pPr>
      <w:r w:rsidRPr="00A2497A">
        <w:rPr>
          <w:rFonts w:eastAsia="Times New Roman" w:cs="Times New Roman"/>
          <w:szCs w:val="28"/>
          <w:lang w:eastAsia="ru-RU"/>
        </w:rPr>
        <w:t>ПАТ «</w:t>
      </w:r>
      <w:proofErr w:type="spellStart"/>
      <w:r w:rsidRPr="00A2497A">
        <w:rPr>
          <w:rFonts w:eastAsia="Times New Roman" w:cs="Times New Roman"/>
          <w:szCs w:val="28"/>
          <w:lang w:eastAsia="ru-RU"/>
        </w:rPr>
        <w:t>Азовмаш</w:t>
      </w:r>
      <w:proofErr w:type="spellEnd"/>
      <w:r w:rsidRPr="00A2497A">
        <w:rPr>
          <w:rFonts w:eastAsia="Times New Roman" w:cs="Times New Roman"/>
          <w:szCs w:val="28"/>
          <w:lang w:eastAsia="ru-RU"/>
        </w:rPr>
        <w:t xml:space="preserve">». </w:t>
      </w:r>
      <w:r w:rsidR="00B2765A" w:rsidRPr="00A2497A">
        <w:rPr>
          <w:rFonts w:eastAsia="Calibri" w:cs="Times New Roman"/>
          <w:szCs w:val="28"/>
        </w:rPr>
        <w:t xml:space="preserve">У </w:t>
      </w:r>
      <w:r w:rsidR="00C67F11" w:rsidRPr="00A2497A">
        <w:rPr>
          <w:rFonts w:eastAsia="Calibri" w:cs="Times New Roman"/>
          <w:szCs w:val="28"/>
        </w:rPr>
        <w:t xml:space="preserve">звітному періоді у справі </w:t>
      </w:r>
      <w:r w:rsidR="00C67F11" w:rsidRPr="003772B9">
        <w:rPr>
          <w:rFonts w:eastAsia="Calibri" w:cs="Times New Roman"/>
          <w:szCs w:val="28"/>
        </w:rPr>
        <w:t>№</w:t>
      </w:r>
      <w:r w:rsidR="00C67F11" w:rsidRPr="00A2497A">
        <w:rPr>
          <w:rFonts w:eastAsia="Calibri" w:cs="Times New Roman"/>
          <w:szCs w:val="28"/>
          <w:lang w:val="ru-RU"/>
        </w:rPr>
        <w:t> </w:t>
      </w:r>
      <w:r w:rsidR="00C67F11" w:rsidRPr="003772B9">
        <w:t>905/3526/15</w:t>
      </w:r>
      <w:r w:rsidR="00C67F11" w:rsidRPr="00A2497A">
        <w:rPr>
          <w:rFonts w:eastAsia="Calibri" w:cs="Times New Roman"/>
          <w:szCs w:val="28"/>
        </w:rPr>
        <w:t xml:space="preserve"> за позовом Фонду до ПАТ «</w:t>
      </w:r>
      <w:proofErr w:type="spellStart"/>
      <w:r w:rsidR="00C67F11" w:rsidRPr="00A2497A">
        <w:rPr>
          <w:rFonts w:eastAsia="Calibri" w:cs="Times New Roman"/>
          <w:szCs w:val="28"/>
        </w:rPr>
        <w:t>Азовмаш</w:t>
      </w:r>
      <w:proofErr w:type="spellEnd"/>
      <w:r w:rsidR="00C67F11" w:rsidRPr="00A2497A">
        <w:rPr>
          <w:rFonts w:eastAsia="Calibri" w:cs="Times New Roman"/>
          <w:szCs w:val="28"/>
        </w:rPr>
        <w:t xml:space="preserve">» про стягнення пені за несвоєчасно виплачені дивіденди рішенням Господарського суду Донецької області від 26.04.2016, залишеним без змін постановою Вищого господарського суду України від 08.11.2016, позовні вимоги задоволено судом у повному обсязі та стягнено на користь держави 114,11 тис. </w:t>
      </w:r>
      <w:proofErr w:type="spellStart"/>
      <w:r w:rsidR="00C67F11" w:rsidRPr="00A2497A">
        <w:rPr>
          <w:rFonts w:eastAsia="Calibri" w:cs="Times New Roman"/>
          <w:szCs w:val="28"/>
        </w:rPr>
        <w:t>грн</w:t>
      </w:r>
      <w:proofErr w:type="spellEnd"/>
      <w:r w:rsidR="00C67F11" w:rsidRPr="00A2497A">
        <w:rPr>
          <w:rFonts w:eastAsia="Calibri" w:cs="Times New Roman"/>
          <w:szCs w:val="28"/>
        </w:rPr>
        <w:t xml:space="preserve"> пені. </w:t>
      </w:r>
    </w:p>
    <w:p w:rsidR="00A5280A" w:rsidRPr="00A2497A" w:rsidRDefault="00A5280A" w:rsidP="00A2497A">
      <w:pPr>
        <w:spacing w:line="264" w:lineRule="auto"/>
        <w:jc w:val="both"/>
        <w:rPr>
          <w:rFonts w:eastAsia="Times New Roman" w:cs="Times New Roman"/>
          <w:szCs w:val="28"/>
          <w:lang w:eastAsia="ru-RU"/>
        </w:rPr>
      </w:pPr>
      <w:r w:rsidRPr="00A2497A">
        <w:rPr>
          <w:rFonts w:eastAsia="Times New Roman" w:cs="Times New Roman"/>
          <w:szCs w:val="28"/>
          <w:lang w:eastAsia="ru-RU"/>
        </w:rPr>
        <w:lastRenderedPageBreak/>
        <w:t xml:space="preserve">ПАТ «Український науково-дослідний інститут технології машинобудування». До Господарського суду Дніпропетровської області Фондом 10.01.2017 подано позовну заяву до ПАТ «Український науково-дослідний інститут технології машинобудування» про стягнення частини чистого прибутку у розмірі 1 174 500 грн. </w:t>
      </w:r>
    </w:p>
    <w:p w:rsidR="00A5280A" w:rsidRPr="00242020" w:rsidRDefault="00A5280A" w:rsidP="00A5280A">
      <w:pPr>
        <w:ind w:firstLine="720"/>
        <w:jc w:val="both"/>
        <w:rPr>
          <w:rFonts w:eastAsia="Times New Roman" w:cs="Times New Roman"/>
          <w:sz w:val="10"/>
          <w:highlight w:val="yellow"/>
          <w:lang w:eastAsia="ru-RU"/>
        </w:rPr>
      </w:pPr>
    </w:p>
    <w:p w:rsidR="00805AB4" w:rsidRPr="00242020" w:rsidRDefault="00805AB4" w:rsidP="00805AB4">
      <w:pPr>
        <w:pStyle w:val="2"/>
      </w:pPr>
      <w:r w:rsidRPr="00242020">
        <w:t>3.5.5. Участь Фонду в процедурах банкрутства підприємств та реструктуризації господарських товариств, у статутних капіталах яких корпоративні права держави перевищують 50 відсотків і які належать до сфери управління Фонду</w:t>
      </w:r>
    </w:p>
    <w:p w:rsidR="00805AB4" w:rsidRPr="00242020" w:rsidRDefault="00805AB4" w:rsidP="00805AB4">
      <w:pPr>
        <w:spacing w:line="237" w:lineRule="auto"/>
        <w:jc w:val="center"/>
        <w:rPr>
          <w:b/>
          <w:sz w:val="8"/>
          <w:szCs w:val="8"/>
          <w:highlight w:val="red"/>
        </w:rPr>
      </w:pPr>
    </w:p>
    <w:p w:rsidR="006F4201" w:rsidRPr="00242020" w:rsidRDefault="006F4201" w:rsidP="006F4201">
      <w:pPr>
        <w:jc w:val="both"/>
        <w:rPr>
          <w:rFonts w:eastAsia="Times New Roman" w:cs="Times New Roman"/>
          <w:sz w:val="12"/>
          <w:szCs w:val="12"/>
          <w:lang w:eastAsia="ru-RU"/>
        </w:rPr>
      </w:pPr>
    </w:p>
    <w:p w:rsidR="00A5280A" w:rsidRPr="00242020" w:rsidRDefault="00A5280A" w:rsidP="00A2497A">
      <w:pPr>
        <w:spacing w:line="264" w:lineRule="auto"/>
        <w:jc w:val="both"/>
        <w:rPr>
          <w:rFonts w:eastAsia="Times New Roman" w:cs="Times New Roman"/>
          <w:szCs w:val="28"/>
          <w:lang w:eastAsia="ru-RU"/>
        </w:rPr>
      </w:pPr>
      <w:r w:rsidRPr="00242020">
        <w:rPr>
          <w:rFonts w:eastAsia="Times New Roman" w:cs="Times New Roman"/>
          <w:szCs w:val="28"/>
          <w:lang w:eastAsia="ru-RU"/>
        </w:rPr>
        <w:t>З урахуванням вимог законів України «Про відновлення платоспроможності боржника або визнання його банкрутом», «Про Фонд державного майна України» Фондом протягом звітного періоду:</w:t>
      </w:r>
    </w:p>
    <w:p w:rsidR="00A5280A" w:rsidRPr="00242020" w:rsidRDefault="00A5280A" w:rsidP="00A2497A">
      <w:pPr>
        <w:widowControl/>
        <w:numPr>
          <w:ilvl w:val="0"/>
          <w:numId w:val="20"/>
        </w:numPr>
        <w:spacing w:line="264" w:lineRule="auto"/>
        <w:ind w:left="686" w:hanging="326"/>
        <w:jc w:val="both"/>
        <w:rPr>
          <w:rFonts w:eastAsia="Times New Roman" w:cs="Times New Roman"/>
          <w:szCs w:val="28"/>
          <w:lang w:eastAsia="ru-RU"/>
        </w:rPr>
      </w:pPr>
      <w:r w:rsidRPr="00242020">
        <w:rPr>
          <w:rFonts w:eastAsia="Times New Roman" w:cs="Times New Roman"/>
          <w:szCs w:val="28"/>
          <w:lang w:eastAsia="ru-RU"/>
        </w:rPr>
        <w:t>направлялися звернення, клопотання до господарських судів щодо залучення Фонду до розгляду справ про банкрутство господарських організацій, управління державними корпоративними правами яких здійснює Фонд, та державних підприємств, що перебувають в його управлінні;</w:t>
      </w:r>
    </w:p>
    <w:p w:rsidR="00A5280A" w:rsidRPr="00242020" w:rsidRDefault="00A5280A" w:rsidP="00A2497A">
      <w:pPr>
        <w:widowControl/>
        <w:numPr>
          <w:ilvl w:val="0"/>
          <w:numId w:val="20"/>
        </w:numPr>
        <w:spacing w:line="264" w:lineRule="auto"/>
        <w:ind w:left="686" w:hanging="326"/>
        <w:jc w:val="both"/>
        <w:rPr>
          <w:rFonts w:eastAsia="Times New Roman" w:cs="Times New Roman"/>
          <w:szCs w:val="28"/>
          <w:lang w:eastAsia="ru-RU"/>
        </w:rPr>
      </w:pPr>
      <w:r w:rsidRPr="00242020">
        <w:rPr>
          <w:rFonts w:eastAsia="Times New Roman" w:cs="Times New Roman"/>
          <w:szCs w:val="28"/>
          <w:lang w:eastAsia="ru-RU"/>
        </w:rPr>
        <w:t>направлялися відповідні клопотання до господарських судів, комітетів кредиторів щодо подальшого провадження у справах про банкрутство підприємств-боржників;</w:t>
      </w:r>
    </w:p>
    <w:p w:rsidR="00A5280A" w:rsidRPr="00242020" w:rsidRDefault="00A5280A" w:rsidP="00A2497A">
      <w:pPr>
        <w:numPr>
          <w:ilvl w:val="0"/>
          <w:numId w:val="20"/>
        </w:numPr>
        <w:spacing w:line="264" w:lineRule="auto"/>
        <w:ind w:left="680" w:hanging="323"/>
        <w:jc w:val="both"/>
        <w:rPr>
          <w:rFonts w:eastAsia="Times New Roman" w:cs="Times New Roman"/>
          <w:szCs w:val="28"/>
          <w:lang w:eastAsia="ru-RU"/>
        </w:rPr>
      </w:pPr>
      <w:r w:rsidRPr="00242020">
        <w:rPr>
          <w:rFonts w:eastAsia="Times New Roman" w:cs="Times New Roman"/>
          <w:szCs w:val="28"/>
          <w:lang w:eastAsia="ru-RU"/>
        </w:rPr>
        <w:t>забезпечувалася участь представників Фонду на зборах кредиторів, засіданнях комітетів кредиторів, на аукціонах з продажу майна банкрутів та засіданнях господарських судів під час розгляду справ про банкрутство підприємств-боржників;</w:t>
      </w:r>
    </w:p>
    <w:p w:rsidR="00A5280A" w:rsidRPr="00242020" w:rsidRDefault="00A5280A" w:rsidP="00A2497A">
      <w:pPr>
        <w:widowControl/>
        <w:numPr>
          <w:ilvl w:val="0"/>
          <w:numId w:val="20"/>
        </w:numPr>
        <w:spacing w:line="264" w:lineRule="auto"/>
        <w:ind w:left="686" w:hanging="326"/>
        <w:jc w:val="both"/>
        <w:rPr>
          <w:rFonts w:eastAsia="Times New Roman" w:cs="Times New Roman"/>
          <w:szCs w:val="28"/>
          <w:lang w:eastAsia="ru-RU"/>
        </w:rPr>
      </w:pPr>
      <w:r w:rsidRPr="00242020">
        <w:rPr>
          <w:rFonts w:eastAsia="Times New Roman" w:cs="Times New Roman"/>
          <w:szCs w:val="28"/>
          <w:lang w:eastAsia="ru-RU"/>
        </w:rPr>
        <w:t>здійснювалося погодження переліків ліквідаційних мас та організаторів аукціонів з продажу майна підприємств-боржників, які перебувають в управлінні Фонду та його регіональних відділень;</w:t>
      </w:r>
    </w:p>
    <w:p w:rsidR="00A5280A" w:rsidRPr="00242020" w:rsidRDefault="00A5280A" w:rsidP="00A2497A">
      <w:pPr>
        <w:widowControl/>
        <w:numPr>
          <w:ilvl w:val="0"/>
          <w:numId w:val="20"/>
        </w:numPr>
        <w:spacing w:line="264" w:lineRule="auto"/>
        <w:ind w:left="686" w:hanging="326"/>
        <w:jc w:val="both"/>
        <w:rPr>
          <w:rFonts w:eastAsia="Times New Roman" w:cs="Times New Roman"/>
          <w:szCs w:val="28"/>
          <w:lang w:eastAsia="ru-RU"/>
        </w:rPr>
      </w:pPr>
      <w:r w:rsidRPr="00242020">
        <w:rPr>
          <w:rFonts w:eastAsia="Times New Roman" w:cs="Times New Roman"/>
          <w:szCs w:val="28"/>
          <w:lang w:eastAsia="ru-RU"/>
        </w:rPr>
        <w:t>здійснювався постійний контроль за станом супроводження справ про банкрутство підприємств-боржників, які перебувають в управлінні регіональних відділень Фонду, та надавалися відповідні рекомендації і вказівки стосовно:</w:t>
      </w:r>
    </w:p>
    <w:p w:rsidR="00A5280A" w:rsidRPr="00242020" w:rsidRDefault="00A5280A" w:rsidP="00A2497A">
      <w:pPr>
        <w:widowControl/>
        <w:numPr>
          <w:ilvl w:val="1"/>
          <w:numId w:val="20"/>
        </w:numPr>
        <w:spacing w:line="264" w:lineRule="auto"/>
        <w:jc w:val="both"/>
        <w:rPr>
          <w:rFonts w:eastAsia="Times New Roman" w:cs="Times New Roman"/>
          <w:szCs w:val="28"/>
          <w:lang w:eastAsia="ru-RU"/>
        </w:rPr>
      </w:pPr>
      <w:r w:rsidRPr="00242020">
        <w:rPr>
          <w:rFonts w:eastAsia="Times New Roman" w:cs="Times New Roman"/>
          <w:szCs w:val="28"/>
          <w:lang w:eastAsia="ru-RU"/>
        </w:rPr>
        <w:t xml:space="preserve">прийняття управлінських рішень щодо державного майна, яке перебуває на балансі банкрутів, з метою запобігання залишення його без </w:t>
      </w:r>
      <w:proofErr w:type="spellStart"/>
      <w:r w:rsidRPr="00242020">
        <w:rPr>
          <w:rFonts w:eastAsia="Times New Roman" w:cs="Times New Roman"/>
          <w:szCs w:val="28"/>
          <w:lang w:eastAsia="ru-RU"/>
        </w:rPr>
        <w:t>балансоутримувача</w:t>
      </w:r>
      <w:proofErr w:type="spellEnd"/>
      <w:r w:rsidRPr="00242020">
        <w:rPr>
          <w:rFonts w:eastAsia="Times New Roman" w:cs="Times New Roman"/>
          <w:szCs w:val="28"/>
          <w:lang w:eastAsia="ru-RU"/>
        </w:rPr>
        <w:t xml:space="preserve"> після ліквідації банкрута; </w:t>
      </w:r>
    </w:p>
    <w:p w:rsidR="00A5280A" w:rsidRPr="00242020" w:rsidRDefault="00A5280A" w:rsidP="00A2497A">
      <w:pPr>
        <w:widowControl/>
        <w:numPr>
          <w:ilvl w:val="1"/>
          <w:numId w:val="20"/>
        </w:numPr>
        <w:spacing w:line="264" w:lineRule="auto"/>
        <w:jc w:val="both"/>
        <w:rPr>
          <w:rFonts w:eastAsia="Times New Roman" w:cs="Times New Roman"/>
          <w:szCs w:val="28"/>
          <w:lang w:eastAsia="ru-RU"/>
        </w:rPr>
      </w:pPr>
      <w:r w:rsidRPr="00242020">
        <w:rPr>
          <w:rFonts w:eastAsia="Times New Roman" w:cs="Times New Roman"/>
          <w:szCs w:val="28"/>
          <w:lang w:eastAsia="ru-RU"/>
        </w:rPr>
        <w:t>забезпечення прискорення ліквідації банкрутів;</w:t>
      </w:r>
    </w:p>
    <w:p w:rsidR="00A5280A" w:rsidRPr="00242020" w:rsidRDefault="00A5280A" w:rsidP="00A2497A">
      <w:pPr>
        <w:widowControl/>
        <w:numPr>
          <w:ilvl w:val="1"/>
          <w:numId w:val="20"/>
        </w:numPr>
        <w:spacing w:line="264" w:lineRule="auto"/>
        <w:jc w:val="both"/>
        <w:rPr>
          <w:rFonts w:eastAsia="Times New Roman" w:cs="Times New Roman"/>
          <w:szCs w:val="28"/>
          <w:lang w:eastAsia="ru-RU"/>
        </w:rPr>
      </w:pPr>
      <w:r w:rsidRPr="00242020">
        <w:rPr>
          <w:rFonts w:eastAsia="Times New Roman" w:cs="Times New Roman"/>
          <w:szCs w:val="28"/>
          <w:lang w:eastAsia="ru-RU"/>
        </w:rPr>
        <w:t xml:space="preserve">супроводження справ про банкрутство; </w:t>
      </w:r>
    </w:p>
    <w:p w:rsidR="00A5280A" w:rsidRPr="00242020" w:rsidRDefault="00A5280A" w:rsidP="00A2497A">
      <w:pPr>
        <w:widowControl/>
        <w:numPr>
          <w:ilvl w:val="1"/>
          <w:numId w:val="20"/>
        </w:numPr>
        <w:spacing w:line="264" w:lineRule="auto"/>
        <w:jc w:val="both"/>
        <w:rPr>
          <w:rFonts w:eastAsia="Times New Roman" w:cs="Times New Roman"/>
          <w:szCs w:val="28"/>
          <w:lang w:eastAsia="ru-RU"/>
        </w:rPr>
      </w:pPr>
      <w:r w:rsidRPr="00242020">
        <w:rPr>
          <w:rFonts w:eastAsia="Times New Roman" w:cs="Times New Roman"/>
          <w:szCs w:val="28"/>
          <w:lang w:eastAsia="ru-RU"/>
        </w:rPr>
        <w:t xml:space="preserve">забезпечення належного наповнення інформацією бази «Банкрутство» </w:t>
      </w:r>
      <w:proofErr w:type="spellStart"/>
      <w:r w:rsidRPr="00242020">
        <w:rPr>
          <w:rFonts w:eastAsia="Times New Roman" w:cs="Times New Roman"/>
          <w:szCs w:val="28"/>
          <w:lang w:eastAsia="ru-RU"/>
        </w:rPr>
        <w:t>ІППС</w:t>
      </w:r>
      <w:proofErr w:type="spellEnd"/>
      <w:r w:rsidRPr="00242020">
        <w:rPr>
          <w:rFonts w:eastAsia="Times New Roman" w:cs="Times New Roman"/>
          <w:szCs w:val="28"/>
          <w:lang w:eastAsia="ru-RU"/>
        </w:rPr>
        <w:t xml:space="preserve"> «</w:t>
      </w:r>
      <w:proofErr w:type="spellStart"/>
      <w:r w:rsidRPr="00242020">
        <w:rPr>
          <w:rFonts w:eastAsia="Times New Roman" w:cs="Times New Roman"/>
          <w:szCs w:val="28"/>
          <w:lang w:eastAsia="ru-RU"/>
        </w:rPr>
        <w:t>ЕТАП-КПД</w:t>
      </w:r>
      <w:proofErr w:type="spellEnd"/>
      <w:r w:rsidRPr="00242020">
        <w:rPr>
          <w:rFonts w:eastAsia="Times New Roman" w:cs="Times New Roman"/>
          <w:szCs w:val="28"/>
          <w:lang w:eastAsia="ru-RU"/>
        </w:rPr>
        <w:t>» та вирішення інших актуальних питань.</w:t>
      </w:r>
    </w:p>
    <w:p w:rsidR="00A5280A" w:rsidRDefault="00A5280A" w:rsidP="00A2497A">
      <w:pPr>
        <w:spacing w:line="264" w:lineRule="auto"/>
        <w:jc w:val="both"/>
        <w:rPr>
          <w:rFonts w:eastAsia="Times New Roman" w:cs="Times New Roman"/>
          <w:szCs w:val="28"/>
          <w:lang w:eastAsia="ru-RU"/>
        </w:rPr>
      </w:pPr>
      <w:r w:rsidRPr="00242020">
        <w:rPr>
          <w:rFonts w:eastAsia="Times New Roman" w:cs="Times New Roman"/>
          <w:szCs w:val="28"/>
          <w:lang w:eastAsia="ru-RU"/>
        </w:rPr>
        <w:t xml:space="preserve">Статистика щодо кількості підприємств, які знаходяться у певній </w:t>
      </w:r>
      <w:r w:rsidRPr="00242020">
        <w:rPr>
          <w:rFonts w:eastAsia="Times New Roman" w:cs="Times New Roman"/>
          <w:szCs w:val="28"/>
          <w:lang w:eastAsia="ru-RU"/>
        </w:rPr>
        <w:lastRenderedPageBreak/>
        <w:t>процедурі банкрутства, станом на 01 січня 2017 року наведена у таблиці 3.7.</w:t>
      </w:r>
    </w:p>
    <w:p w:rsidR="00A5280A" w:rsidRPr="00242020" w:rsidRDefault="00A5280A" w:rsidP="00A5280A">
      <w:pPr>
        <w:jc w:val="right"/>
        <w:rPr>
          <w:rFonts w:eastAsia="Times New Roman" w:cs="Times New Roman"/>
          <w:b/>
          <w:sz w:val="24"/>
          <w:szCs w:val="24"/>
          <w:lang w:eastAsia="ru-RU"/>
        </w:rPr>
      </w:pPr>
      <w:r w:rsidRPr="00242020">
        <w:rPr>
          <w:rFonts w:eastAsia="Times New Roman" w:cs="Times New Roman"/>
          <w:b/>
          <w:sz w:val="24"/>
          <w:szCs w:val="24"/>
          <w:lang w:eastAsia="ru-RU"/>
        </w:rPr>
        <w:t>Таблиця 3.7</w:t>
      </w:r>
    </w:p>
    <w:p w:rsidR="00A5280A" w:rsidRPr="00242020" w:rsidRDefault="00A5280A" w:rsidP="00A5280A">
      <w:pPr>
        <w:spacing w:before="120" w:after="120"/>
        <w:ind w:firstLine="0"/>
        <w:jc w:val="center"/>
        <w:rPr>
          <w:rFonts w:eastAsia="Times New Roman" w:cs="Times New Roman"/>
          <w:b/>
          <w:szCs w:val="28"/>
          <w:lang w:eastAsia="ru-RU"/>
        </w:rPr>
      </w:pPr>
      <w:r w:rsidRPr="00242020">
        <w:rPr>
          <w:rFonts w:eastAsia="Times New Roman" w:cs="Times New Roman"/>
          <w:b/>
          <w:szCs w:val="28"/>
          <w:lang w:eastAsia="ru-RU"/>
        </w:rPr>
        <w:t xml:space="preserve">Кількість підприємств, які знаходяться в певній стадії банкрутства, управління якими здійснює Фонд </w:t>
      </w:r>
    </w:p>
    <w:tbl>
      <w:tblPr>
        <w:tblW w:w="9226"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4"/>
        <w:gridCol w:w="2583"/>
        <w:gridCol w:w="1586"/>
        <w:gridCol w:w="1648"/>
        <w:gridCol w:w="1373"/>
        <w:gridCol w:w="1552"/>
      </w:tblGrid>
      <w:tr w:rsidR="00A5280A" w:rsidRPr="00242020" w:rsidTr="00556993">
        <w:trPr>
          <w:cantSplit/>
          <w:trHeight w:val="864"/>
          <w:jc w:val="center"/>
        </w:trPr>
        <w:tc>
          <w:tcPr>
            <w:tcW w:w="484" w:type="dxa"/>
            <w:vMerge w:val="restart"/>
            <w:vAlign w:val="center"/>
          </w:tcPr>
          <w:p w:rsidR="00A5280A" w:rsidRPr="00242020" w:rsidRDefault="00A5280A" w:rsidP="00A5280A">
            <w:pPr>
              <w:ind w:firstLine="0"/>
              <w:jc w:val="center"/>
              <w:rPr>
                <w:rFonts w:eastAsia="Times New Roman" w:cs="Times New Roman"/>
                <w:sz w:val="24"/>
                <w:szCs w:val="24"/>
                <w:lang w:eastAsia="ru-RU"/>
              </w:rPr>
            </w:pPr>
            <w:r w:rsidRPr="00242020">
              <w:rPr>
                <w:rFonts w:eastAsia="Times New Roman" w:cs="Times New Roman"/>
                <w:color w:val="000000"/>
                <w:sz w:val="24"/>
                <w:szCs w:val="24"/>
                <w:lang w:eastAsia="ru-RU"/>
              </w:rPr>
              <w:t>№ з/п</w:t>
            </w:r>
          </w:p>
        </w:tc>
        <w:tc>
          <w:tcPr>
            <w:tcW w:w="2583" w:type="dxa"/>
            <w:vMerge w:val="restart"/>
            <w:vAlign w:val="center"/>
          </w:tcPr>
          <w:p w:rsidR="00A5280A" w:rsidRPr="00242020" w:rsidRDefault="00A5280A" w:rsidP="00A5280A">
            <w:pPr>
              <w:ind w:firstLine="0"/>
              <w:jc w:val="center"/>
              <w:rPr>
                <w:rFonts w:eastAsia="Times New Roman" w:cs="Times New Roman"/>
                <w:sz w:val="24"/>
                <w:szCs w:val="24"/>
                <w:lang w:eastAsia="ru-RU"/>
              </w:rPr>
            </w:pPr>
            <w:r w:rsidRPr="00242020">
              <w:rPr>
                <w:rFonts w:eastAsia="Times New Roman" w:cs="Times New Roman"/>
                <w:color w:val="000000"/>
                <w:sz w:val="24"/>
                <w:szCs w:val="24"/>
                <w:lang w:eastAsia="ru-RU"/>
              </w:rPr>
              <w:t>Орган управлінн</w:t>
            </w:r>
            <w:r w:rsidRPr="00242020">
              <w:rPr>
                <w:rFonts w:eastAsia="Times New Roman" w:cs="Times New Roman"/>
                <w:sz w:val="24"/>
                <w:szCs w:val="24"/>
                <w:lang w:eastAsia="ru-RU"/>
              </w:rPr>
              <w:t>я</w:t>
            </w:r>
          </w:p>
        </w:tc>
        <w:tc>
          <w:tcPr>
            <w:tcW w:w="6159" w:type="dxa"/>
            <w:gridSpan w:val="4"/>
          </w:tcPr>
          <w:p w:rsidR="00A5280A" w:rsidRPr="00242020" w:rsidRDefault="00A5280A" w:rsidP="00A5280A">
            <w:pPr>
              <w:ind w:firstLine="0"/>
              <w:jc w:val="center"/>
              <w:rPr>
                <w:rFonts w:eastAsia="Times New Roman" w:cs="Times New Roman"/>
                <w:sz w:val="26"/>
                <w:szCs w:val="26"/>
                <w:lang w:eastAsia="ru-RU"/>
              </w:rPr>
            </w:pPr>
            <w:r w:rsidRPr="00242020">
              <w:rPr>
                <w:rFonts w:eastAsia="Times New Roman" w:cs="Times New Roman"/>
                <w:color w:val="000000"/>
                <w:sz w:val="24"/>
                <w:szCs w:val="24"/>
                <w:lang w:eastAsia="ru-RU"/>
              </w:rPr>
              <w:t>Кількість державних підприємств та господарських товариств, у статутних капіталах яких частка держави перевищує 50 %,</w:t>
            </w:r>
            <w:r w:rsidRPr="00242020">
              <w:rPr>
                <w:rFonts w:eastAsia="Times New Roman" w:cs="Times New Roman"/>
                <w:sz w:val="24"/>
                <w:szCs w:val="24"/>
                <w:lang w:eastAsia="ru-RU"/>
              </w:rPr>
              <w:t xml:space="preserve"> </w:t>
            </w:r>
            <w:r w:rsidRPr="00242020">
              <w:rPr>
                <w:rFonts w:eastAsia="Times New Roman" w:cs="Times New Roman"/>
                <w:color w:val="000000"/>
                <w:sz w:val="24"/>
                <w:szCs w:val="24"/>
                <w:lang w:eastAsia="ru-RU"/>
              </w:rPr>
              <w:t>щодо яких порушено провадження у справах про банкрутство, (од.)</w:t>
            </w:r>
          </w:p>
        </w:tc>
      </w:tr>
      <w:tr w:rsidR="00A5280A" w:rsidRPr="00242020" w:rsidTr="00556993">
        <w:trPr>
          <w:cantSplit/>
          <w:trHeight w:val="819"/>
          <w:jc w:val="center"/>
        </w:trPr>
        <w:tc>
          <w:tcPr>
            <w:tcW w:w="484" w:type="dxa"/>
            <w:vMerge/>
            <w:vAlign w:val="center"/>
          </w:tcPr>
          <w:p w:rsidR="00A5280A" w:rsidRPr="00242020" w:rsidRDefault="00A5280A" w:rsidP="00A5280A">
            <w:pPr>
              <w:ind w:firstLine="0"/>
              <w:jc w:val="both"/>
              <w:rPr>
                <w:rFonts w:eastAsia="Times New Roman" w:cs="Times New Roman"/>
                <w:szCs w:val="20"/>
                <w:lang w:eastAsia="ru-RU"/>
              </w:rPr>
            </w:pPr>
          </w:p>
        </w:tc>
        <w:tc>
          <w:tcPr>
            <w:tcW w:w="2583" w:type="dxa"/>
            <w:vMerge/>
            <w:vAlign w:val="center"/>
          </w:tcPr>
          <w:p w:rsidR="00A5280A" w:rsidRPr="00242020" w:rsidRDefault="00A5280A" w:rsidP="00A5280A">
            <w:pPr>
              <w:ind w:firstLine="0"/>
              <w:jc w:val="both"/>
              <w:rPr>
                <w:rFonts w:eastAsia="Times New Roman" w:cs="Times New Roman"/>
                <w:szCs w:val="20"/>
                <w:lang w:eastAsia="ru-RU"/>
              </w:rPr>
            </w:pPr>
          </w:p>
        </w:tc>
        <w:tc>
          <w:tcPr>
            <w:tcW w:w="1586" w:type="dxa"/>
            <w:vAlign w:val="center"/>
          </w:tcPr>
          <w:p w:rsidR="00A5280A" w:rsidRPr="00242020" w:rsidRDefault="00A5280A" w:rsidP="00660C74">
            <w:pPr>
              <w:ind w:firstLine="0"/>
              <w:jc w:val="center"/>
              <w:rPr>
                <w:rFonts w:eastAsia="Times New Roman" w:cs="Times New Roman"/>
                <w:sz w:val="22"/>
                <w:lang w:eastAsia="ru-RU"/>
              </w:rPr>
            </w:pPr>
            <w:r w:rsidRPr="00242020">
              <w:rPr>
                <w:rFonts w:eastAsia="Times New Roman" w:cs="Times New Roman"/>
                <w:color w:val="000000"/>
                <w:sz w:val="22"/>
                <w:lang w:eastAsia="ru-RU"/>
              </w:rPr>
              <w:t xml:space="preserve">усього, </w:t>
            </w:r>
            <w:r w:rsidR="00660C74">
              <w:rPr>
                <w:rFonts w:eastAsia="Times New Roman" w:cs="Times New Roman"/>
                <w:color w:val="000000"/>
                <w:sz w:val="22"/>
                <w:lang w:eastAsia="ru-RU"/>
              </w:rPr>
              <w:t>у</w:t>
            </w:r>
            <w:r w:rsidRPr="00242020">
              <w:rPr>
                <w:rFonts w:eastAsia="Times New Roman" w:cs="Times New Roman"/>
                <w:color w:val="000000"/>
                <w:sz w:val="22"/>
                <w:lang w:eastAsia="ru-RU"/>
              </w:rPr>
              <w:t xml:space="preserve"> тому числі:</w:t>
            </w:r>
          </w:p>
        </w:tc>
        <w:tc>
          <w:tcPr>
            <w:tcW w:w="1648" w:type="dxa"/>
          </w:tcPr>
          <w:p w:rsidR="00A5280A" w:rsidRPr="00242020" w:rsidRDefault="00A5280A" w:rsidP="00A5280A">
            <w:pPr>
              <w:ind w:firstLine="0"/>
              <w:jc w:val="center"/>
              <w:rPr>
                <w:rFonts w:eastAsia="Times New Roman" w:cs="Times New Roman"/>
                <w:sz w:val="22"/>
                <w:lang w:eastAsia="ru-RU"/>
              </w:rPr>
            </w:pPr>
            <w:r w:rsidRPr="00242020">
              <w:rPr>
                <w:rFonts w:eastAsia="Times New Roman" w:cs="Times New Roman"/>
                <w:color w:val="000000"/>
                <w:sz w:val="22"/>
                <w:lang w:eastAsia="ru-RU"/>
              </w:rPr>
              <w:t>у процедурі розпорядження майном</w:t>
            </w:r>
          </w:p>
        </w:tc>
        <w:tc>
          <w:tcPr>
            <w:tcW w:w="1373" w:type="dxa"/>
            <w:vAlign w:val="center"/>
          </w:tcPr>
          <w:p w:rsidR="00A5280A" w:rsidRPr="00242020" w:rsidRDefault="00A5280A" w:rsidP="00A5280A">
            <w:pPr>
              <w:ind w:firstLine="0"/>
              <w:jc w:val="center"/>
              <w:rPr>
                <w:rFonts w:eastAsia="Times New Roman" w:cs="Times New Roman"/>
                <w:sz w:val="22"/>
                <w:lang w:eastAsia="ru-RU"/>
              </w:rPr>
            </w:pPr>
            <w:r w:rsidRPr="00242020">
              <w:rPr>
                <w:rFonts w:eastAsia="Times New Roman" w:cs="Times New Roman"/>
                <w:color w:val="000000"/>
                <w:sz w:val="22"/>
                <w:lang w:eastAsia="ru-RU"/>
              </w:rPr>
              <w:t>у процедурі санації</w:t>
            </w:r>
          </w:p>
        </w:tc>
        <w:tc>
          <w:tcPr>
            <w:tcW w:w="1552" w:type="dxa"/>
          </w:tcPr>
          <w:p w:rsidR="00A5280A" w:rsidRPr="00242020" w:rsidRDefault="00A5280A" w:rsidP="00A5280A">
            <w:pPr>
              <w:ind w:firstLine="0"/>
              <w:jc w:val="center"/>
              <w:rPr>
                <w:rFonts w:eastAsia="Times New Roman" w:cs="Times New Roman"/>
                <w:sz w:val="22"/>
                <w:lang w:eastAsia="ru-RU"/>
              </w:rPr>
            </w:pPr>
            <w:r w:rsidRPr="00242020">
              <w:rPr>
                <w:rFonts w:eastAsia="Times New Roman" w:cs="Times New Roman"/>
                <w:color w:val="000000"/>
                <w:sz w:val="22"/>
                <w:lang w:eastAsia="ru-RU"/>
              </w:rPr>
              <w:t>у</w:t>
            </w:r>
            <w:r w:rsidRPr="00242020">
              <w:rPr>
                <w:rFonts w:eastAsia="Times New Roman" w:cs="Times New Roman"/>
                <w:sz w:val="22"/>
                <w:lang w:eastAsia="ru-RU"/>
              </w:rPr>
              <w:br/>
            </w:r>
            <w:r w:rsidRPr="00242020">
              <w:rPr>
                <w:rFonts w:eastAsia="Times New Roman" w:cs="Times New Roman"/>
                <w:color w:val="000000"/>
                <w:sz w:val="22"/>
                <w:lang w:eastAsia="ru-RU"/>
              </w:rPr>
              <w:t>ліквідаційній процедурі</w:t>
            </w:r>
          </w:p>
        </w:tc>
      </w:tr>
      <w:tr w:rsidR="00A5280A" w:rsidRPr="00242020" w:rsidTr="00556993">
        <w:trPr>
          <w:cantSplit/>
          <w:trHeight w:val="197"/>
          <w:jc w:val="center"/>
        </w:trPr>
        <w:tc>
          <w:tcPr>
            <w:tcW w:w="484" w:type="dxa"/>
          </w:tcPr>
          <w:p w:rsidR="00A5280A" w:rsidRPr="00242020" w:rsidRDefault="00A5280A" w:rsidP="00A5280A">
            <w:pPr>
              <w:ind w:firstLine="0"/>
              <w:jc w:val="center"/>
              <w:rPr>
                <w:rFonts w:eastAsia="Times New Roman" w:cs="Times New Roman"/>
                <w:szCs w:val="20"/>
                <w:lang w:eastAsia="ru-RU"/>
              </w:rPr>
            </w:pPr>
            <w:r w:rsidRPr="00242020">
              <w:rPr>
                <w:rFonts w:eastAsia="Times New Roman" w:cs="Times New Roman"/>
                <w:color w:val="000000"/>
                <w:szCs w:val="20"/>
                <w:lang w:eastAsia="ru-RU"/>
              </w:rPr>
              <w:t>1</w:t>
            </w:r>
          </w:p>
        </w:tc>
        <w:tc>
          <w:tcPr>
            <w:tcW w:w="2583" w:type="dxa"/>
          </w:tcPr>
          <w:p w:rsidR="00A5280A" w:rsidRPr="00242020" w:rsidRDefault="00A5280A" w:rsidP="00A5280A">
            <w:pPr>
              <w:ind w:firstLine="0"/>
              <w:jc w:val="center"/>
              <w:rPr>
                <w:rFonts w:eastAsia="Times New Roman" w:cs="Times New Roman"/>
                <w:sz w:val="22"/>
                <w:lang w:eastAsia="ru-RU"/>
              </w:rPr>
            </w:pPr>
            <w:r w:rsidRPr="00242020">
              <w:rPr>
                <w:rFonts w:eastAsia="Times New Roman" w:cs="Times New Roman"/>
                <w:color w:val="000000"/>
                <w:sz w:val="22"/>
                <w:lang w:eastAsia="ru-RU"/>
              </w:rPr>
              <w:t>Регіональні відділення Фонду</w:t>
            </w:r>
          </w:p>
        </w:tc>
        <w:tc>
          <w:tcPr>
            <w:tcW w:w="1586" w:type="dxa"/>
            <w:vAlign w:val="center"/>
          </w:tcPr>
          <w:p w:rsidR="00A5280A" w:rsidRPr="00242020" w:rsidRDefault="00A5280A" w:rsidP="00A5280A">
            <w:pPr>
              <w:ind w:firstLine="0"/>
              <w:jc w:val="center"/>
              <w:rPr>
                <w:rFonts w:eastAsia="Times New Roman" w:cs="Times New Roman"/>
                <w:sz w:val="27"/>
                <w:szCs w:val="27"/>
                <w:lang w:eastAsia="ru-RU"/>
              </w:rPr>
            </w:pPr>
            <w:r w:rsidRPr="00242020">
              <w:rPr>
                <w:rFonts w:eastAsia="Times New Roman" w:cs="Times New Roman"/>
                <w:sz w:val="27"/>
                <w:szCs w:val="27"/>
                <w:lang w:eastAsia="ru-RU"/>
              </w:rPr>
              <w:t>35</w:t>
            </w:r>
          </w:p>
        </w:tc>
        <w:tc>
          <w:tcPr>
            <w:tcW w:w="1648" w:type="dxa"/>
            <w:vAlign w:val="center"/>
          </w:tcPr>
          <w:p w:rsidR="00A5280A" w:rsidRPr="00242020" w:rsidRDefault="00A5280A" w:rsidP="00A5280A">
            <w:pPr>
              <w:ind w:firstLine="0"/>
              <w:jc w:val="center"/>
              <w:rPr>
                <w:rFonts w:eastAsia="Times New Roman" w:cs="Times New Roman"/>
                <w:sz w:val="27"/>
                <w:szCs w:val="27"/>
                <w:lang w:eastAsia="ru-RU"/>
              </w:rPr>
            </w:pPr>
            <w:r w:rsidRPr="00242020">
              <w:rPr>
                <w:rFonts w:eastAsia="Times New Roman" w:cs="Times New Roman"/>
                <w:sz w:val="27"/>
                <w:szCs w:val="27"/>
                <w:lang w:eastAsia="ru-RU"/>
              </w:rPr>
              <w:t>-</w:t>
            </w:r>
          </w:p>
        </w:tc>
        <w:tc>
          <w:tcPr>
            <w:tcW w:w="1373" w:type="dxa"/>
            <w:vAlign w:val="center"/>
          </w:tcPr>
          <w:p w:rsidR="00A5280A" w:rsidRPr="00242020" w:rsidRDefault="00A5280A" w:rsidP="00A5280A">
            <w:pPr>
              <w:ind w:firstLine="0"/>
              <w:jc w:val="center"/>
              <w:rPr>
                <w:rFonts w:eastAsia="Times New Roman" w:cs="Times New Roman"/>
                <w:sz w:val="27"/>
                <w:szCs w:val="27"/>
                <w:lang w:eastAsia="ru-RU"/>
              </w:rPr>
            </w:pPr>
            <w:r w:rsidRPr="00242020">
              <w:rPr>
                <w:rFonts w:eastAsia="Times New Roman" w:cs="Times New Roman"/>
                <w:sz w:val="27"/>
                <w:szCs w:val="27"/>
                <w:lang w:eastAsia="ru-RU"/>
              </w:rPr>
              <w:t>7</w:t>
            </w:r>
          </w:p>
        </w:tc>
        <w:tc>
          <w:tcPr>
            <w:tcW w:w="1552" w:type="dxa"/>
            <w:vAlign w:val="center"/>
          </w:tcPr>
          <w:p w:rsidR="00A5280A" w:rsidRPr="00242020" w:rsidRDefault="00A5280A" w:rsidP="00A5280A">
            <w:pPr>
              <w:ind w:firstLine="0"/>
              <w:jc w:val="center"/>
              <w:rPr>
                <w:rFonts w:eastAsia="Times New Roman" w:cs="Times New Roman"/>
                <w:sz w:val="27"/>
                <w:szCs w:val="27"/>
                <w:lang w:eastAsia="ru-RU"/>
              </w:rPr>
            </w:pPr>
            <w:r w:rsidRPr="00242020">
              <w:rPr>
                <w:rFonts w:eastAsia="Times New Roman" w:cs="Times New Roman"/>
                <w:sz w:val="27"/>
                <w:szCs w:val="27"/>
                <w:lang w:eastAsia="ru-RU"/>
              </w:rPr>
              <w:t>28</w:t>
            </w:r>
          </w:p>
        </w:tc>
      </w:tr>
      <w:tr w:rsidR="00A5280A" w:rsidRPr="00242020" w:rsidTr="00556993">
        <w:trPr>
          <w:cantSplit/>
          <w:trHeight w:val="271"/>
          <w:jc w:val="center"/>
        </w:trPr>
        <w:tc>
          <w:tcPr>
            <w:tcW w:w="484" w:type="dxa"/>
          </w:tcPr>
          <w:p w:rsidR="00A5280A" w:rsidRPr="00242020" w:rsidRDefault="00A5280A" w:rsidP="00A5280A">
            <w:pPr>
              <w:ind w:firstLine="0"/>
              <w:jc w:val="center"/>
              <w:rPr>
                <w:rFonts w:eastAsia="Times New Roman" w:cs="Times New Roman"/>
                <w:szCs w:val="20"/>
                <w:lang w:eastAsia="ru-RU"/>
              </w:rPr>
            </w:pPr>
            <w:r w:rsidRPr="00242020">
              <w:rPr>
                <w:rFonts w:eastAsia="Times New Roman" w:cs="Times New Roman"/>
                <w:color w:val="000000"/>
                <w:szCs w:val="20"/>
                <w:lang w:eastAsia="ru-RU"/>
              </w:rPr>
              <w:t>2</w:t>
            </w:r>
          </w:p>
        </w:tc>
        <w:tc>
          <w:tcPr>
            <w:tcW w:w="2583" w:type="dxa"/>
            <w:vAlign w:val="center"/>
          </w:tcPr>
          <w:p w:rsidR="00A5280A" w:rsidRPr="00242020" w:rsidRDefault="00A5280A" w:rsidP="00A5280A">
            <w:pPr>
              <w:ind w:firstLine="0"/>
              <w:jc w:val="center"/>
              <w:rPr>
                <w:rFonts w:eastAsia="Times New Roman" w:cs="Times New Roman"/>
                <w:sz w:val="22"/>
                <w:lang w:eastAsia="ru-RU"/>
              </w:rPr>
            </w:pPr>
            <w:r w:rsidRPr="00242020">
              <w:rPr>
                <w:rFonts w:eastAsia="Times New Roman" w:cs="Times New Roman"/>
                <w:color w:val="000000"/>
                <w:sz w:val="22"/>
                <w:lang w:eastAsia="ru-RU"/>
              </w:rPr>
              <w:t>Апарат Фонду</w:t>
            </w:r>
          </w:p>
        </w:tc>
        <w:tc>
          <w:tcPr>
            <w:tcW w:w="1586" w:type="dxa"/>
            <w:vAlign w:val="center"/>
          </w:tcPr>
          <w:p w:rsidR="00A5280A" w:rsidRPr="00242020" w:rsidRDefault="00A5280A" w:rsidP="00A5280A">
            <w:pPr>
              <w:ind w:firstLine="0"/>
              <w:jc w:val="center"/>
              <w:rPr>
                <w:rFonts w:eastAsia="Times New Roman" w:cs="Times New Roman"/>
                <w:sz w:val="27"/>
                <w:szCs w:val="27"/>
                <w:lang w:eastAsia="ru-RU"/>
              </w:rPr>
            </w:pPr>
            <w:r w:rsidRPr="00242020">
              <w:rPr>
                <w:rFonts w:eastAsia="Times New Roman" w:cs="Times New Roman"/>
                <w:sz w:val="27"/>
                <w:szCs w:val="27"/>
                <w:lang w:eastAsia="ru-RU"/>
              </w:rPr>
              <w:t>20</w:t>
            </w:r>
          </w:p>
        </w:tc>
        <w:tc>
          <w:tcPr>
            <w:tcW w:w="1648" w:type="dxa"/>
            <w:vAlign w:val="center"/>
          </w:tcPr>
          <w:p w:rsidR="00A5280A" w:rsidRPr="00242020" w:rsidRDefault="00A5280A" w:rsidP="00A5280A">
            <w:pPr>
              <w:ind w:firstLine="0"/>
              <w:jc w:val="center"/>
              <w:rPr>
                <w:rFonts w:eastAsia="Times New Roman" w:cs="Times New Roman"/>
                <w:sz w:val="27"/>
                <w:szCs w:val="27"/>
                <w:lang w:eastAsia="ru-RU"/>
              </w:rPr>
            </w:pPr>
            <w:r w:rsidRPr="00242020">
              <w:rPr>
                <w:rFonts w:eastAsia="Times New Roman" w:cs="Times New Roman"/>
                <w:sz w:val="27"/>
                <w:szCs w:val="27"/>
                <w:lang w:eastAsia="ru-RU"/>
              </w:rPr>
              <w:t>5</w:t>
            </w:r>
          </w:p>
        </w:tc>
        <w:tc>
          <w:tcPr>
            <w:tcW w:w="1373" w:type="dxa"/>
            <w:vAlign w:val="center"/>
          </w:tcPr>
          <w:p w:rsidR="00A5280A" w:rsidRPr="00242020" w:rsidRDefault="00A5280A" w:rsidP="00A5280A">
            <w:pPr>
              <w:ind w:firstLine="0"/>
              <w:jc w:val="center"/>
              <w:rPr>
                <w:rFonts w:eastAsia="Times New Roman" w:cs="Times New Roman"/>
                <w:sz w:val="27"/>
                <w:szCs w:val="27"/>
                <w:lang w:eastAsia="ru-RU"/>
              </w:rPr>
            </w:pPr>
            <w:r w:rsidRPr="00242020">
              <w:rPr>
                <w:rFonts w:eastAsia="Times New Roman" w:cs="Times New Roman"/>
                <w:sz w:val="27"/>
                <w:szCs w:val="27"/>
                <w:lang w:eastAsia="ru-RU"/>
              </w:rPr>
              <w:t>6</w:t>
            </w:r>
          </w:p>
        </w:tc>
        <w:tc>
          <w:tcPr>
            <w:tcW w:w="1552" w:type="dxa"/>
            <w:vAlign w:val="center"/>
          </w:tcPr>
          <w:p w:rsidR="00A5280A" w:rsidRPr="00242020" w:rsidRDefault="00A5280A" w:rsidP="00A5280A">
            <w:pPr>
              <w:ind w:firstLine="0"/>
              <w:jc w:val="center"/>
              <w:rPr>
                <w:rFonts w:eastAsia="Times New Roman" w:cs="Times New Roman"/>
                <w:sz w:val="27"/>
                <w:szCs w:val="27"/>
                <w:lang w:eastAsia="ru-RU"/>
              </w:rPr>
            </w:pPr>
            <w:r w:rsidRPr="00242020">
              <w:rPr>
                <w:rFonts w:eastAsia="Times New Roman" w:cs="Times New Roman"/>
                <w:sz w:val="27"/>
                <w:szCs w:val="27"/>
                <w:lang w:eastAsia="ru-RU"/>
              </w:rPr>
              <w:t>9</w:t>
            </w:r>
          </w:p>
        </w:tc>
      </w:tr>
      <w:tr w:rsidR="00A5280A" w:rsidRPr="00242020" w:rsidTr="00556993">
        <w:trPr>
          <w:trHeight w:val="579"/>
          <w:jc w:val="center"/>
        </w:trPr>
        <w:tc>
          <w:tcPr>
            <w:tcW w:w="484" w:type="dxa"/>
          </w:tcPr>
          <w:p w:rsidR="00A5280A" w:rsidRPr="00242020" w:rsidRDefault="00A5280A" w:rsidP="00A5280A">
            <w:pPr>
              <w:ind w:firstLine="0"/>
              <w:jc w:val="center"/>
              <w:rPr>
                <w:rFonts w:eastAsia="Times New Roman" w:cs="Times New Roman"/>
                <w:szCs w:val="20"/>
                <w:lang w:eastAsia="ru-RU"/>
              </w:rPr>
            </w:pPr>
            <w:r w:rsidRPr="00242020">
              <w:rPr>
                <w:rFonts w:eastAsia="Times New Roman" w:cs="Times New Roman"/>
                <w:color w:val="000000"/>
                <w:szCs w:val="20"/>
                <w:lang w:eastAsia="ru-RU"/>
              </w:rPr>
              <w:t>3</w:t>
            </w:r>
          </w:p>
        </w:tc>
        <w:tc>
          <w:tcPr>
            <w:tcW w:w="2583" w:type="dxa"/>
          </w:tcPr>
          <w:p w:rsidR="00A5280A" w:rsidRPr="00242020" w:rsidRDefault="00A5280A" w:rsidP="00A5280A">
            <w:pPr>
              <w:ind w:firstLine="0"/>
              <w:jc w:val="center"/>
              <w:rPr>
                <w:rFonts w:eastAsia="Times New Roman" w:cs="Times New Roman"/>
                <w:color w:val="000000"/>
                <w:sz w:val="22"/>
                <w:lang w:eastAsia="ru-RU"/>
              </w:rPr>
            </w:pPr>
            <w:r w:rsidRPr="00242020">
              <w:rPr>
                <w:rFonts w:eastAsia="Times New Roman" w:cs="Times New Roman"/>
                <w:color w:val="000000"/>
                <w:sz w:val="22"/>
                <w:lang w:eastAsia="ru-RU"/>
              </w:rPr>
              <w:t xml:space="preserve">У тому числі державні підприємства </w:t>
            </w:r>
          </w:p>
          <w:p w:rsidR="00A5280A" w:rsidRPr="00242020" w:rsidRDefault="00A5280A" w:rsidP="00A5280A">
            <w:pPr>
              <w:ind w:firstLine="0"/>
              <w:jc w:val="center"/>
              <w:rPr>
                <w:rFonts w:eastAsia="Times New Roman" w:cs="Times New Roman"/>
                <w:sz w:val="22"/>
                <w:lang w:eastAsia="ru-RU"/>
              </w:rPr>
            </w:pPr>
            <w:r w:rsidRPr="00242020">
              <w:rPr>
                <w:rFonts w:eastAsia="Times New Roman" w:cs="Times New Roman"/>
                <w:color w:val="000000"/>
                <w:sz w:val="22"/>
                <w:lang w:eastAsia="ru-RU"/>
              </w:rPr>
              <w:t>(регіональні відділення та апарат Фонду)</w:t>
            </w:r>
          </w:p>
        </w:tc>
        <w:tc>
          <w:tcPr>
            <w:tcW w:w="1586" w:type="dxa"/>
            <w:vAlign w:val="center"/>
          </w:tcPr>
          <w:p w:rsidR="00A5280A" w:rsidRPr="00242020" w:rsidRDefault="00A5280A" w:rsidP="00A5280A">
            <w:pPr>
              <w:ind w:firstLine="0"/>
              <w:jc w:val="center"/>
              <w:rPr>
                <w:rFonts w:eastAsia="Times New Roman" w:cs="Times New Roman"/>
                <w:sz w:val="27"/>
                <w:szCs w:val="27"/>
                <w:lang w:eastAsia="ru-RU"/>
              </w:rPr>
            </w:pPr>
            <w:r w:rsidRPr="00242020">
              <w:rPr>
                <w:rFonts w:eastAsia="Times New Roman" w:cs="Times New Roman"/>
                <w:sz w:val="27"/>
                <w:szCs w:val="27"/>
                <w:lang w:eastAsia="ru-RU"/>
              </w:rPr>
              <w:t>7</w:t>
            </w:r>
          </w:p>
        </w:tc>
        <w:tc>
          <w:tcPr>
            <w:tcW w:w="1648" w:type="dxa"/>
            <w:vAlign w:val="center"/>
          </w:tcPr>
          <w:p w:rsidR="00A5280A" w:rsidRPr="00242020" w:rsidRDefault="00A5280A" w:rsidP="00A5280A">
            <w:pPr>
              <w:ind w:firstLine="0"/>
              <w:jc w:val="center"/>
              <w:rPr>
                <w:rFonts w:eastAsia="Times New Roman" w:cs="Times New Roman"/>
                <w:sz w:val="27"/>
                <w:szCs w:val="27"/>
                <w:lang w:eastAsia="ru-RU"/>
              </w:rPr>
            </w:pPr>
            <w:r w:rsidRPr="00242020">
              <w:rPr>
                <w:rFonts w:eastAsia="Times New Roman" w:cs="Times New Roman"/>
                <w:szCs w:val="20"/>
                <w:lang w:eastAsia="ru-RU"/>
              </w:rPr>
              <w:t>2</w:t>
            </w:r>
            <w:r w:rsidRPr="00242020">
              <w:rPr>
                <w:rFonts w:eastAsia="Times New Roman" w:cs="Times New Roman"/>
                <w:sz w:val="27"/>
                <w:vertAlign w:val="superscript"/>
                <w:lang w:eastAsia="ru-RU"/>
              </w:rPr>
              <w:footnoteReference w:customMarkFollows="1" w:id="8"/>
              <w:sym w:font="Symbol" w:char="F02A"/>
            </w:r>
          </w:p>
        </w:tc>
        <w:tc>
          <w:tcPr>
            <w:tcW w:w="1373" w:type="dxa"/>
            <w:vAlign w:val="center"/>
          </w:tcPr>
          <w:p w:rsidR="00A5280A" w:rsidRPr="00242020" w:rsidRDefault="00A5280A" w:rsidP="00A5280A">
            <w:pPr>
              <w:ind w:firstLine="0"/>
              <w:jc w:val="center"/>
              <w:rPr>
                <w:rFonts w:eastAsia="Times New Roman" w:cs="Times New Roman"/>
                <w:sz w:val="27"/>
                <w:szCs w:val="27"/>
                <w:lang w:eastAsia="ru-RU"/>
              </w:rPr>
            </w:pPr>
            <w:r w:rsidRPr="00242020">
              <w:rPr>
                <w:rFonts w:eastAsia="Times New Roman" w:cs="Times New Roman"/>
                <w:szCs w:val="20"/>
                <w:lang w:eastAsia="ru-RU"/>
              </w:rPr>
              <w:t>1</w:t>
            </w:r>
            <w:r w:rsidRPr="00242020">
              <w:rPr>
                <w:rFonts w:eastAsia="Times New Roman" w:cs="Times New Roman"/>
                <w:sz w:val="27"/>
                <w:vertAlign w:val="superscript"/>
                <w:lang w:eastAsia="ru-RU"/>
              </w:rPr>
              <w:footnoteReference w:customMarkFollows="1" w:id="9"/>
              <w:sym w:font="Symbol" w:char="F02A"/>
            </w:r>
            <w:r w:rsidRPr="00242020">
              <w:rPr>
                <w:rFonts w:eastAsia="Times New Roman" w:cs="Times New Roman"/>
                <w:sz w:val="27"/>
                <w:vertAlign w:val="superscript"/>
                <w:lang w:eastAsia="ru-RU"/>
              </w:rPr>
              <w:sym w:font="Symbol" w:char="F02A"/>
            </w:r>
          </w:p>
        </w:tc>
        <w:tc>
          <w:tcPr>
            <w:tcW w:w="1552" w:type="dxa"/>
            <w:vAlign w:val="center"/>
          </w:tcPr>
          <w:p w:rsidR="00A5280A" w:rsidRPr="00242020" w:rsidRDefault="00A5280A" w:rsidP="00A5280A">
            <w:pPr>
              <w:ind w:firstLine="0"/>
              <w:jc w:val="center"/>
              <w:rPr>
                <w:rFonts w:eastAsia="Times New Roman" w:cs="Times New Roman"/>
                <w:sz w:val="27"/>
                <w:szCs w:val="27"/>
                <w:lang w:eastAsia="ru-RU"/>
              </w:rPr>
            </w:pPr>
            <w:r w:rsidRPr="00242020">
              <w:rPr>
                <w:rFonts w:eastAsia="Times New Roman" w:cs="Times New Roman"/>
                <w:szCs w:val="20"/>
                <w:lang w:eastAsia="ru-RU"/>
              </w:rPr>
              <w:t>4</w:t>
            </w:r>
            <w:r w:rsidRPr="00242020">
              <w:rPr>
                <w:rFonts w:eastAsia="Times New Roman" w:cs="Times New Roman"/>
                <w:sz w:val="27"/>
                <w:vertAlign w:val="superscript"/>
                <w:lang w:eastAsia="ru-RU"/>
              </w:rPr>
              <w:footnoteReference w:customMarkFollows="1" w:id="10"/>
              <w:t>***</w:t>
            </w:r>
          </w:p>
        </w:tc>
      </w:tr>
    </w:tbl>
    <w:p w:rsidR="00A5280A" w:rsidRPr="00242020" w:rsidRDefault="00A5280A" w:rsidP="000F10AE">
      <w:pPr>
        <w:jc w:val="both"/>
        <w:rPr>
          <w:rFonts w:eastAsia="Times New Roman" w:cs="Times New Roman"/>
          <w:szCs w:val="20"/>
          <w:lang w:eastAsia="ru-RU"/>
        </w:rPr>
      </w:pPr>
      <w:r w:rsidRPr="00242020">
        <w:rPr>
          <w:rFonts w:eastAsia="Times New Roman" w:cs="Times New Roman"/>
          <w:szCs w:val="20"/>
          <w:lang w:eastAsia="ru-RU"/>
        </w:rPr>
        <w:t xml:space="preserve">Фондом відповідно до законів України «Про управління об’єктами державної власності», «Про відновлення платоспроможності боржника або визнання його банкрутом», «Про Фонд державного майна України» </w:t>
      </w:r>
      <w:r w:rsidRPr="00242020">
        <w:rPr>
          <w:rFonts w:eastAsia="Times New Roman" w:cs="Times New Roman"/>
          <w:szCs w:val="28"/>
          <w:lang w:eastAsia="ru-RU"/>
        </w:rPr>
        <w:t xml:space="preserve">розглядалися надані на погодження арбітражними керуючими плани санації та переліки ліквідаційних мас </w:t>
      </w:r>
      <w:r w:rsidRPr="00242020">
        <w:rPr>
          <w:rFonts w:eastAsia="Times New Roman" w:cs="Times New Roman"/>
          <w:color w:val="000000"/>
          <w:szCs w:val="28"/>
          <w:lang w:eastAsia="ru-RU"/>
        </w:rPr>
        <w:t>господарських організацій з корпоративними правами держави понад 50 % їх статутного капіталу, а також документи щодо погодження організаторів аукціонів з продажу майна банкрутів</w:t>
      </w:r>
      <w:r w:rsidRPr="00242020">
        <w:rPr>
          <w:rFonts w:eastAsia="Times New Roman" w:cs="Times New Roman"/>
          <w:szCs w:val="20"/>
          <w:lang w:eastAsia="ru-RU"/>
        </w:rPr>
        <w:t xml:space="preserve"> – всього протягом 2016 року надано 17 погоджень.</w:t>
      </w:r>
    </w:p>
    <w:p w:rsidR="00A5280A" w:rsidRPr="00242020" w:rsidRDefault="00A5280A" w:rsidP="000F10AE">
      <w:pPr>
        <w:jc w:val="both"/>
        <w:rPr>
          <w:rFonts w:eastAsia="Times New Roman" w:cs="Times New Roman"/>
          <w:szCs w:val="28"/>
          <w:lang w:eastAsia="ru-RU"/>
        </w:rPr>
      </w:pPr>
      <w:r w:rsidRPr="00242020">
        <w:rPr>
          <w:rFonts w:eastAsia="Times New Roman" w:cs="Times New Roman"/>
          <w:szCs w:val="28"/>
          <w:lang w:eastAsia="ru-RU"/>
        </w:rPr>
        <w:t>У звітному періоді представники Фонду взяли участь у 221 засіданні господарських судів у справах про банкрутство підприємств-боржників та у 44 засіданнях комітетів кредиторів підприємств-боржників.</w:t>
      </w:r>
    </w:p>
    <w:p w:rsidR="00A5280A" w:rsidRPr="00242020" w:rsidRDefault="00A5280A" w:rsidP="000F10AE">
      <w:pPr>
        <w:tabs>
          <w:tab w:val="left" w:pos="180"/>
          <w:tab w:val="left" w:pos="360"/>
        </w:tabs>
        <w:jc w:val="both"/>
        <w:rPr>
          <w:rFonts w:eastAsia="Times New Roman" w:cs="Times New Roman"/>
          <w:szCs w:val="28"/>
          <w:lang w:eastAsia="ru-RU"/>
        </w:rPr>
      </w:pPr>
      <w:r w:rsidRPr="00242020">
        <w:rPr>
          <w:rFonts w:eastAsia="Times New Roman" w:cs="Times New Roman"/>
          <w:szCs w:val="28"/>
          <w:lang w:eastAsia="ru-RU"/>
        </w:rPr>
        <w:t>Крім того, протягом 2016 року представники Фонду та його регіональних відділень взяли участь у 94 засіданнях господарських судів у справах про банкрутство державних підприємств, органом управління яких є інші органи влади.</w:t>
      </w:r>
    </w:p>
    <w:p w:rsidR="00A5280A" w:rsidRPr="00242020" w:rsidRDefault="00A5280A" w:rsidP="000F10AE">
      <w:pPr>
        <w:jc w:val="both"/>
        <w:rPr>
          <w:rFonts w:eastAsia="Times-Italic" w:cs="Times New Roman"/>
          <w:iCs/>
          <w:sz w:val="12"/>
          <w:szCs w:val="12"/>
          <w:highlight w:val="yellow"/>
          <w:lang w:eastAsia="ru-RU"/>
        </w:rPr>
      </w:pPr>
    </w:p>
    <w:p w:rsidR="00A5280A" w:rsidRPr="00242020" w:rsidRDefault="00A5280A" w:rsidP="000F10AE">
      <w:pPr>
        <w:jc w:val="both"/>
        <w:rPr>
          <w:rFonts w:eastAsia="Times New Roman" w:cs="Times New Roman"/>
          <w:bCs/>
          <w:szCs w:val="28"/>
          <w:lang w:eastAsia="ru-RU"/>
        </w:rPr>
      </w:pPr>
      <w:r w:rsidRPr="00242020">
        <w:rPr>
          <w:rFonts w:eastAsia="Times New Roman" w:cs="Times New Roman"/>
          <w:bCs/>
          <w:szCs w:val="28"/>
          <w:lang w:eastAsia="ru-RU"/>
        </w:rPr>
        <w:t xml:space="preserve">Для вжиття заходів з відновлення платоспроможності підприємств-боржників у позасудових процедурах розроблено та зареєстровано у Міністерстві юстиції України </w:t>
      </w:r>
      <w:r w:rsidRPr="00242020">
        <w:rPr>
          <w:rFonts w:eastAsia="Times New Roman" w:cs="Times New Roman"/>
          <w:szCs w:val="28"/>
          <w:lang w:eastAsia="ru-RU"/>
        </w:rPr>
        <w:t>25 березня 2016 року за № 454/28584 новий нормативний документ – наказ Фонду від</w:t>
      </w:r>
      <w:r w:rsidRPr="00242020">
        <w:rPr>
          <w:rFonts w:eastAsia="Times-Italic" w:cs="Times New Roman"/>
          <w:iCs/>
          <w:szCs w:val="28"/>
          <w:lang w:eastAsia="ru-RU"/>
        </w:rPr>
        <w:t xml:space="preserve"> </w:t>
      </w:r>
      <w:r w:rsidRPr="00242020">
        <w:rPr>
          <w:rFonts w:eastAsia="Times New Roman" w:cs="Times New Roman"/>
          <w:szCs w:val="28"/>
          <w:lang w:eastAsia="ru-RU"/>
        </w:rPr>
        <w:t xml:space="preserve">03 березня 2016 року № 449 «Про затвердження Порядку надання згоди державними органами приватизації на </w:t>
      </w:r>
      <w:r w:rsidRPr="00242020">
        <w:rPr>
          <w:rFonts w:eastAsia="Times New Roman" w:cs="Times New Roman"/>
          <w:szCs w:val="28"/>
          <w:lang w:eastAsia="ru-RU"/>
        </w:rPr>
        <w:lastRenderedPageBreak/>
        <w:t xml:space="preserve">введення процедури санації боржника до порушення провадження у справі про банкрутство за рахунок </w:t>
      </w:r>
      <w:proofErr w:type="spellStart"/>
      <w:r w:rsidRPr="00242020">
        <w:rPr>
          <w:rFonts w:eastAsia="Times New Roman" w:cs="Times New Roman"/>
          <w:szCs w:val="28"/>
          <w:lang w:eastAsia="ru-RU"/>
        </w:rPr>
        <w:t>небюджетних</w:t>
      </w:r>
      <w:proofErr w:type="spellEnd"/>
      <w:r w:rsidRPr="00242020">
        <w:rPr>
          <w:rFonts w:eastAsia="Times New Roman" w:cs="Times New Roman"/>
          <w:szCs w:val="28"/>
          <w:lang w:eastAsia="ru-RU"/>
        </w:rPr>
        <w:t xml:space="preserve"> джерел фінансування</w:t>
      </w:r>
      <w:r w:rsidRPr="00242020">
        <w:rPr>
          <w:rFonts w:eastAsia="Times New Roman" w:cs="Times New Roman"/>
          <w:bCs/>
          <w:szCs w:val="28"/>
          <w:lang w:eastAsia="ru-RU"/>
        </w:rPr>
        <w:t>»</w:t>
      </w:r>
      <w:r w:rsidRPr="00242020">
        <w:rPr>
          <w:rFonts w:eastAsia="Times New Roman" w:cs="Times New Roman"/>
          <w:szCs w:val="28"/>
          <w:lang w:eastAsia="ru-RU"/>
        </w:rPr>
        <w:t xml:space="preserve">. Порядок розроблено відповідно до статей 5, 6 Закону України «Про відновлення платоспроможності боржника або визнання його банкрутом» з метою забезпечення вжиття своєчасних заходів для запобігання банкрутству підприємств-боржників, які перебувають в управлінні Фонду та його регіональних відділень. Керуючись Порядком, Фонд звернувся до регіональних відділень стосовно вжиття вичерпних заходів із запобігання банкрутству підприємств, які перебувають у них в управлінні. </w:t>
      </w:r>
    </w:p>
    <w:p w:rsidR="00D226C3" w:rsidRPr="00242020" w:rsidRDefault="00D226C3"/>
    <w:p w:rsidR="00D226C3" w:rsidRPr="00242020" w:rsidRDefault="00D226C3"/>
    <w:p w:rsidR="00805AB4" w:rsidRPr="00242020" w:rsidRDefault="00805AB4">
      <w:pPr>
        <w:sectPr w:rsidR="00805AB4" w:rsidRPr="00242020" w:rsidSect="00BE4231">
          <w:pgSz w:w="11906" w:h="16838"/>
          <w:pgMar w:top="1134" w:right="851" w:bottom="1134" w:left="1418" w:header="709" w:footer="709" w:gutter="0"/>
          <w:cols w:space="708"/>
          <w:docGrid w:linePitch="381"/>
        </w:sectPr>
      </w:pPr>
    </w:p>
    <w:p w:rsidR="00805AB4" w:rsidRPr="00242020" w:rsidRDefault="00805AB4" w:rsidP="00805AB4">
      <w:pPr>
        <w:pStyle w:val="1"/>
      </w:pPr>
      <w:r w:rsidRPr="00242020">
        <w:lastRenderedPageBreak/>
        <w:t>4. Оцінка державного майна та нормативно-правове регулювання оціночної діяльності</w:t>
      </w:r>
    </w:p>
    <w:p w:rsidR="006F4201" w:rsidRPr="00242020" w:rsidRDefault="006F4201" w:rsidP="006F4201">
      <w:pPr>
        <w:jc w:val="both"/>
        <w:rPr>
          <w:rFonts w:eastAsia="Times New Roman" w:cs="Times New Roman"/>
          <w:sz w:val="12"/>
          <w:szCs w:val="12"/>
          <w:lang w:eastAsia="ru-RU"/>
        </w:rPr>
      </w:pPr>
    </w:p>
    <w:p w:rsidR="00805AB4" w:rsidRPr="00242020" w:rsidRDefault="00805AB4" w:rsidP="00805AB4">
      <w:pPr>
        <w:pStyle w:val="2"/>
      </w:pPr>
      <w:r w:rsidRPr="00242020">
        <w:t>4.1. Практична діяльність Фонду з оцінки майна та забезпечення рецензування звітів про оцінку майна, актів оцінки майна</w:t>
      </w:r>
    </w:p>
    <w:p w:rsidR="006F4201" w:rsidRPr="00242020" w:rsidRDefault="006F4201" w:rsidP="006F4201">
      <w:pPr>
        <w:jc w:val="both"/>
        <w:rPr>
          <w:rFonts w:eastAsia="Times New Roman" w:cs="Times New Roman"/>
          <w:sz w:val="12"/>
          <w:szCs w:val="12"/>
          <w:lang w:eastAsia="ru-RU"/>
        </w:rPr>
      </w:pPr>
    </w:p>
    <w:p w:rsidR="0010011A" w:rsidRPr="00242020" w:rsidRDefault="0010011A" w:rsidP="0010011A">
      <w:pPr>
        <w:jc w:val="both"/>
        <w:rPr>
          <w:szCs w:val="28"/>
        </w:rPr>
      </w:pPr>
      <w:r w:rsidRPr="00242020">
        <w:rPr>
          <w:szCs w:val="28"/>
        </w:rPr>
        <w:t>Фонд відповідно до повноважень, визначених законами України «Про Фонд державного майна України», «Про оцінку майна, майнових прав та професійну оціночну діяльність в Україні» (далі – Закон про оцінку), здійснює державну політику у сфері оцінки майна та регулювання оціночної діяльності в Україні.</w:t>
      </w:r>
    </w:p>
    <w:p w:rsidR="0010011A" w:rsidRPr="00242020" w:rsidRDefault="0010011A" w:rsidP="0010011A">
      <w:pPr>
        <w:jc w:val="both"/>
        <w:rPr>
          <w:szCs w:val="28"/>
        </w:rPr>
      </w:pPr>
      <w:r w:rsidRPr="00242020">
        <w:rPr>
          <w:szCs w:val="28"/>
        </w:rPr>
        <w:t>Згідно з Методикою оцінки майна, затвердженою постановою Кабінету Міністрів України від 10 грудня 2003 року № 1891 (із змінами), Фондом у</w:t>
      </w:r>
      <w:r w:rsidR="001763DC" w:rsidRPr="00242020">
        <w:rPr>
          <w:szCs w:val="28"/>
        </w:rPr>
        <w:t xml:space="preserve"> </w:t>
      </w:r>
      <w:r w:rsidRPr="00242020">
        <w:rPr>
          <w:szCs w:val="28"/>
        </w:rPr>
        <w:t>2016 році прорецензовано та підготовлено до затвердження 31 акт оцінки майна, 10 з яких – для цілей визначення розміру статутного капіталу товариства. Проведено стандартизовану оцінку 11 пакетів акцій товариств для продажу на аукціоні на фондових біржах та забезпечено рецензування 18 актів оцінки таких пакетів акцій.</w:t>
      </w:r>
    </w:p>
    <w:p w:rsidR="006F4201" w:rsidRPr="00242020" w:rsidRDefault="006F4201" w:rsidP="006F4201">
      <w:pPr>
        <w:jc w:val="both"/>
        <w:rPr>
          <w:rFonts w:eastAsia="Times New Roman" w:cs="Times New Roman"/>
          <w:sz w:val="12"/>
          <w:szCs w:val="12"/>
          <w:lang w:eastAsia="ru-RU"/>
        </w:rPr>
      </w:pPr>
    </w:p>
    <w:p w:rsidR="00805AB4" w:rsidRPr="00242020" w:rsidRDefault="00805AB4" w:rsidP="00805AB4">
      <w:pPr>
        <w:pStyle w:val="2"/>
        <w:rPr>
          <w:szCs w:val="28"/>
        </w:rPr>
      </w:pPr>
      <w:r w:rsidRPr="00242020">
        <w:t>4.2. Державне регулювання оціночної діяльності, у тому числі нормотворча діяльність у сферах оцінки майна та професійної оціночної діяльності</w:t>
      </w:r>
    </w:p>
    <w:p w:rsidR="006F4201" w:rsidRPr="00242020" w:rsidRDefault="006F4201" w:rsidP="006F4201">
      <w:pPr>
        <w:jc w:val="both"/>
        <w:rPr>
          <w:rFonts w:eastAsia="Times New Roman" w:cs="Times New Roman"/>
          <w:sz w:val="12"/>
          <w:szCs w:val="12"/>
          <w:lang w:eastAsia="ru-RU"/>
        </w:rPr>
      </w:pPr>
    </w:p>
    <w:p w:rsidR="0010011A" w:rsidRPr="00242020" w:rsidRDefault="0010011A" w:rsidP="005A5D40">
      <w:pPr>
        <w:jc w:val="both"/>
        <w:rPr>
          <w:szCs w:val="28"/>
        </w:rPr>
      </w:pPr>
      <w:r w:rsidRPr="00242020">
        <w:rPr>
          <w:szCs w:val="28"/>
        </w:rPr>
        <w:t xml:space="preserve">Відповідно до вимог статті 13 Закону про оцінку спеціалістами Фонду у 2016 році прорецензовано 558 звітів про оцінку майна, 79 з яких – для цілей приватизації. </w:t>
      </w:r>
    </w:p>
    <w:p w:rsidR="0010011A" w:rsidRPr="00242020" w:rsidRDefault="0010011A" w:rsidP="005A5D40">
      <w:pPr>
        <w:pStyle w:val="af0"/>
        <w:spacing w:after="0"/>
        <w:ind w:firstLine="709"/>
        <w:jc w:val="both"/>
        <w:rPr>
          <w:szCs w:val="28"/>
          <w:lang w:val="uk-UA"/>
        </w:rPr>
      </w:pPr>
      <w:r w:rsidRPr="00242020">
        <w:rPr>
          <w:szCs w:val="28"/>
          <w:lang w:val="uk-UA"/>
        </w:rPr>
        <w:t>Протягом 2016 року спеціалістами Фонду та його регіональних відділень, за даними автоматизованої підсистеми (</w:t>
      </w:r>
      <w:proofErr w:type="spellStart"/>
      <w:r w:rsidRPr="00242020">
        <w:rPr>
          <w:szCs w:val="28"/>
          <w:lang w:val="uk-UA"/>
        </w:rPr>
        <w:t>АПС</w:t>
      </w:r>
      <w:proofErr w:type="spellEnd"/>
      <w:r w:rsidRPr="00242020">
        <w:rPr>
          <w:szCs w:val="28"/>
          <w:lang w:val="uk-UA"/>
        </w:rPr>
        <w:t xml:space="preserve">) «Рецензент», прорецензовано та надано висновки стосовно 7 595 звітів про оцінку державного майна, складених суб’єктами оціночної діяльності (таблиця 4.1.). </w:t>
      </w:r>
    </w:p>
    <w:p w:rsidR="0010011A" w:rsidRPr="00242020" w:rsidRDefault="0010011A" w:rsidP="0010011A">
      <w:pPr>
        <w:jc w:val="right"/>
        <w:rPr>
          <w:b/>
          <w:bCs/>
          <w:sz w:val="24"/>
          <w:szCs w:val="24"/>
        </w:rPr>
      </w:pPr>
      <w:r w:rsidRPr="00242020">
        <w:rPr>
          <w:b/>
          <w:bCs/>
          <w:sz w:val="24"/>
          <w:szCs w:val="24"/>
        </w:rPr>
        <w:t>Таблиця 4.1.</w:t>
      </w:r>
    </w:p>
    <w:p w:rsidR="0010011A" w:rsidRPr="00242020" w:rsidRDefault="0010011A" w:rsidP="006F4201">
      <w:pPr>
        <w:spacing w:before="120" w:after="120"/>
        <w:ind w:firstLine="0"/>
        <w:jc w:val="center"/>
        <w:rPr>
          <w:rFonts w:eastAsia="Times New Roman" w:cs="Times New Roman"/>
          <w:b/>
          <w:szCs w:val="28"/>
          <w:lang w:eastAsia="ru-RU"/>
        </w:rPr>
      </w:pPr>
      <w:r w:rsidRPr="00242020">
        <w:rPr>
          <w:rFonts w:eastAsia="Times New Roman" w:cs="Times New Roman"/>
          <w:b/>
          <w:szCs w:val="28"/>
          <w:lang w:eastAsia="ru-RU"/>
        </w:rPr>
        <w:t>Кількість рецензій на звіти про оцінку</w:t>
      </w:r>
    </w:p>
    <w:tbl>
      <w:tblPr>
        <w:tblW w:w="9571" w:type="dxa"/>
        <w:jc w:val="center"/>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96"/>
        <w:gridCol w:w="2037"/>
        <w:gridCol w:w="2038"/>
      </w:tblGrid>
      <w:tr w:rsidR="0010011A" w:rsidRPr="00242020" w:rsidTr="0010011A">
        <w:trPr>
          <w:trHeight w:val="683"/>
          <w:jc w:val="center"/>
        </w:trPr>
        <w:tc>
          <w:tcPr>
            <w:tcW w:w="5496" w:type="dxa"/>
            <w:shd w:val="clear" w:color="auto" w:fill="auto"/>
            <w:vAlign w:val="center"/>
          </w:tcPr>
          <w:p w:rsidR="0010011A" w:rsidRPr="00242020" w:rsidRDefault="0010011A" w:rsidP="0010011A">
            <w:pPr>
              <w:ind w:firstLine="0"/>
              <w:jc w:val="center"/>
              <w:rPr>
                <w:b/>
                <w:bCs/>
                <w:sz w:val="24"/>
                <w:szCs w:val="24"/>
              </w:rPr>
            </w:pPr>
            <w:r w:rsidRPr="00242020">
              <w:rPr>
                <w:b/>
                <w:bCs/>
                <w:sz w:val="24"/>
                <w:szCs w:val="24"/>
              </w:rPr>
              <w:t>Регіональні відділення Фонду</w:t>
            </w:r>
          </w:p>
        </w:tc>
        <w:tc>
          <w:tcPr>
            <w:tcW w:w="4075" w:type="dxa"/>
            <w:gridSpan w:val="2"/>
          </w:tcPr>
          <w:p w:rsidR="0010011A" w:rsidRPr="00242020" w:rsidRDefault="0010011A" w:rsidP="0010011A">
            <w:pPr>
              <w:ind w:firstLine="0"/>
              <w:jc w:val="center"/>
              <w:rPr>
                <w:b/>
                <w:bCs/>
                <w:sz w:val="24"/>
                <w:szCs w:val="24"/>
              </w:rPr>
            </w:pPr>
            <w:r w:rsidRPr="00242020">
              <w:rPr>
                <w:b/>
                <w:bCs/>
                <w:sz w:val="24"/>
                <w:szCs w:val="24"/>
              </w:rPr>
              <w:t>Кількість звітів за ознаками п. 67 Національного стандарту № 1</w:t>
            </w:r>
          </w:p>
        </w:tc>
      </w:tr>
      <w:tr w:rsidR="0010011A" w:rsidRPr="00242020" w:rsidTr="0010011A">
        <w:trPr>
          <w:trHeight w:val="258"/>
          <w:jc w:val="center"/>
        </w:trPr>
        <w:tc>
          <w:tcPr>
            <w:tcW w:w="5496" w:type="dxa"/>
            <w:shd w:val="clear" w:color="auto" w:fill="auto"/>
            <w:vAlign w:val="center"/>
          </w:tcPr>
          <w:p w:rsidR="0010011A" w:rsidRPr="00242020" w:rsidRDefault="0010011A" w:rsidP="0010011A">
            <w:pPr>
              <w:ind w:firstLine="0"/>
              <w:rPr>
                <w:b/>
                <w:bCs/>
                <w:sz w:val="26"/>
                <w:szCs w:val="26"/>
              </w:rPr>
            </w:pPr>
          </w:p>
        </w:tc>
        <w:tc>
          <w:tcPr>
            <w:tcW w:w="2037" w:type="dxa"/>
            <w:vAlign w:val="bottom"/>
          </w:tcPr>
          <w:p w:rsidR="0010011A" w:rsidRPr="00242020" w:rsidRDefault="0010011A" w:rsidP="0010011A">
            <w:pPr>
              <w:ind w:firstLine="0"/>
              <w:jc w:val="center"/>
              <w:rPr>
                <w:b/>
                <w:sz w:val="26"/>
                <w:szCs w:val="26"/>
              </w:rPr>
            </w:pPr>
            <w:r w:rsidRPr="00242020">
              <w:rPr>
                <w:b/>
                <w:sz w:val="26"/>
                <w:szCs w:val="26"/>
              </w:rPr>
              <w:t>2015 рік</w:t>
            </w:r>
          </w:p>
        </w:tc>
        <w:tc>
          <w:tcPr>
            <w:tcW w:w="2038" w:type="dxa"/>
            <w:shd w:val="clear" w:color="auto" w:fill="auto"/>
            <w:noWrap/>
            <w:vAlign w:val="bottom"/>
          </w:tcPr>
          <w:p w:rsidR="0010011A" w:rsidRPr="00242020" w:rsidRDefault="0010011A" w:rsidP="0010011A">
            <w:pPr>
              <w:ind w:firstLine="0"/>
              <w:jc w:val="center"/>
              <w:rPr>
                <w:b/>
                <w:sz w:val="26"/>
                <w:szCs w:val="26"/>
              </w:rPr>
            </w:pPr>
            <w:r w:rsidRPr="00242020">
              <w:rPr>
                <w:b/>
                <w:sz w:val="26"/>
                <w:szCs w:val="26"/>
              </w:rPr>
              <w:t>2016 рік</w:t>
            </w:r>
          </w:p>
        </w:tc>
      </w:tr>
      <w:tr w:rsidR="0010011A" w:rsidRPr="00242020" w:rsidTr="0010011A">
        <w:trPr>
          <w:trHeight w:val="258"/>
          <w:jc w:val="center"/>
        </w:trPr>
        <w:tc>
          <w:tcPr>
            <w:tcW w:w="5496" w:type="dxa"/>
            <w:shd w:val="clear" w:color="auto" w:fill="auto"/>
            <w:vAlign w:val="center"/>
          </w:tcPr>
          <w:p w:rsidR="0010011A" w:rsidRPr="00242020" w:rsidRDefault="0010011A" w:rsidP="0010011A">
            <w:pPr>
              <w:ind w:firstLine="0"/>
              <w:jc w:val="center"/>
              <w:rPr>
                <w:bCs/>
                <w:sz w:val="26"/>
                <w:szCs w:val="26"/>
              </w:rPr>
            </w:pPr>
            <w:r w:rsidRPr="00242020">
              <w:rPr>
                <w:bCs/>
                <w:sz w:val="26"/>
                <w:szCs w:val="26"/>
              </w:rPr>
              <w:t>1</w:t>
            </w:r>
          </w:p>
        </w:tc>
        <w:tc>
          <w:tcPr>
            <w:tcW w:w="2037" w:type="dxa"/>
            <w:vAlign w:val="center"/>
          </w:tcPr>
          <w:p w:rsidR="0010011A" w:rsidRPr="00242020" w:rsidRDefault="0010011A" w:rsidP="0010011A">
            <w:pPr>
              <w:ind w:right="-125" w:firstLine="0"/>
              <w:jc w:val="center"/>
              <w:rPr>
                <w:sz w:val="26"/>
                <w:szCs w:val="26"/>
              </w:rPr>
            </w:pPr>
            <w:r w:rsidRPr="00242020">
              <w:rPr>
                <w:sz w:val="26"/>
                <w:szCs w:val="26"/>
              </w:rPr>
              <w:t>2</w:t>
            </w:r>
          </w:p>
        </w:tc>
        <w:tc>
          <w:tcPr>
            <w:tcW w:w="2038" w:type="dxa"/>
            <w:shd w:val="clear" w:color="auto" w:fill="auto"/>
            <w:noWrap/>
            <w:vAlign w:val="center"/>
          </w:tcPr>
          <w:p w:rsidR="0010011A" w:rsidRPr="00242020" w:rsidRDefault="0010011A" w:rsidP="0010011A">
            <w:pPr>
              <w:ind w:right="-125" w:firstLine="0"/>
              <w:jc w:val="center"/>
              <w:rPr>
                <w:sz w:val="26"/>
                <w:szCs w:val="26"/>
              </w:rPr>
            </w:pPr>
            <w:r w:rsidRPr="00242020">
              <w:rPr>
                <w:sz w:val="26"/>
                <w:szCs w:val="26"/>
              </w:rPr>
              <w:t>3</w:t>
            </w:r>
          </w:p>
        </w:tc>
      </w:tr>
      <w:tr w:rsidR="0010011A" w:rsidRPr="00242020" w:rsidTr="0010011A">
        <w:trPr>
          <w:trHeight w:val="258"/>
          <w:jc w:val="center"/>
        </w:trPr>
        <w:tc>
          <w:tcPr>
            <w:tcW w:w="5496" w:type="dxa"/>
            <w:shd w:val="clear" w:color="auto" w:fill="auto"/>
            <w:vAlign w:val="center"/>
          </w:tcPr>
          <w:p w:rsidR="0010011A" w:rsidRPr="00242020" w:rsidRDefault="0010011A" w:rsidP="0010011A">
            <w:pPr>
              <w:ind w:firstLine="0"/>
              <w:rPr>
                <w:bCs/>
                <w:sz w:val="26"/>
                <w:szCs w:val="26"/>
              </w:rPr>
            </w:pPr>
            <w:r w:rsidRPr="00242020">
              <w:rPr>
                <w:bCs/>
                <w:sz w:val="26"/>
                <w:szCs w:val="26"/>
              </w:rPr>
              <w:t>по Вінницькій області</w:t>
            </w:r>
          </w:p>
        </w:tc>
        <w:tc>
          <w:tcPr>
            <w:tcW w:w="2037" w:type="dxa"/>
            <w:vAlign w:val="bottom"/>
          </w:tcPr>
          <w:p w:rsidR="0010011A" w:rsidRPr="00242020" w:rsidRDefault="0010011A" w:rsidP="0010011A">
            <w:pPr>
              <w:ind w:right="-125" w:firstLine="0"/>
              <w:jc w:val="center"/>
              <w:rPr>
                <w:sz w:val="26"/>
                <w:szCs w:val="26"/>
              </w:rPr>
            </w:pPr>
            <w:r w:rsidRPr="00242020">
              <w:rPr>
                <w:sz w:val="26"/>
                <w:szCs w:val="26"/>
              </w:rPr>
              <w:t>303</w:t>
            </w:r>
          </w:p>
        </w:tc>
        <w:tc>
          <w:tcPr>
            <w:tcW w:w="2038" w:type="dxa"/>
            <w:shd w:val="clear" w:color="auto" w:fill="auto"/>
            <w:noWrap/>
            <w:vAlign w:val="bottom"/>
          </w:tcPr>
          <w:p w:rsidR="0010011A" w:rsidRPr="00242020" w:rsidRDefault="0010011A" w:rsidP="0010011A">
            <w:pPr>
              <w:ind w:right="-125" w:firstLine="0"/>
              <w:jc w:val="center"/>
              <w:rPr>
                <w:sz w:val="26"/>
                <w:szCs w:val="26"/>
              </w:rPr>
            </w:pPr>
            <w:r w:rsidRPr="00242020">
              <w:rPr>
                <w:sz w:val="26"/>
                <w:szCs w:val="26"/>
              </w:rPr>
              <w:t>251</w:t>
            </w:r>
          </w:p>
        </w:tc>
      </w:tr>
      <w:tr w:rsidR="0010011A" w:rsidRPr="00242020" w:rsidTr="0010011A">
        <w:trPr>
          <w:trHeight w:val="258"/>
          <w:jc w:val="center"/>
        </w:trPr>
        <w:tc>
          <w:tcPr>
            <w:tcW w:w="5496" w:type="dxa"/>
            <w:shd w:val="clear" w:color="auto" w:fill="auto"/>
            <w:vAlign w:val="center"/>
          </w:tcPr>
          <w:p w:rsidR="0010011A" w:rsidRPr="00242020" w:rsidRDefault="0010011A" w:rsidP="0010011A">
            <w:pPr>
              <w:ind w:firstLine="0"/>
              <w:rPr>
                <w:bCs/>
                <w:sz w:val="26"/>
                <w:szCs w:val="26"/>
              </w:rPr>
            </w:pPr>
            <w:r w:rsidRPr="00242020">
              <w:rPr>
                <w:bCs/>
                <w:sz w:val="26"/>
                <w:szCs w:val="26"/>
              </w:rPr>
              <w:t>по Волинській області</w:t>
            </w:r>
          </w:p>
        </w:tc>
        <w:tc>
          <w:tcPr>
            <w:tcW w:w="2037" w:type="dxa"/>
            <w:vAlign w:val="bottom"/>
          </w:tcPr>
          <w:p w:rsidR="0010011A" w:rsidRPr="00242020" w:rsidRDefault="0010011A" w:rsidP="0010011A">
            <w:pPr>
              <w:ind w:right="-125" w:firstLine="0"/>
              <w:jc w:val="center"/>
              <w:rPr>
                <w:sz w:val="26"/>
                <w:szCs w:val="26"/>
              </w:rPr>
            </w:pPr>
            <w:r w:rsidRPr="00242020">
              <w:rPr>
                <w:sz w:val="26"/>
                <w:szCs w:val="26"/>
              </w:rPr>
              <w:t>167</w:t>
            </w:r>
          </w:p>
        </w:tc>
        <w:tc>
          <w:tcPr>
            <w:tcW w:w="2038" w:type="dxa"/>
            <w:shd w:val="clear" w:color="auto" w:fill="auto"/>
            <w:noWrap/>
            <w:vAlign w:val="bottom"/>
          </w:tcPr>
          <w:p w:rsidR="0010011A" w:rsidRPr="00242020" w:rsidRDefault="0010011A" w:rsidP="0010011A">
            <w:pPr>
              <w:ind w:right="-125" w:firstLine="0"/>
              <w:jc w:val="center"/>
              <w:rPr>
                <w:sz w:val="26"/>
                <w:szCs w:val="26"/>
              </w:rPr>
            </w:pPr>
            <w:r w:rsidRPr="00242020">
              <w:rPr>
                <w:sz w:val="26"/>
                <w:szCs w:val="26"/>
              </w:rPr>
              <w:t>174</w:t>
            </w:r>
          </w:p>
        </w:tc>
      </w:tr>
      <w:tr w:rsidR="0010011A" w:rsidRPr="00242020" w:rsidTr="0010011A">
        <w:trPr>
          <w:trHeight w:val="258"/>
          <w:jc w:val="center"/>
        </w:trPr>
        <w:tc>
          <w:tcPr>
            <w:tcW w:w="5496" w:type="dxa"/>
            <w:shd w:val="clear" w:color="auto" w:fill="auto"/>
            <w:vAlign w:val="center"/>
          </w:tcPr>
          <w:p w:rsidR="0010011A" w:rsidRPr="00242020" w:rsidRDefault="0010011A" w:rsidP="0010011A">
            <w:pPr>
              <w:ind w:firstLine="0"/>
              <w:rPr>
                <w:bCs/>
                <w:sz w:val="26"/>
                <w:szCs w:val="26"/>
              </w:rPr>
            </w:pPr>
            <w:r w:rsidRPr="00242020">
              <w:rPr>
                <w:bCs/>
                <w:sz w:val="26"/>
                <w:szCs w:val="26"/>
              </w:rPr>
              <w:t>по Дніпропетровській області</w:t>
            </w:r>
          </w:p>
        </w:tc>
        <w:tc>
          <w:tcPr>
            <w:tcW w:w="2037" w:type="dxa"/>
            <w:vAlign w:val="bottom"/>
          </w:tcPr>
          <w:p w:rsidR="0010011A" w:rsidRPr="00242020" w:rsidRDefault="0010011A" w:rsidP="0010011A">
            <w:pPr>
              <w:ind w:right="-125" w:firstLine="0"/>
              <w:jc w:val="center"/>
              <w:rPr>
                <w:sz w:val="26"/>
                <w:szCs w:val="26"/>
              </w:rPr>
            </w:pPr>
            <w:r w:rsidRPr="00242020">
              <w:rPr>
                <w:sz w:val="26"/>
                <w:szCs w:val="26"/>
              </w:rPr>
              <w:t>729</w:t>
            </w:r>
          </w:p>
        </w:tc>
        <w:tc>
          <w:tcPr>
            <w:tcW w:w="2038" w:type="dxa"/>
            <w:shd w:val="clear" w:color="auto" w:fill="auto"/>
            <w:noWrap/>
            <w:vAlign w:val="bottom"/>
          </w:tcPr>
          <w:p w:rsidR="0010011A" w:rsidRPr="00242020" w:rsidRDefault="0010011A" w:rsidP="0010011A">
            <w:pPr>
              <w:ind w:right="-125" w:firstLine="0"/>
              <w:jc w:val="center"/>
              <w:rPr>
                <w:sz w:val="26"/>
                <w:szCs w:val="26"/>
              </w:rPr>
            </w:pPr>
            <w:r w:rsidRPr="00242020">
              <w:rPr>
                <w:sz w:val="26"/>
                <w:szCs w:val="26"/>
              </w:rPr>
              <w:t>480</w:t>
            </w:r>
          </w:p>
        </w:tc>
      </w:tr>
      <w:tr w:rsidR="0010011A" w:rsidRPr="00242020" w:rsidTr="0010011A">
        <w:trPr>
          <w:trHeight w:val="258"/>
          <w:jc w:val="center"/>
        </w:trPr>
        <w:tc>
          <w:tcPr>
            <w:tcW w:w="5496" w:type="dxa"/>
            <w:shd w:val="clear" w:color="auto" w:fill="auto"/>
            <w:vAlign w:val="center"/>
          </w:tcPr>
          <w:p w:rsidR="0010011A" w:rsidRPr="00242020" w:rsidRDefault="0010011A" w:rsidP="0010011A">
            <w:pPr>
              <w:ind w:firstLine="0"/>
              <w:rPr>
                <w:bCs/>
                <w:sz w:val="26"/>
                <w:szCs w:val="26"/>
              </w:rPr>
            </w:pPr>
            <w:r w:rsidRPr="00242020">
              <w:rPr>
                <w:bCs/>
                <w:sz w:val="26"/>
                <w:szCs w:val="26"/>
              </w:rPr>
              <w:t>по Донецькій області</w:t>
            </w:r>
          </w:p>
        </w:tc>
        <w:tc>
          <w:tcPr>
            <w:tcW w:w="2037" w:type="dxa"/>
            <w:vAlign w:val="bottom"/>
          </w:tcPr>
          <w:p w:rsidR="0010011A" w:rsidRPr="00242020" w:rsidRDefault="0010011A" w:rsidP="0010011A">
            <w:pPr>
              <w:ind w:right="-125" w:firstLine="0"/>
              <w:jc w:val="center"/>
              <w:rPr>
                <w:sz w:val="26"/>
                <w:szCs w:val="26"/>
              </w:rPr>
            </w:pPr>
            <w:r w:rsidRPr="00242020">
              <w:rPr>
                <w:sz w:val="26"/>
                <w:szCs w:val="26"/>
              </w:rPr>
              <w:t>-</w:t>
            </w:r>
          </w:p>
        </w:tc>
        <w:tc>
          <w:tcPr>
            <w:tcW w:w="2038" w:type="dxa"/>
            <w:shd w:val="clear" w:color="auto" w:fill="auto"/>
            <w:noWrap/>
            <w:vAlign w:val="bottom"/>
          </w:tcPr>
          <w:p w:rsidR="0010011A" w:rsidRPr="00242020" w:rsidRDefault="0010011A" w:rsidP="0010011A">
            <w:pPr>
              <w:ind w:right="-125" w:firstLine="0"/>
              <w:jc w:val="center"/>
              <w:rPr>
                <w:sz w:val="26"/>
                <w:szCs w:val="26"/>
              </w:rPr>
            </w:pPr>
            <w:r w:rsidRPr="00242020">
              <w:rPr>
                <w:sz w:val="26"/>
                <w:szCs w:val="26"/>
              </w:rPr>
              <w:t>131</w:t>
            </w:r>
          </w:p>
        </w:tc>
      </w:tr>
      <w:tr w:rsidR="0010011A" w:rsidRPr="00242020" w:rsidTr="0010011A">
        <w:trPr>
          <w:trHeight w:val="258"/>
          <w:jc w:val="center"/>
        </w:trPr>
        <w:tc>
          <w:tcPr>
            <w:tcW w:w="5496" w:type="dxa"/>
            <w:shd w:val="clear" w:color="auto" w:fill="auto"/>
            <w:vAlign w:val="center"/>
          </w:tcPr>
          <w:p w:rsidR="0010011A" w:rsidRPr="00242020" w:rsidRDefault="0010011A" w:rsidP="0010011A">
            <w:pPr>
              <w:ind w:firstLine="0"/>
              <w:rPr>
                <w:bCs/>
                <w:sz w:val="26"/>
                <w:szCs w:val="26"/>
              </w:rPr>
            </w:pPr>
            <w:r w:rsidRPr="00242020">
              <w:rPr>
                <w:bCs/>
                <w:sz w:val="26"/>
                <w:szCs w:val="26"/>
              </w:rPr>
              <w:t>по Житомирській області</w:t>
            </w:r>
          </w:p>
        </w:tc>
        <w:tc>
          <w:tcPr>
            <w:tcW w:w="2037" w:type="dxa"/>
            <w:vAlign w:val="bottom"/>
          </w:tcPr>
          <w:p w:rsidR="0010011A" w:rsidRPr="00242020" w:rsidRDefault="0010011A" w:rsidP="0010011A">
            <w:pPr>
              <w:ind w:right="-125" w:firstLine="0"/>
              <w:jc w:val="center"/>
              <w:rPr>
                <w:sz w:val="26"/>
                <w:szCs w:val="26"/>
              </w:rPr>
            </w:pPr>
            <w:r w:rsidRPr="00242020">
              <w:rPr>
                <w:sz w:val="26"/>
                <w:szCs w:val="26"/>
              </w:rPr>
              <w:t>338</w:t>
            </w:r>
          </w:p>
        </w:tc>
        <w:tc>
          <w:tcPr>
            <w:tcW w:w="2038" w:type="dxa"/>
            <w:shd w:val="clear" w:color="auto" w:fill="auto"/>
            <w:noWrap/>
            <w:vAlign w:val="bottom"/>
          </w:tcPr>
          <w:p w:rsidR="0010011A" w:rsidRPr="00242020" w:rsidRDefault="0010011A" w:rsidP="0010011A">
            <w:pPr>
              <w:ind w:right="-125" w:firstLine="0"/>
              <w:jc w:val="center"/>
              <w:rPr>
                <w:sz w:val="26"/>
                <w:szCs w:val="26"/>
              </w:rPr>
            </w:pPr>
            <w:r w:rsidRPr="00242020">
              <w:rPr>
                <w:sz w:val="26"/>
                <w:szCs w:val="26"/>
              </w:rPr>
              <w:t>325</w:t>
            </w:r>
          </w:p>
        </w:tc>
      </w:tr>
      <w:tr w:rsidR="0010011A" w:rsidRPr="00242020" w:rsidTr="0010011A">
        <w:trPr>
          <w:trHeight w:val="258"/>
          <w:jc w:val="center"/>
        </w:trPr>
        <w:tc>
          <w:tcPr>
            <w:tcW w:w="5496" w:type="dxa"/>
            <w:shd w:val="clear" w:color="auto" w:fill="auto"/>
            <w:vAlign w:val="center"/>
          </w:tcPr>
          <w:p w:rsidR="0010011A" w:rsidRPr="00242020" w:rsidRDefault="0010011A" w:rsidP="0010011A">
            <w:pPr>
              <w:ind w:firstLine="0"/>
              <w:rPr>
                <w:bCs/>
                <w:sz w:val="26"/>
                <w:szCs w:val="26"/>
              </w:rPr>
            </w:pPr>
            <w:r w:rsidRPr="00242020">
              <w:rPr>
                <w:bCs/>
                <w:sz w:val="26"/>
                <w:szCs w:val="26"/>
              </w:rPr>
              <w:t>по Закарпатській області</w:t>
            </w:r>
          </w:p>
        </w:tc>
        <w:tc>
          <w:tcPr>
            <w:tcW w:w="2037" w:type="dxa"/>
            <w:vAlign w:val="bottom"/>
          </w:tcPr>
          <w:p w:rsidR="0010011A" w:rsidRPr="00242020" w:rsidRDefault="0010011A" w:rsidP="0010011A">
            <w:pPr>
              <w:ind w:right="-125" w:firstLine="0"/>
              <w:jc w:val="center"/>
              <w:rPr>
                <w:sz w:val="26"/>
                <w:szCs w:val="26"/>
              </w:rPr>
            </w:pPr>
            <w:r w:rsidRPr="00242020">
              <w:rPr>
                <w:sz w:val="26"/>
                <w:szCs w:val="26"/>
              </w:rPr>
              <w:t>253</w:t>
            </w:r>
          </w:p>
        </w:tc>
        <w:tc>
          <w:tcPr>
            <w:tcW w:w="2038" w:type="dxa"/>
            <w:shd w:val="clear" w:color="auto" w:fill="auto"/>
            <w:noWrap/>
            <w:vAlign w:val="bottom"/>
          </w:tcPr>
          <w:p w:rsidR="0010011A" w:rsidRPr="00242020" w:rsidRDefault="0010011A" w:rsidP="0010011A">
            <w:pPr>
              <w:ind w:right="-125" w:firstLine="0"/>
              <w:jc w:val="center"/>
              <w:rPr>
                <w:sz w:val="26"/>
                <w:szCs w:val="26"/>
              </w:rPr>
            </w:pPr>
            <w:r w:rsidRPr="00242020">
              <w:rPr>
                <w:sz w:val="26"/>
                <w:szCs w:val="26"/>
              </w:rPr>
              <w:t>140</w:t>
            </w:r>
          </w:p>
        </w:tc>
      </w:tr>
      <w:tr w:rsidR="0010011A" w:rsidRPr="00242020" w:rsidTr="0010011A">
        <w:trPr>
          <w:trHeight w:val="258"/>
          <w:jc w:val="center"/>
        </w:trPr>
        <w:tc>
          <w:tcPr>
            <w:tcW w:w="5496" w:type="dxa"/>
            <w:shd w:val="clear" w:color="auto" w:fill="auto"/>
            <w:vAlign w:val="center"/>
          </w:tcPr>
          <w:p w:rsidR="0010011A" w:rsidRPr="00242020" w:rsidRDefault="0010011A" w:rsidP="0010011A">
            <w:pPr>
              <w:ind w:firstLine="0"/>
              <w:rPr>
                <w:bCs/>
                <w:sz w:val="26"/>
                <w:szCs w:val="26"/>
              </w:rPr>
            </w:pPr>
            <w:r w:rsidRPr="00242020">
              <w:rPr>
                <w:bCs/>
                <w:sz w:val="26"/>
                <w:szCs w:val="26"/>
              </w:rPr>
              <w:t>по Запорізькій області</w:t>
            </w:r>
          </w:p>
        </w:tc>
        <w:tc>
          <w:tcPr>
            <w:tcW w:w="2037" w:type="dxa"/>
            <w:vAlign w:val="bottom"/>
          </w:tcPr>
          <w:p w:rsidR="0010011A" w:rsidRPr="00242020" w:rsidRDefault="0010011A" w:rsidP="0010011A">
            <w:pPr>
              <w:ind w:right="-125" w:firstLine="0"/>
              <w:jc w:val="center"/>
              <w:rPr>
                <w:sz w:val="26"/>
                <w:szCs w:val="26"/>
              </w:rPr>
            </w:pPr>
            <w:r w:rsidRPr="00242020">
              <w:rPr>
                <w:sz w:val="26"/>
                <w:szCs w:val="26"/>
              </w:rPr>
              <w:t>341</w:t>
            </w:r>
          </w:p>
        </w:tc>
        <w:tc>
          <w:tcPr>
            <w:tcW w:w="2038" w:type="dxa"/>
            <w:shd w:val="clear" w:color="auto" w:fill="auto"/>
            <w:noWrap/>
            <w:vAlign w:val="bottom"/>
          </w:tcPr>
          <w:p w:rsidR="0010011A" w:rsidRPr="00242020" w:rsidRDefault="0010011A" w:rsidP="0010011A">
            <w:pPr>
              <w:ind w:right="-125" w:firstLine="0"/>
              <w:jc w:val="center"/>
              <w:rPr>
                <w:sz w:val="26"/>
                <w:szCs w:val="26"/>
              </w:rPr>
            </w:pPr>
            <w:r w:rsidRPr="00242020">
              <w:rPr>
                <w:sz w:val="26"/>
                <w:szCs w:val="26"/>
              </w:rPr>
              <w:t>345</w:t>
            </w:r>
          </w:p>
        </w:tc>
      </w:tr>
      <w:tr w:rsidR="0010011A" w:rsidRPr="00242020" w:rsidTr="0010011A">
        <w:trPr>
          <w:trHeight w:val="258"/>
          <w:jc w:val="center"/>
        </w:trPr>
        <w:tc>
          <w:tcPr>
            <w:tcW w:w="5496" w:type="dxa"/>
            <w:shd w:val="clear" w:color="auto" w:fill="auto"/>
            <w:vAlign w:val="center"/>
          </w:tcPr>
          <w:p w:rsidR="0010011A" w:rsidRPr="00242020" w:rsidRDefault="0010011A" w:rsidP="0010011A">
            <w:pPr>
              <w:ind w:firstLine="0"/>
              <w:rPr>
                <w:bCs/>
                <w:sz w:val="26"/>
                <w:szCs w:val="26"/>
              </w:rPr>
            </w:pPr>
            <w:r w:rsidRPr="00242020">
              <w:rPr>
                <w:bCs/>
                <w:sz w:val="26"/>
                <w:szCs w:val="26"/>
              </w:rPr>
              <w:t>по Івано-Франківській області</w:t>
            </w:r>
          </w:p>
        </w:tc>
        <w:tc>
          <w:tcPr>
            <w:tcW w:w="2037" w:type="dxa"/>
            <w:vAlign w:val="bottom"/>
          </w:tcPr>
          <w:p w:rsidR="0010011A" w:rsidRPr="00242020" w:rsidRDefault="0010011A" w:rsidP="0010011A">
            <w:pPr>
              <w:ind w:right="-125" w:firstLine="0"/>
              <w:jc w:val="center"/>
              <w:rPr>
                <w:sz w:val="26"/>
                <w:szCs w:val="26"/>
              </w:rPr>
            </w:pPr>
            <w:r w:rsidRPr="00242020">
              <w:rPr>
                <w:sz w:val="26"/>
                <w:szCs w:val="26"/>
              </w:rPr>
              <w:t>195</w:t>
            </w:r>
          </w:p>
        </w:tc>
        <w:tc>
          <w:tcPr>
            <w:tcW w:w="2038" w:type="dxa"/>
            <w:shd w:val="clear" w:color="auto" w:fill="auto"/>
            <w:noWrap/>
            <w:vAlign w:val="bottom"/>
          </w:tcPr>
          <w:p w:rsidR="0010011A" w:rsidRPr="00242020" w:rsidRDefault="0010011A" w:rsidP="0010011A">
            <w:pPr>
              <w:ind w:right="-125" w:firstLine="0"/>
              <w:jc w:val="center"/>
              <w:rPr>
                <w:sz w:val="26"/>
                <w:szCs w:val="26"/>
              </w:rPr>
            </w:pPr>
            <w:r w:rsidRPr="00242020">
              <w:rPr>
                <w:sz w:val="26"/>
                <w:szCs w:val="26"/>
              </w:rPr>
              <w:t>150</w:t>
            </w:r>
          </w:p>
        </w:tc>
      </w:tr>
      <w:tr w:rsidR="0010011A" w:rsidRPr="00242020" w:rsidTr="0010011A">
        <w:trPr>
          <w:trHeight w:val="258"/>
          <w:jc w:val="center"/>
        </w:trPr>
        <w:tc>
          <w:tcPr>
            <w:tcW w:w="5496" w:type="dxa"/>
            <w:shd w:val="clear" w:color="auto" w:fill="auto"/>
            <w:vAlign w:val="center"/>
          </w:tcPr>
          <w:p w:rsidR="0010011A" w:rsidRPr="00242020" w:rsidRDefault="0010011A" w:rsidP="0010011A">
            <w:pPr>
              <w:ind w:firstLine="0"/>
              <w:rPr>
                <w:bCs/>
                <w:sz w:val="26"/>
                <w:szCs w:val="26"/>
              </w:rPr>
            </w:pPr>
            <w:r w:rsidRPr="00242020">
              <w:rPr>
                <w:bCs/>
                <w:sz w:val="26"/>
                <w:szCs w:val="26"/>
              </w:rPr>
              <w:t>по м. Києву</w:t>
            </w:r>
          </w:p>
        </w:tc>
        <w:tc>
          <w:tcPr>
            <w:tcW w:w="2037" w:type="dxa"/>
            <w:vAlign w:val="bottom"/>
          </w:tcPr>
          <w:p w:rsidR="0010011A" w:rsidRPr="00242020" w:rsidRDefault="0010011A" w:rsidP="0010011A">
            <w:pPr>
              <w:ind w:right="-125" w:firstLine="0"/>
              <w:jc w:val="center"/>
              <w:rPr>
                <w:sz w:val="26"/>
                <w:szCs w:val="26"/>
              </w:rPr>
            </w:pPr>
            <w:r w:rsidRPr="00242020">
              <w:rPr>
                <w:sz w:val="26"/>
                <w:szCs w:val="26"/>
              </w:rPr>
              <w:t>659</w:t>
            </w:r>
          </w:p>
        </w:tc>
        <w:tc>
          <w:tcPr>
            <w:tcW w:w="2038" w:type="dxa"/>
            <w:shd w:val="clear" w:color="auto" w:fill="auto"/>
            <w:noWrap/>
            <w:vAlign w:val="bottom"/>
          </w:tcPr>
          <w:p w:rsidR="0010011A" w:rsidRPr="00242020" w:rsidRDefault="0010011A" w:rsidP="0010011A">
            <w:pPr>
              <w:ind w:right="-125" w:firstLine="0"/>
              <w:jc w:val="center"/>
              <w:rPr>
                <w:sz w:val="26"/>
                <w:szCs w:val="26"/>
              </w:rPr>
            </w:pPr>
            <w:r w:rsidRPr="00242020">
              <w:rPr>
                <w:sz w:val="26"/>
                <w:szCs w:val="26"/>
              </w:rPr>
              <w:t>858</w:t>
            </w:r>
          </w:p>
        </w:tc>
      </w:tr>
      <w:tr w:rsidR="0010011A" w:rsidRPr="00242020" w:rsidTr="0010011A">
        <w:trPr>
          <w:trHeight w:val="258"/>
          <w:jc w:val="center"/>
        </w:trPr>
        <w:tc>
          <w:tcPr>
            <w:tcW w:w="5496" w:type="dxa"/>
            <w:shd w:val="clear" w:color="auto" w:fill="auto"/>
            <w:vAlign w:val="center"/>
          </w:tcPr>
          <w:p w:rsidR="0010011A" w:rsidRPr="00242020" w:rsidRDefault="0010011A" w:rsidP="0010011A">
            <w:pPr>
              <w:ind w:firstLine="0"/>
              <w:rPr>
                <w:bCs/>
                <w:sz w:val="26"/>
                <w:szCs w:val="26"/>
              </w:rPr>
            </w:pPr>
            <w:r w:rsidRPr="00242020">
              <w:rPr>
                <w:bCs/>
                <w:sz w:val="26"/>
                <w:szCs w:val="26"/>
              </w:rPr>
              <w:t>по Київській області</w:t>
            </w:r>
          </w:p>
        </w:tc>
        <w:tc>
          <w:tcPr>
            <w:tcW w:w="2037" w:type="dxa"/>
            <w:vAlign w:val="bottom"/>
          </w:tcPr>
          <w:p w:rsidR="0010011A" w:rsidRPr="00242020" w:rsidRDefault="0010011A" w:rsidP="0010011A">
            <w:pPr>
              <w:ind w:right="-125" w:firstLine="0"/>
              <w:jc w:val="center"/>
              <w:rPr>
                <w:sz w:val="26"/>
                <w:szCs w:val="26"/>
              </w:rPr>
            </w:pPr>
            <w:r w:rsidRPr="00242020">
              <w:rPr>
                <w:sz w:val="26"/>
                <w:szCs w:val="26"/>
              </w:rPr>
              <w:t>230</w:t>
            </w:r>
          </w:p>
        </w:tc>
        <w:tc>
          <w:tcPr>
            <w:tcW w:w="2038" w:type="dxa"/>
            <w:shd w:val="clear" w:color="auto" w:fill="auto"/>
            <w:noWrap/>
            <w:vAlign w:val="bottom"/>
          </w:tcPr>
          <w:p w:rsidR="0010011A" w:rsidRPr="00242020" w:rsidRDefault="0010011A" w:rsidP="0010011A">
            <w:pPr>
              <w:ind w:right="-125" w:firstLine="0"/>
              <w:jc w:val="center"/>
              <w:rPr>
                <w:sz w:val="26"/>
                <w:szCs w:val="26"/>
              </w:rPr>
            </w:pPr>
            <w:r w:rsidRPr="00242020">
              <w:rPr>
                <w:sz w:val="26"/>
                <w:szCs w:val="26"/>
              </w:rPr>
              <w:t>357</w:t>
            </w:r>
          </w:p>
        </w:tc>
      </w:tr>
      <w:tr w:rsidR="006F4201" w:rsidRPr="00242020" w:rsidTr="0010011A">
        <w:trPr>
          <w:trHeight w:val="258"/>
          <w:jc w:val="center"/>
        </w:trPr>
        <w:tc>
          <w:tcPr>
            <w:tcW w:w="5496" w:type="dxa"/>
            <w:shd w:val="clear" w:color="auto" w:fill="auto"/>
            <w:vAlign w:val="center"/>
          </w:tcPr>
          <w:p w:rsidR="006F4201" w:rsidRPr="00242020" w:rsidRDefault="006F4201" w:rsidP="004462BE">
            <w:pPr>
              <w:ind w:firstLine="0"/>
              <w:rPr>
                <w:bCs/>
                <w:sz w:val="26"/>
                <w:szCs w:val="26"/>
              </w:rPr>
            </w:pPr>
            <w:r w:rsidRPr="00242020">
              <w:rPr>
                <w:bCs/>
                <w:sz w:val="26"/>
                <w:szCs w:val="26"/>
              </w:rPr>
              <w:t>по Кіровоградській області</w:t>
            </w:r>
          </w:p>
        </w:tc>
        <w:tc>
          <w:tcPr>
            <w:tcW w:w="2037" w:type="dxa"/>
            <w:vAlign w:val="bottom"/>
          </w:tcPr>
          <w:p w:rsidR="006F4201" w:rsidRPr="00242020" w:rsidRDefault="006F4201" w:rsidP="004462BE">
            <w:pPr>
              <w:ind w:right="-125" w:firstLine="0"/>
              <w:jc w:val="center"/>
              <w:rPr>
                <w:sz w:val="26"/>
                <w:szCs w:val="26"/>
              </w:rPr>
            </w:pPr>
            <w:r w:rsidRPr="00242020">
              <w:rPr>
                <w:sz w:val="26"/>
                <w:szCs w:val="26"/>
              </w:rPr>
              <w:t>154</w:t>
            </w:r>
          </w:p>
        </w:tc>
        <w:tc>
          <w:tcPr>
            <w:tcW w:w="2038" w:type="dxa"/>
            <w:shd w:val="clear" w:color="auto" w:fill="auto"/>
            <w:noWrap/>
            <w:vAlign w:val="bottom"/>
          </w:tcPr>
          <w:p w:rsidR="006F4201" w:rsidRPr="00242020" w:rsidRDefault="006F4201" w:rsidP="004462BE">
            <w:pPr>
              <w:ind w:right="-125" w:firstLine="0"/>
              <w:jc w:val="center"/>
              <w:rPr>
                <w:sz w:val="26"/>
                <w:szCs w:val="26"/>
              </w:rPr>
            </w:pPr>
            <w:r w:rsidRPr="00242020">
              <w:rPr>
                <w:sz w:val="26"/>
                <w:szCs w:val="26"/>
              </w:rPr>
              <w:t>165</w:t>
            </w:r>
          </w:p>
        </w:tc>
      </w:tr>
      <w:tr w:rsidR="006F4201" w:rsidRPr="00242020" w:rsidTr="004462BE">
        <w:trPr>
          <w:trHeight w:val="258"/>
          <w:jc w:val="center"/>
        </w:trPr>
        <w:tc>
          <w:tcPr>
            <w:tcW w:w="5496" w:type="dxa"/>
            <w:shd w:val="clear" w:color="auto" w:fill="auto"/>
            <w:vAlign w:val="center"/>
          </w:tcPr>
          <w:p w:rsidR="006F4201" w:rsidRPr="00242020" w:rsidRDefault="006F4201" w:rsidP="004462BE">
            <w:pPr>
              <w:ind w:firstLine="0"/>
              <w:jc w:val="center"/>
              <w:rPr>
                <w:bCs/>
                <w:sz w:val="26"/>
                <w:szCs w:val="26"/>
              </w:rPr>
            </w:pPr>
            <w:r w:rsidRPr="00242020">
              <w:rPr>
                <w:bCs/>
                <w:sz w:val="26"/>
                <w:szCs w:val="26"/>
              </w:rPr>
              <w:lastRenderedPageBreak/>
              <w:t>1</w:t>
            </w:r>
          </w:p>
        </w:tc>
        <w:tc>
          <w:tcPr>
            <w:tcW w:w="2037" w:type="dxa"/>
            <w:vAlign w:val="center"/>
          </w:tcPr>
          <w:p w:rsidR="006F4201" w:rsidRPr="00242020" w:rsidRDefault="006F4201" w:rsidP="004462BE">
            <w:pPr>
              <w:ind w:right="-125" w:firstLine="0"/>
              <w:jc w:val="center"/>
              <w:rPr>
                <w:sz w:val="26"/>
                <w:szCs w:val="26"/>
              </w:rPr>
            </w:pPr>
            <w:r w:rsidRPr="00242020">
              <w:rPr>
                <w:sz w:val="26"/>
                <w:szCs w:val="26"/>
              </w:rPr>
              <w:t>2</w:t>
            </w:r>
          </w:p>
        </w:tc>
        <w:tc>
          <w:tcPr>
            <w:tcW w:w="2038" w:type="dxa"/>
            <w:shd w:val="clear" w:color="auto" w:fill="auto"/>
            <w:noWrap/>
            <w:vAlign w:val="center"/>
          </w:tcPr>
          <w:p w:rsidR="006F4201" w:rsidRPr="00242020" w:rsidRDefault="006F4201" w:rsidP="004462BE">
            <w:pPr>
              <w:ind w:right="-125" w:firstLine="0"/>
              <w:jc w:val="center"/>
              <w:rPr>
                <w:sz w:val="26"/>
                <w:szCs w:val="26"/>
              </w:rPr>
            </w:pPr>
            <w:r w:rsidRPr="00242020">
              <w:rPr>
                <w:sz w:val="26"/>
                <w:szCs w:val="26"/>
              </w:rPr>
              <w:t>3</w:t>
            </w:r>
          </w:p>
        </w:tc>
      </w:tr>
      <w:tr w:rsidR="006F4201" w:rsidRPr="00242020" w:rsidTr="0010011A">
        <w:trPr>
          <w:trHeight w:val="258"/>
          <w:jc w:val="center"/>
        </w:trPr>
        <w:tc>
          <w:tcPr>
            <w:tcW w:w="5496" w:type="dxa"/>
            <w:shd w:val="clear" w:color="auto" w:fill="auto"/>
            <w:vAlign w:val="center"/>
          </w:tcPr>
          <w:p w:rsidR="006F4201" w:rsidRPr="00242020" w:rsidRDefault="006F4201" w:rsidP="0010011A">
            <w:pPr>
              <w:ind w:firstLine="0"/>
              <w:rPr>
                <w:bCs/>
                <w:sz w:val="26"/>
                <w:szCs w:val="26"/>
              </w:rPr>
            </w:pPr>
            <w:r w:rsidRPr="00242020">
              <w:rPr>
                <w:bCs/>
                <w:sz w:val="26"/>
                <w:szCs w:val="26"/>
              </w:rPr>
              <w:t>по Львівській області</w:t>
            </w:r>
          </w:p>
        </w:tc>
        <w:tc>
          <w:tcPr>
            <w:tcW w:w="2037" w:type="dxa"/>
            <w:vAlign w:val="bottom"/>
          </w:tcPr>
          <w:p w:rsidR="006F4201" w:rsidRPr="00242020" w:rsidRDefault="006F4201" w:rsidP="0010011A">
            <w:pPr>
              <w:ind w:right="-125" w:firstLine="0"/>
              <w:jc w:val="center"/>
              <w:rPr>
                <w:sz w:val="26"/>
                <w:szCs w:val="26"/>
              </w:rPr>
            </w:pPr>
            <w:r w:rsidRPr="00242020">
              <w:rPr>
                <w:sz w:val="26"/>
                <w:szCs w:val="26"/>
              </w:rPr>
              <w:t>449</w:t>
            </w:r>
          </w:p>
        </w:tc>
        <w:tc>
          <w:tcPr>
            <w:tcW w:w="2038" w:type="dxa"/>
            <w:shd w:val="clear" w:color="auto" w:fill="auto"/>
            <w:noWrap/>
            <w:vAlign w:val="bottom"/>
          </w:tcPr>
          <w:p w:rsidR="006F4201" w:rsidRPr="00242020" w:rsidRDefault="006F4201" w:rsidP="0010011A">
            <w:pPr>
              <w:ind w:right="-125" w:firstLine="0"/>
              <w:jc w:val="center"/>
              <w:rPr>
                <w:sz w:val="26"/>
                <w:szCs w:val="26"/>
              </w:rPr>
            </w:pPr>
            <w:r w:rsidRPr="00242020">
              <w:rPr>
                <w:sz w:val="26"/>
                <w:szCs w:val="26"/>
              </w:rPr>
              <w:t>485</w:t>
            </w:r>
          </w:p>
        </w:tc>
      </w:tr>
      <w:tr w:rsidR="006F4201" w:rsidRPr="00242020" w:rsidTr="0010011A">
        <w:trPr>
          <w:trHeight w:val="258"/>
          <w:jc w:val="center"/>
        </w:trPr>
        <w:tc>
          <w:tcPr>
            <w:tcW w:w="5496" w:type="dxa"/>
            <w:shd w:val="clear" w:color="auto" w:fill="auto"/>
            <w:vAlign w:val="center"/>
          </w:tcPr>
          <w:p w:rsidR="006F4201" w:rsidRPr="00242020" w:rsidRDefault="006F4201" w:rsidP="0010011A">
            <w:pPr>
              <w:ind w:firstLine="0"/>
              <w:rPr>
                <w:bCs/>
                <w:sz w:val="26"/>
                <w:szCs w:val="26"/>
              </w:rPr>
            </w:pPr>
            <w:r w:rsidRPr="00242020">
              <w:rPr>
                <w:bCs/>
                <w:sz w:val="26"/>
                <w:szCs w:val="26"/>
              </w:rPr>
              <w:t>по Луганській області</w:t>
            </w:r>
          </w:p>
        </w:tc>
        <w:tc>
          <w:tcPr>
            <w:tcW w:w="2037" w:type="dxa"/>
            <w:vAlign w:val="bottom"/>
          </w:tcPr>
          <w:p w:rsidR="006F4201" w:rsidRPr="00242020" w:rsidRDefault="006F4201" w:rsidP="0010011A">
            <w:pPr>
              <w:ind w:right="-125" w:firstLine="0"/>
              <w:jc w:val="center"/>
              <w:rPr>
                <w:sz w:val="26"/>
                <w:szCs w:val="26"/>
              </w:rPr>
            </w:pPr>
            <w:r w:rsidRPr="00242020">
              <w:rPr>
                <w:sz w:val="26"/>
                <w:szCs w:val="26"/>
              </w:rPr>
              <w:t>88</w:t>
            </w:r>
          </w:p>
        </w:tc>
        <w:tc>
          <w:tcPr>
            <w:tcW w:w="2038" w:type="dxa"/>
            <w:shd w:val="clear" w:color="auto" w:fill="auto"/>
            <w:noWrap/>
            <w:vAlign w:val="bottom"/>
          </w:tcPr>
          <w:p w:rsidR="006F4201" w:rsidRPr="00242020" w:rsidRDefault="006F4201" w:rsidP="0010011A">
            <w:pPr>
              <w:ind w:right="-125" w:firstLine="0"/>
              <w:jc w:val="center"/>
              <w:rPr>
                <w:sz w:val="26"/>
                <w:szCs w:val="26"/>
              </w:rPr>
            </w:pPr>
            <w:r w:rsidRPr="00242020">
              <w:rPr>
                <w:sz w:val="26"/>
                <w:szCs w:val="26"/>
              </w:rPr>
              <w:t>58</w:t>
            </w:r>
          </w:p>
        </w:tc>
      </w:tr>
      <w:tr w:rsidR="006F4201" w:rsidRPr="00242020" w:rsidTr="0010011A">
        <w:trPr>
          <w:trHeight w:val="258"/>
          <w:jc w:val="center"/>
        </w:trPr>
        <w:tc>
          <w:tcPr>
            <w:tcW w:w="5496" w:type="dxa"/>
            <w:shd w:val="clear" w:color="auto" w:fill="auto"/>
            <w:vAlign w:val="center"/>
          </w:tcPr>
          <w:p w:rsidR="006F4201" w:rsidRPr="00242020" w:rsidRDefault="006F4201" w:rsidP="0010011A">
            <w:pPr>
              <w:ind w:firstLine="0"/>
              <w:rPr>
                <w:bCs/>
                <w:sz w:val="26"/>
                <w:szCs w:val="26"/>
              </w:rPr>
            </w:pPr>
            <w:r w:rsidRPr="00242020">
              <w:rPr>
                <w:bCs/>
                <w:sz w:val="26"/>
                <w:szCs w:val="26"/>
              </w:rPr>
              <w:t>по Миколаївській області</w:t>
            </w:r>
          </w:p>
        </w:tc>
        <w:tc>
          <w:tcPr>
            <w:tcW w:w="2037" w:type="dxa"/>
            <w:vAlign w:val="bottom"/>
          </w:tcPr>
          <w:p w:rsidR="006F4201" w:rsidRPr="00242020" w:rsidRDefault="006F4201" w:rsidP="0010011A">
            <w:pPr>
              <w:ind w:right="737" w:firstLine="0"/>
              <w:jc w:val="right"/>
              <w:rPr>
                <w:sz w:val="26"/>
                <w:szCs w:val="26"/>
              </w:rPr>
            </w:pPr>
            <w:r w:rsidRPr="00242020">
              <w:rPr>
                <w:sz w:val="26"/>
                <w:szCs w:val="26"/>
              </w:rPr>
              <w:t>242</w:t>
            </w:r>
          </w:p>
        </w:tc>
        <w:tc>
          <w:tcPr>
            <w:tcW w:w="2038" w:type="dxa"/>
            <w:shd w:val="clear" w:color="auto" w:fill="auto"/>
            <w:noWrap/>
            <w:vAlign w:val="bottom"/>
          </w:tcPr>
          <w:p w:rsidR="006F4201" w:rsidRPr="00242020" w:rsidRDefault="006F4201" w:rsidP="0010011A">
            <w:pPr>
              <w:ind w:right="737" w:firstLine="0"/>
              <w:jc w:val="right"/>
              <w:rPr>
                <w:sz w:val="26"/>
                <w:szCs w:val="26"/>
              </w:rPr>
            </w:pPr>
            <w:r w:rsidRPr="00242020">
              <w:rPr>
                <w:sz w:val="26"/>
                <w:szCs w:val="26"/>
              </w:rPr>
              <w:t>233</w:t>
            </w:r>
          </w:p>
        </w:tc>
      </w:tr>
      <w:tr w:rsidR="006F4201" w:rsidRPr="00242020" w:rsidTr="0010011A">
        <w:trPr>
          <w:trHeight w:val="258"/>
          <w:jc w:val="center"/>
        </w:trPr>
        <w:tc>
          <w:tcPr>
            <w:tcW w:w="5496" w:type="dxa"/>
            <w:shd w:val="clear" w:color="auto" w:fill="auto"/>
            <w:vAlign w:val="center"/>
          </w:tcPr>
          <w:p w:rsidR="006F4201" w:rsidRPr="00242020" w:rsidRDefault="006F4201" w:rsidP="0010011A">
            <w:pPr>
              <w:ind w:firstLine="0"/>
              <w:rPr>
                <w:bCs/>
                <w:sz w:val="26"/>
                <w:szCs w:val="26"/>
              </w:rPr>
            </w:pPr>
            <w:r w:rsidRPr="00242020">
              <w:rPr>
                <w:bCs/>
                <w:sz w:val="26"/>
                <w:szCs w:val="26"/>
              </w:rPr>
              <w:t>по Одеській області</w:t>
            </w:r>
          </w:p>
        </w:tc>
        <w:tc>
          <w:tcPr>
            <w:tcW w:w="2037" w:type="dxa"/>
            <w:vAlign w:val="bottom"/>
          </w:tcPr>
          <w:p w:rsidR="006F4201" w:rsidRPr="00242020" w:rsidRDefault="006F4201" w:rsidP="0010011A">
            <w:pPr>
              <w:ind w:right="737" w:firstLine="0"/>
              <w:jc w:val="right"/>
              <w:rPr>
                <w:sz w:val="26"/>
                <w:szCs w:val="26"/>
              </w:rPr>
            </w:pPr>
            <w:r w:rsidRPr="00242020">
              <w:rPr>
                <w:sz w:val="26"/>
                <w:szCs w:val="26"/>
              </w:rPr>
              <w:t>289</w:t>
            </w:r>
          </w:p>
        </w:tc>
        <w:tc>
          <w:tcPr>
            <w:tcW w:w="2038" w:type="dxa"/>
            <w:shd w:val="clear" w:color="auto" w:fill="auto"/>
            <w:noWrap/>
            <w:vAlign w:val="bottom"/>
          </w:tcPr>
          <w:p w:rsidR="006F4201" w:rsidRPr="00242020" w:rsidRDefault="006F4201" w:rsidP="0010011A">
            <w:pPr>
              <w:ind w:right="737" w:firstLine="0"/>
              <w:jc w:val="right"/>
              <w:rPr>
                <w:sz w:val="26"/>
                <w:szCs w:val="26"/>
              </w:rPr>
            </w:pPr>
            <w:r w:rsidRPr="00242020">
              <w:rPr>
                <w:sz w:val="26"/>
                <w:szCs w:val="26"/>
              </w:rPr>
              <w:t>340</w:t>
            </w:r>
          </w:p>
        </w:tc>
      </w:tr>
      <w:tr w:rsidR="006F4201" w:rsidRPr="00242020" w:rsidTr="0010011A">
        <w:trPr>
          <w:trHeight w:val="258"/>
          <w:jc w:val="center"/>
        </w:trPr>
        <w:tc>
          <w:tcPr>
            <w:tcW w:w="5496" w:type="dxa"/>
            <w:shd w:val="clear" w:color="auto" w:fill="auto"/>
            <w:vAlign w:val="center"/>
          </w:tcPr>
          <w:p w:rsidR="006F4201" w:rsidRPr="00242020" w:rsidRDefault="006F4201" w:rsidP="0010011A">
            <w:pPr>
              <w:ind w:firstLine="0"/>
              <w:rPr>
                <w:bCs/>
                <w:sz w:val="26"/>
                <w:szCs w:val="26"/>
              </w:rPr>
            </w:pPr>
            <w:r w:rsidRPr="00242020">
              <w:rPr>
                <w:bCs/>
                <w:sz w:val="26"/>
                <w:szCs w:val="26"/>
              </w:rPr>
              <w:t>по Полтавській області</w:t>
            </w:r>
          </w:p>
        </w:tc>
        <w:tc>
          <w:tcPr>
            <w:tcW w:w="2037" w:type="dxa"/>
            <w:vAlign w:val="bottom"/>
          </w:tcPr>
          <w:p w:rsidR="006F4201" w:rsidRPr="00242020" w:rsidRDefault="006F4201" w:rsidP="0010011A">
            <w:pPr>
              <w:ind w:right="737" w:firstLine="0"/>
              <w:jc w:val="right"/>
              <w:rPr>
                <w:sz w:val="26"/>
                <w:szCs w:val="26"/>
              </w:rPr>
            </w:pPr>
            <w:r w:rsidRPr="00242020">
              <w:rPr>
                <w:sz w:val="26"/>
                <w:szCs w:val="26"/>
              </w:rPr>
              <w:t>188</w:t>
            </w:r>
          </w:p>
        </w:tc>
        <w:tc>
          <w:tcPr>
            <w:tcW w:w="2038" w:type="dxa"/>
            <w:shd w:val="clear" w:color="auto" w:fill="auto"/>
            <w:noWrap/>
            <w:vAlign w:val="bottom"/>
          </w:tcPr>
          <w:p w:rsidR="006F4201" w:rsidRPr="00242020" w:rsidRDefault="006F4201" w:rsidP="0010011A">
            <w:pPr>
              <w:ind w:right="737" w:firstLine="0"/>
              <w:jc w:val="right"/>
              <w:rPr>
                <w:sz w:val="26"/>
                <w:szCs w:val="26"/>
              </w:rPr>
            </w:pPr>
            <w:r w:rsidRPr="00242020">
              <w:rPr>
                <w:sz w:val="26"/>
                <w:szCs w:val="26"/>
              </w:rPr>
              <w:t>237</w:t>
            </w:r>
          </w:p>
        </w:tc>
      </w:tr>
      <w:tr w:rsidR="006F4201" w:rsidRPr="00242020" w:rsidTr="0010011A">
        <w:trPr>
          <w:trHeight w:val="258"/>
          <w:jc w:val="center"/>
        </w:trPr>
        <w:tc>
          <w:tcPr>
            <w:tcW w:w="5496" w:type="dxa"/>
            <w:shd w:val="clear" w:color="auto" w:fill="auto"/>
            <w:vAlign w:val="center"/>
          </w:tcPr>
          <w:p w:rsidR="006F4201" w:rsidRPr="00242020" w:rsidRDefault="006F4201" w:rsidP="0010011A">
            <w:pPr>
              <w:ind w:firstLine="0"/>
              <w:rPr>
                <w:bCs/>
                <w:sz w:val="26"/>
                <w:szCs w:val="26"/>
              </w:rPr>
            </w:pPr>
            <w:r w:rsidRPr="00242020">
              <w:rPr>
                <w:bCs/>
                <w:sz w:val="26"/>
                <w:szCs w:val="26"/>
              </w:rPr>
              <w:t>по Рівненській області</w:t>
            </w:r>
          </w:p>
        </w:tc>
        <w:tc>
          <w:tcPr>
            <w:tcW w:w="2037" w:type="dxa"/>
            <w:vAlign w:val="bottom"/>
          </w:tcPr>
          <w:p w:rsidR="006F4201" w:rsidRPr="00242020" w:rsidRDefault="006F4201" w:rsidP="0010011A">
            <w:pPr>
              <w:ind w:right="737" w:firstLine="0"/>
              <w:jc w:val="right"/>
              <w:rPr>
                <w:sz w:val="26"/>
                <w:szCs w:val="26"/>
              </w:rPr>
            </w:pPr>
            <w:r w:rsidRPr="00242020">
              <w:rPr>
                <w:sz w:val="26"/>
                <w:szCs w:val="26"/>
              </w:rPr>
              <w:t>234</w:t>
            </w:r>
          </w:p>
        </w:tc>
        <w:tc>
          <w:tcPr>
            <w:tcW w:w="2038" w:type="dxa"/>
            <w:shd w:val="clear" w:color="auto" w:fill="auto"/>
            <w:noWrap/>
            <w:vAlign w:val="bottom"/>
          </w:tcPr>
          <w:p w:rsidR="006F4201" w:rsidRPr="00242020" w:rsidRDefault="006F4201" w:rsidP="0010011A">
            <w:pPr>
              <w:ind w:right="737" w:firstLine="0"/>
              <w:jc w:val="right"/>
              <w:rPr>
                <w:sz w:val="26"/>
                <w:szCs w:val="26"/>
              </w:rPr>
            </w:pPr>
            <w:r w:rsidRPr="00242020">
              <w:rPr>
                <w:sz w:val="26"/>
                <w:szCs w:val="26"/>
              </w:rPr>
              <w:t>128</w:t>
            </w:r>
          </w:p>
        </w:tc>
      </w:tr>
      <w:tr w:rsidR="006F4201" w:rsidRPr="00242020" w:rsidTr="0010011A">
        <w:trPr>
          <w:trHeight w:val="258"/>
          <w:jc w:val="center"/>
        </w:trPr>
        <w:tc>
          <w:tcPr>
            <w:tcW w:w="5496" w:type="dxa"/>
            <w:shd w:val="clear" w:color="auto" w:fill="auto"/>
            <w:vAlign w:val="center"/>
          </w:tcPr>
          <w:p w:rsidR="006F4201" w:rsidRPr="00242020" w:rsidRDefault="006F4201" w:rsidP="0010011A">
            <w:pPr>
              <w:ind w:firstLine="0"/>
              <w:rPr>
                <w:bCs/>
                <w:sz w:val="26"/>
                <w:szCs w:val="26"/>
              </w:rPr>
            </w:pPr>
            <w:r w:rsidRPr="00242020">
              <w:rPr>
                <w:bCs/>
                <w:sz w:val="26"/>
                <w:szCs w:val="26"/>
              </w:rPr>
              <w:t>по Сумській області</w:t>
            </w:r>
          </w:p>
        </w:tc>
        <w:tc>
          <w:tcPr>
            <w:tcW w:w="2037" w:type="dxa"/>
            <w:vAlign w:val="bottom"/>
          </w:tcPr>
          <w:p w:rsidR="006F4201" w:rsidRPr="00242020" w:rsidRDefault="006F4201" w:rsidP="0010011A">
            <w:pPr>
              <w:ind w:right="737" w:firstLine="0"/>
              <w:jc w:val="right"/>
              <w:rPr>
                <w:sz w:val="26"/>
                <w:szCs w:val="26"/>
              </w:rPr>
            </w:pPr>
            <w:r w:rsidRPr="00242020">
              <w:rPr>
                <w:sz w:val="26"/>
                <w:szCs w:val="26"/>
              </w:rPr>
              <w:t>120</w:t>
            </w:r>
          </w:p>
        </w:tc>
        <w:tc>
          <w:tcPr>
            <w:tcW w:w="2038" w:type="dxa"/>
            <w:shd w:val="clear" w:color="auto" w:fill="auto"/>
            <w:noWrap/>
            <w:vAlign w:val="bottom"/>
          </w:tcPr>
          <w:p w:rsidR="006F4201" w:rsidRPr="00242020" w:rsidRDefault="006F4201" w:rsidP="0010011A">
            <w:pPr>
              <w:ind w:right="737" w:firstLine="0"/>
              <w:jc w:val="right"/>
              <w:rPr>
                <w:sz w:val="26"/>
                <w:szCs w:val="26"/>
              </w:rPr>
            </w:pPr>
            <w:r w:rsidRPr="00242020">
              <w:rPr>
                <w:sz w:val="26"/>
                <w:szCs w:val="26"/>
              </w:rPr>
              <w:t>195</w:t>
            </w:r>
          </w:p>
        </w:tc>
      </w:tr>
      <w:tr w:rsidR="006F4201" w:rsidRPr="00242020" w:rsidTr="0010011A">
        <w:trPr>
          <w:trHeight w:val="258"/>
          <w:jc w:val="center"/>
        </w:trPr>
        <w:tc>
          <w:tcPr>
            <w:tcW w:w="5496" w:type="dxa"/>
            <w:shd w:val="clear" w:color="auto" w:fill="auto"/>
            <w:vAlign w:val="center"/>
          </w:tcPr>
          <w:p w:rsidR="006F4201" w:rsidRPr="00242020" w:rsidRDefault="006F4201" w:rsidP="0010011A">
            <w:pPr>
              <w:ind w:firstLine="0"/>
              <w:rPr>
                <w:bCs/>
                <w:sz w:val="26"/>
                <w:szCs w:val="26"/>
              </w:rPr>
            </w:pPr>
            <w:r w:rsidRPr="00242020">
              <w:rPr>
                <w:bCs/>
                <w:sz w:val="26"/>
                <w:szCs w:val="26"/>
              </w:rPr>
              <w:t>по Тернопільській області</w:t>
            </w:r>
          </w:p>
        </w:tc>
        <w:tc>
          <w:tcPr>
            <w:tcW w:w="2037" w:type="dxa"/>
            <w:vAlign w:val="bottom"/>
          </w:tcPr>
          <w:p w:rsidR="006F4201" w:rsidRPr="00242020" w:rsidRDefault="006F4201" w:rsidP="0010011A">
            <w:pPr>
              <w:ind w:right="737" w:firstLine="0"/>
              <w:jc w:val="right"/>
              <w:rPr>
                <w:sz w:val="26"/>
                <w:szCs w:val="26"/>
              </w:rPr>
            </w:pPr>
            <w:r w:rsidRPr="00242020">
              <w:rPr>
                <w:sz w:val="26"/>
                <w:szCs w:val="26"/>
              </w:rPr>
              <w:t>192</w:t>
            </w:r>
          </w:p>
        </w:tc>
        <w:tc>
          <w:tcPr>
            <w:tcW w:w="2038" w:type="dxa"/>
            <w:shd w:val="clear" w:color="auto" w:fill="auto"/>
            <w:noWrap/>
            <w:vAlign w:val="bottom"/>
          </w:tcPr>
          <w:p w:rsidR="006F4201" w:rsidRPr="00242020" w:rsidRDefault="006F4201" w:rsidP="0010011A">
            <w:pPr>
              <w:ind w:right="737" w:firstLine="0"/>
              <w:jc w:val="right"/>
              <w:rPr>
                <w:sz w:val="26"/>
                <w:szCs w:val="26"/>
              </w:rPr>
            </w:pPr>
            <w:r w:rsidRPr="00242020">
              <w:rPr>
                <w:sz w:val="26"/>
                <w:szCs w:val="26"/>
              </w:rPr>
              <w:t>160</w:t>
            </w:r>
          </w:p>
        </w:tc>
      </w:tr>
      <w:tr w:rsidR="006F4201" w:rsidRPr="00242020" w:rsidTr="0010011A">
        <w:trPr>
          <w:trHeight w:val="258"/>
          <w:jc w:val="center"/>
        </w:trPr>
        <w:tc>
          <w:tcPr>
            <w:tcW w:w="5496" w:type="dxa"/>
            <w:shd w:val="clear" w:color="auto" w:fill="auto"/>
            <w:vAlign w:val="center"/>
          </w:tcPr>
          <w:p w:rsidR="006F4201" w:rsidRPr="00242020" w:rsidRDefault="006F4201" w:rsidP="0010011A">
            <w:pPr>
              <w:ind w:firstLine="0"/>
              <w:rPr>
                <w:bCs/>
                <w:sz w:val="26"/>
                <w:szCs w:val="26"/>
              </w:rPr>
            </w:pPr>
            <w:r w:rsidRPr="00242020">
              <w:rPr>
                <w:bCs/>
                <w:sz w:val="26"/>
                <w:szCs w:val="26"/>
              </w:rPr>
              <w:t>по Харківській області</w:t>
            </w:r>
          </w:p>
        </w:tc>
        <w:tc>
          <w:tcPr>
            <w:tcW w:w="2037" w:type="dxa"/>
            <w:vAlign w:val="bottom"/>
          </w:tcPr>
          <w:p w:rsidR="006F4201" w:rsidRPr="00242020" w:rsidRDefault="006F4201" w:rsidP="0010011A">
            <w:pPr>
              <w:ind w:right="737" w:firstLine="0"/>
              <w:jc w:val="right"/>
              <w:rPr>
                <w:sz w:val="26"/>
                <w:szCs w:val="26"/>
              </w:rPr>
            </w:pPr>
            <w:r w:rsidRPr="00242020">
              <w:rPr>
                <w:sz w:val="26"/>
                <w:szCs w:val="26"/>
              </w:rPr>
              <w:t>710</w:t>
            </w:r>
          </w:p>
        </w:tc>
        <w:tc>
          <w:tcPr>
            <w:tcW w:w="2038" w:type="dxa"/>
            <w:shd w:val="clear" w:color="auto" w:fill="auto"/>
            <w:noWrap/>
            <w:vAlign w:val="bottom"/>
          </w:tcPr>
          <w:p w:rsidR="006F4201" w:rsidRPr="00242020" w:rsidRDefault="006F4201" w:rsidP="0010011A">
            <w:pPr>
              <w:ind w:right="737" w:firstLine="0"/>
              <w:jc w:val="right"/>
              <w:rPr>
                <w:sz w:val="26"/>
                <w:szCs w:val="26"/>
              </w:rPr>
            </w:pPr>
            <w:r w:rsidRPr="00242020">
              <w:rPr>
                <w:sz w:val="26"/>
                <w:szCs w:val="26"/>
              </w:rPr>
              <w:t>714</w:t>
            </w:r>
          </w:p>
        </w:tc>
      </w:tr>
      <w:tr w:rsidR="006F4201" w:rsidRPr="00242020" w:rsidTr="0010011A">
        <w:trPr>
          <w:trHeight w:val="258"/>
          <w:jc w:val="center"/>
        </w:trPr>
        <w:tc>
          <w:tcPr>
            <w:tcW w:w="5496" w:type="dxa"/>
            <w:shd w:val="clear" w:color="auto" w:fill="auto"/>
            <w:vAlign w:val="center"/>
          </w:tcPr>
          <w:p w:rsidR="006F4201" w:rsidRPr="00242020" w:rsidRDefault="006F4201" w:rsidP="0010011A">
            <w:pPr>
              <w:ind w:firstLine="0"/>
              <w:rPr>
                <w:bCs/>
                <w:sz w:val="26"/>
                <w:szCs w:val="26"/>
              </w:rPr>
            </w:pPr>
            <w:r w:rsidRPr="00242020">
              <w:rPr>
                <w:bCs/>
                <w:sz w:val="26"/>
                <w:szCs w:val="26"/>
              </w:rPr>
              <w:t xml:space="preserve">в Херсонській області, </w:t>
            </w:r>
            <w:proofErr w:type="spellStart"/>
            <w:r w:rsidRPr="00242020">
              <w:rPr>
                <w:bCs/>
                <w:sz w:val="26"/>
                <w:szCs w:val="26"/>
              </w:rPr>
              <w:t>АРК</w:t>
            </w:r>
            <w:proofErr w:type="spellEnd"/>
            <w:r w:rsidRPr="00242020">
              <w:rPr>
                <w:bCs/>
                <w:sz w:val="26"/>
                <w:szCs w:val="26"/>
              </w:rPr>
              <w:t xml:space="preserve"> та м. Севастополі</w:t>
            </w:r>
          </w:p>
        </w:tc>
        <w:tc>
          <w:tcPr>
            <w:tcW w:w="2037" w:type="dxa"/>
            <w:vAlign w:val="bottom"/>
          </w:tcPr>
          <w:p w:rsidR="006F4201" w:rsidRPr="00242020" w:rsidRDefault="006F4201" w:rsidP="0010011A">
            <w:pPr>
              <w:ind w:right="737" w:firstLine="0"/>
              <w:jc w:val="right"/>
              <w:rPr>
                <w:sz w:val="26"/>
                <w:szCs w:val="26"/>
              </w:rPr>
            </w:pPr>
            <w:r w:rsidRPr="00242020">
              <w:rPr>
                <w:sz w:val="26"/>
                <w:szCs w:val="26"/>
              </w:rPr>
              <w:t>197</w:t>
            </w:r>
          </w:p>
        </w:tc>
        <w:tc>
          <w:tcPr>
            <w:tcW w:w="2038" w:type="dxa"/>
            <w:shd w:val="clear" w:color="auto" w:fill="auto"/>
            <w:noWrap/>
            <w:vAlign w:val="bottom"/>
          </w:tcPr>
          <w:p w:rsidR="006F4201" w:rsidRPr="00242020" w:rsidRDefault="006F4201" w:rsidP="0010011A">
            <w:pPr>
              <w:ind w:right="737" w:firstLine="0"/>
              <w:jc w:val="right"/>
              <w:rPr>
                <w:sz w:val="26"/>
                <w:szCs w:val="26"/>
              </w:rPr>
            </w:pPr>
            <w:r w:rsidRPr="00242020">
              <w:rPr>
                <w:sz w:val="26"/>
                <w:szCs w:val="26"/>
              </w:rPr>
              <w:t>159</w:t>
            </w:r>
          </w:p>
        </w:tc>
      </w:tr>
      <w:tr w:rsidR="006F4201" w:rsidRPr="00242020" w:rsidTr="0010011A">
        <w:trPr>
          <w:trHeight w:val="258"/>
          <w:jc w:val="center"/>
        </w:trPr>
        <w:tc>
          <w:tcPr>
            <w:tcW w:w="5496" w:type="dxa"/>
            <w:shd w:val="clear" w:color="auto" w:fill="auto"/>
            <w:vAlign w:val="center"/>
          </w:tcPr>
          <w:p w:rsidR="006F4201" w:rsidRPr="00242020" w:rsidRDefault="006F4201" w:rsidP="0010011A">
            <w:pPr>
              <w:ind w:firstLine="0"/>
              <w:rPr>
                <w:bCs/>
                <w:sz w:val="26"/>
                <w:szCs w:val="26"/>
              </w:rPr>
            </w:pPr>
            <w:r w:rsidRPr="00242020">
              <w:rPr>
                <w:bCs/>
                <w:sz w:val="26"/>
                <w:szCs w:val="26"/>
              </w:rPr>
              <w:t>по Хмельницькій області</w:t>
            </w:r>
          </w:p>
        </w:tc>
        <w:tc>
          <w:tcPr>
            <w:tcW w:w="2037" w:type="dxa"/>
            <w:vAlign w:val="bottom"/>
          </w:tcPr>
          <w:p w:rsidR="006F4201" w:rsidRPr="00242020" w:rsidRDefault="006F4201" w:rsidP="0010011A">
            <w:pPr>
              <w:ind w:right="737" w:firstLine="0"/>
              <w:jc w:val="right"/>
              <w:rPr>
                <w:sz w:val="26"/>
                <w:szCs w:val="26"/>
              </w:rPr>
            </w:pPr>
            <w:r w:rsidRPr="00242020">
              <w:rPr>
                <w:sz w:val="26"/>
                <w:szCs w:val="26"/>
              </w:rPr>
              <w:t>285</w:t>
            </w:r>
          </w:p>
        </w:tc>
        <w:tc>
          <w:tcPr>
            <w:tcW w:w="2038" w:type="dxa"/>
            <w:shd w:val="clear" w:color="auto" w:fill="auto"/>
            <w:noWrap/>
            <w:vAlign w:val="bottom"/>
          </w:tcPr>
          <w:p w:rsidR="006F4201" w:rsidRPr="00242020" w:rsidRDefault="006F4201" w:rsidP="0010011A">
            <w:pPr>
              <w:ind w:right="737" w:firstLine="0"/>
              <w:jc w:val="right"/>
              <w:rPr>
                <w:sz w:val="26"/>
                <w:szCs w:val="26"/>
              </w:rPr>
            </w:pPr>
            <w:r w:rsidRPr="00242020">
              <w:rPr>
                <w:sz w:val="26"/>
                <w:szCs w:val="26"/>
              </w:rPr>
              <w:t>216</w:t>
            </w:r>
          </w:p>
        </w:tc>
      </w:tr>
      <w:tr w:rsidR="006F4201" w:rsidRPr="00242020" w:rsidTr="0010011A">
        <w:trPr>
          <w:trHeight w:val="258"/>
          <w:jc w:val="center"/>
        </w:trPr>
        <w:tc>
          <w:tcPr>
            <w:tcW w:w="5496" w:type="dxa"/>
            <w:shd w:val="clear" w:color="auto" w:fill="auto"/>
            <w:vAlign w:val="center"/>
          </w:tcPr>
          <w:p w:rsidR="006F4201" w:rsidRPr="00242020" w:rsidRDefault="006F4201" w:rsidP="0010011A">
            <w:pPr>
              <w:ind w:firstLine="0"/>
              <w:rPr>
                <w:bCs/>
                <w:sz w:val="26"/>
                <w:szCs w:val="26"/>
              </w:rPr>
            </w:pPr>
            <w:r w:rsidRPr="00242020">
              <w:rPr>
                <w:bCs/>
                <w:sz w:val="26"/>
                <w:szCs w:val="26"/>
              </w:rPr>
              <w:t>по Черкаській області</w:t>
            </w:r>
          </w:p>
        </w:tc>
        <w:tc>
          <w:tcPr>
            <w:tcW w:w="2037" w:type="dxa"/>
            <w:vAlign w:val="bottom"/>
          </w:tcPr>
          <w:p w:rsidR="006F4201" w:rsidRPr="00242020" w:rsidRDefault="006F4201" w:rsidP="0010011A">
            <w:pPr>
              <w:ind w:right="737" w:firstLine="0"/>
              <w:jc w:val="right"/>
              <w:rPr>
                <w:sz w:val="26"/>
                <w:szCs w:val="26"/>
              </w:rPr>
            </w:pPr>
            <w:r w:rsidRPr="00242020">
              <w:rPr>
                <w:sz w:val="26"/>
                <w:szCs w:val="26"/>
              </w:rPr>
              <w:t>274</w:t>
            </w:r>
          </w:p>
        </w:tc>
        <w:tc>
          <w:tcPr>
            <w:tcW w:w="2038" w:type="dxa"/>
            <w:shd w:val="clear" w:color="auto" w:fill="auto"/>
            <w:noWrap/>
            <w:vAlign w:val="bottom"/>
          </w:tcPr>
          <w:p w:rsidR="006F4201" w:rsidRPr="00242020" w:rsidRDefault="006F4201" w:rsidP="0010011A">
            <w:pPr>
              <w:ind w:right="737" w:firstLine="0"/>
              <w:jc w:val="right"/>
              <w:rPr>
                <w:sz w:val="26"/>
                <w:szCs w:val="26"/>
              </w:rPr>
            </w:pPr>
            <w:r w:rsidRPr="00242020">
              <w:rPr>
                <w:sz w:val="26"/>
                <w:szCs w:val="26"/>
              </w:rPr>
              <w:t>305</w:t>
            </w:r>
          </w:p>
        </w:tc>
      </w:tr>
      <w:tr w:rsidR="006F4201" w:rsidRPr="00242020" w:rsidTr="0010011A">
        <w:trPr>
          <w:trHeight w:val="258"/>
          <w:jc w:val="center"/>
        </w:trPr>
        <w:tc>
          <w:tcPr>
            <w:tcW w:w="5496" w:type="dxa"/>
            <w:shd w:val="clear" w:color="auto" w:fill="auto"/>
            <w:vAlign w:val="center"/>
          </w:tcPr>
          <w:p w:rsidR="006F4201" w:rsidRPr="00242020" w:rsidRDefault="006F4201" w:rsidP="0010011A">
            <w:pPr>
              <w:ind w:firstLine="0"/>
              <w:rPr>
                <w:bCs/>
                <w:sz w:val="26"/>
                <w:szCs w:val="26"/>
              </w:rPr>
            </w:pPr>
            <w:r w:rsidRPr="00242020">
              <w:rPr>
                <w:bCs/>
                <w:sz w:val="26"/>
                <w:szCs w:val="26"/>
              </w:rPr>
              <w:t>по Чернігівській області</w:t>
            </w:r>
          </w:p>
        </w:tc>
        <w:tc>
          <w:tcPr>
            <w:tcW w:w="2037" w:type="dxa"/>
            <w:vAlign w:val="bottom"/>
          </w:tcPr>
          <w:p w:rsidR="006F4201" w:rsidRPr="00242020" w:rsidRDefault="006F4201" w:rsidP="0010011A">
            <w:pPr>
              <w:ind w:right="737" w:firstLine="0"/>
              <w:jc w:val="right"/>
              <w:rPr>
                <w:sz w:val="26"/>
                <w:szCs w:val="26"/>
              </w:rPr>
            </w:pPr>
            <w:r w:rsidRPr="00242020">
              <w:rPr>
                <w:sz w:val="26"/>
                <w:szCs w:val="26"/>
              </w:rPr>
              <w:t>236</w:t>
            </w:r>
          </w:p>
        </w:tc>
        <w:tc>
          <w:tcPr>
            <w:tcW w:w="2038" w:type="dxa"/>
            <w:shd w:val="clear" w:color="auto" w:fill="auto"/>
            <w:noWrap/>
            <w:vAlign w:val="bottom"/>
          </w:tcPr>
          <w:p w:rsidR="006F4201" w:rsidRPr="00242020" w:rsidRDefault="006F4201" w:rsidP="0010011A">
            <w:pPr>
              <w:ind w:right="737" w:firstLine="0"/>
              <w:jc w:val="right"/>
              <w:rPr>
                <w:sz w:val="26"/>
                <w:szCs w:val="26"/>
              </w:rPr>
            </w:pPr>
            <w:r w:rsidRPr="00242020">
              <w:rPr>
                <w:sz w:val="26"/>
                <w:szCs w:val="26"/>
              </w:rPr>
              <w:t>248</w:t>
            </w:r>
          </w:p>
        </w:tc>
      </w:tr>
      <w:tr w:rsidR="006F4201" w:rsidRPr="00242020" w:rsidTr="0010011A">
        <w:trPr>
          <w:trHeight w:val="258"/>
          <w:jc w:val="center"/>
        </w:trPr>
        <w:tc>
          <w:tcPr>
            <w:tcW w:w="5496" w:type="dxa"/>
            <w:shd w:val="clear" w:color="auto" w:fill="auto"/>
            <w:vAlign w:val="center"/>
          </w:tcPr>
          <w:p w:rsidR="006F4201" w:rsidRPr="00242020" w:rsidRDefault="006F4201" w:rsidP="0010011A">
            <w:pPr>
              <w:ind w:firstLine="0"/>
              <w:rPr>
                <w:bCs/>
                <w:sz w:val="26"/>
                <w:szCs w:val="26"/>
              </w:rPr>
            </w:pPr>
            <w:r w:rsidRPr="00242020">
              <w:rPr>
                <w:bCs/>
                <w:sz w:val="26"/>
                <w:szCs w:val="26"/>
              </w:rPr>
              <w:t>по Чернівецькій області</w:t>
            </w:r>
          </w:p>
        </w:tc>
        <w:tc>
          <w:tcPr>
            <w:tcW w:w="2037" w:type="dxa"/>
            <w:vAlign w:val="bottom"/>
          </w:tcPr>
          <w:p w:rsidR="006F4201" w:rsidRPr="00242020" w:rsidRDefault="006F4201" w:rsidP="0010011A">
            <w:pPr>
              <w:ind w:right="737" w:firstLine="0"/>
              <w:jc w:val="right"/>
              <w:rPr>
                <w:sz w:val="26"/>
                <w:szCs w:val="26"/>
              </w:rPr>
            </w:pPr>
            <w:r w:rsidRPr="00242020">
              <w:rPr>
                <w:sz w:val="26"/>
                <w:szCs w:val="26"/>
              </w:rPr>
              <w:t>71</w:t>
            </w:r>
          </w:p>
        </w:tc>
        <w:tc>
          <w:tcPr>
            <w:tcW w:w="2038" w:type="dxa"/>
            <w:shd w:val="clear" w:color="auto" w:fill="auto"/>
            <w:noWrap/>
            <w:vAlign w:val="bottom"/>
          </w:tcPr>
          <w:p w:rsidR="006F4201" w:rsidRPr="00242020" w:rsidRDefault="006F4201" w:rsidP="0010011A">
            <w:pPr>
              <w:ind w:right="737" w:firstLine="0"/>
              <w:jc w:val="right"/>
              <w:rPr>
                <w:sz w:val="26"/>
                <w:szCs w:val="26"/>
              </w:rPr>
            </w:pPr>
            <w:r w:rsidRPr="00242020">
              <w:rPr>
                <w:sz w:val="26"/>
                <w:szCs w:val="26"/>
              </w:rPr>
              <w:t>91</w:t>
            </w:r>
          </w:p>
        </w:tc>
      </w:tr>
      <w:tr w:rsidR="006F4201" w:rsidRPr="00242020" w:rsidTr="0010011A">
        <w:trPr>
          <w:trHeight w:val="258"/>
          <w:jc w:val="center"/>
        </w:trPr>
        <w:tc>
          <w:tcPr>
            <w:tcW w:w="5496" w:type="dxa"/>
            <w:shd w:val="clear" w:color="auto" w:fill="auto"/>
            <w:vAlign w:val="center"/>
          </w:tcPr>
          <w:p w:rsidR="006F4201" w:rsidRPr="00242020" w:rsidRDefault="006F4201" w:rsidP="001763DC">
            <w:pPr>
              <w:ind w:firstLine="0"/>
              <w:rPr>
                <w:bCs/>
                <w:sz w:val="26"/>
                <w:szCs w:val="26"/>
              </w:rPr>
            </w:pPr>
            <w:r w:rsidRPr="00242020">
              <w:rPr>
                <w:bCs/>
                <w:sz w:val="26"/>
                <w:szCs w:val="26"/>
              </w:rPr>
              <w:t>в апараті Фонду</w:t>
            </w:r>
          </w:p>
        </w:tc>
        <w:tc>
          <w:tcPr>
            <w:tcW w:w="2037" w:type="dxa"/>
            <w:vAlign w:val="bottom"/>
          </w:tcPr>
          <w:p w:rsidR="006F4201" w:rsidRPr="00242020" w:rsidRDefault="006F4201" w:rsidP="0010011A">
            <w:pPr>
              <w:ind w:right="737" w:firstLine="0"/>
              <w:jc w:val="right"/>
              <w:rPr>
                <w:sz w:val="26"/>
                <w:szCs w:val="26"/>
              </w:rPr>
            </w:pPr>
            <w:r w:rsidRPr="00242020">
              <w:rPr>
                <w:sz w:val="26"/>
                <w:szCs w:val="26"/>
              </w:rPr>
              <w:t>428</w:t>
            </w:r>
          </w:p>
        </w:tc>
        <w:tc>
          <w:tcPr>
            <w:tcW w:w="2038" w:type="dxa"/>
            <w:shd w:val="clear" w:color="auto" w:fill="auto"/>
            <w:noWrap/>
            <w:vAlign w:val="bottom"/>
          </w:tcPr>
          <w:p w:rsidR="006F4201" w:rsidRPr="00242020" w:rsidRDefault="006F4201" w:rsidP="0010011A">
            <w:pPr>
              <w:ind w:right="737" w:firstLine="0"/>
              <w:jc w:val="right"/>
              <w:rPr>
                <w:sz w:val="26"/>
                <w:szCs w:val="26"/>
              </w:rPr>
            </w:pPr>
            <w:r w:rsidRPr="00242020">
              <w:rPr>
                <w:sz w:val="26"/>
                <w:szCs w:val="26"/>
              </w:rPr>
              <w:t>550</w:t>
            </w:r>
          </w:p>
        </w:tc>
      </w:tr>
      <w:tr w:rsidR="006F4201" w:rsidRPr="00242020" w:rsidTr="0010011A">
        <w:trPr>
          <w:trHeight w:val="320"/>
          <w:jc w:val="center"/>
        </w:trPr>
        <w:tc>
          <w:tcPr>
            <w:tcW w:w="5496" w:type="dxa"/>
            <w:shd w:val="clear" w:color="auto" w:fill="auto"/>
          </w:tcPr>
          <w:p w:rsidR="006F4201" w:rsidRPr="00242020" w:rsidRDefault="006F4201" w:rsidP="0010011A">
            <w:pPr>
              <w:ind w:firstLine="0"/>
              <w:rPr>
                <w:b/>
                <w:bCs/>
                <w:sz w:val="26"/>
                <w:szCs w:val="26"/>
              </w:rPr>
            </w:pPr>
            <w:r w:rsidRPr="00242020">
              <w:rPr>
                <w:b/>
                <w:bCs/>
                <w:sz w:val="26"/>
                <w:szCs w:val="26"/>
              </w:rPr>
              <w:t>Разом по Україні</w:t>
            </w:r>
          </w:p>
        </w:tc>
        <w:tc>
          <w:tcPr>
            <w:tcW w:w="2037" w:type="dxa"/>
            <w:vAlign w:val="bottom"/>
          </w:tcPr>
          <w:p w:rsidR="006F4201" w:rsidRPr="00242020" w:rsidRDefault="006F4201" w:rsidP="0010011A">
            <w:pPr>
              <w:ind w:right="737" w:firstLine="0"/>
              <w:jc w:val="right"/>
              <w:rPr>
                <w:b/>
                <w:szCs w:val="28"/>
              </w:rPr>
            </w:pPr>
            <w:r w:rsidRPr="00242020">
              <w:rPr>
                <w:b/>
                <w:szCs w:val="28"/>
              </w:rPr>
              <w:t>7 373</w:t>
            </w:r>
          </w:p>
        </w:tc>
        <w:tc>
          <w:tcPr>
            <w:tcW w:w="2038" w:type="dxa"/>
            <w:shd w:val="clear" w:color="auto" w:fill="auto"/>
            <w:noWrap/>
            <w:vAlign w:val="bottom"/>
          </w:tcPr>
          <w:p w:rsidR="006F4201" w:rsidRPr="00242020" w:rsidRDefault="006F4201" w:rsidP="0010011A">
            <w:pPr>
              <w:ind w:right="737" w:firstLine="0"/>
              <w:jc w:val="right"/>
              <w:rPr>
                <w:b/>
                <w:sz w:val="26"/>
                <w:szCs w:val="26"/>
              </w:rPr>
            </w:pPr>
            <w:r w:rsidRPr="00242020">
              <w:rPr>
                <w:b/>
                <w:sz w:val="26"/>
                <w:szCs w:val="26"/>
              </w:rPr>
              <w:t>7 595</w:t>
            </w:r>
          </w:p>
        </w:tc>
      </w:tr>
    </w:tbl>
    <w:p w:rsidR="0010011A" w:rsidRPr="00242020" w:rsidRDefault="0010011A" w:rsidP="0010011A">
      <w:pPr>
        <w:ind w:firstLine="720"/>
        <w:jc w:val="both"/>
        <w:rPr>
          <w:sz w:val="16"/>
          <w:szCs w:val="16"/>
        </w:rPr>
      </w:pPr>
    </w:p>
    <w:p w:rsidR="0010011A" w:rsidRPr="00242020" w:rsidRDefault="0010011A" w:rsidP="006F4201">
      <w:pPr>
        <w:jc w:val="both"/>
        <w:rPr>
          <w:szCs w:val="28"/>
        </w:rPr>
      </w:pPr>
      <w:r w:rsidRPr="00242020">
        <w:rPr>
          <w:szCs w:val="28"/>
        </w:rPr>
        <w:t xml:space="preserve">Найбільшу кількість рецензій у 2016 році здійснили рецензенти в регіональних відділеннях по м. Києву (858), Харківській (714), Львівській (485), Дніпропетровській (480) областях та в апараті Фонду (550). </w:t>
      </w:r>
    </w:p>
    <w:p w:rsidR="0010011A" w:rsidRPr="00242020" w:rsidRDefault="0010011A" w:rsidP="006F4201">
      <w:pPr>
        <w:jc w:val="both"/>
        <w:rPr>
          <w:szCs w:val="28"/>
        </w:rPr>
      </w:pPr>
      <w:r w:rsidRPr="00242020">
        <w:t>Порівняно з 2015 роком з</w:t>
      </w:r>
      <w:r w:rsidRPr="00242020">
        <w:rPr>
          <w:szCs w:val="28"/>
        </w:rPr>
        <w:t>агальна кількість прорецензованих звітів про оцінку майна збільшилася на 3,01</w:t>
      </w:r>
      <w:r w:rsidR="00260419">
        <w:rPr>
          <w:szCs w:val="28"/>
        </w:rPr>
        <w:t> </w:t>
      </w:r>
      <w:r w:rsidRPr="00242020">
        <w:rPr>
          <w:szCs w:val="28"/>
        </w:rPr>
        <w:t>% (таблиця 4.2.), що свідчить про аналогічну активність на ринку оцінки об’єктів оренди,</w:t>
      </w:r>
      <w:r w:rsidR="001763DC" w:rsidRPr="00242020">
        <w:rPr>
          <w:szCs w:val="28"/>
        </w:rPr>
        <w:t xml:space="preserve"> </w:t>
      </w:r>
      <w:r w:rsidRPr="00242020">
        <w:rPr>
          <w:szCs w:val="28"/>
        </w:rPr>
        <w:t>продажу об’єктів державного та комунального майна у 2016 році.</w:t>
      </w:r>
    </w:p>
    <w:p w:rsidR="0010011A" w:rsidRPr="00242020" w:rsidRDefault="0010011A" w:rsidP="0010011A">
      <w:pPr>
        <w:jc w:val="right"/>
        <w:rPr>
          <w:b/>
          <w:sz w:val="24"/>
          <w:szCs w:val="24"/>
        </w:rPr>
      </w:pPr>
      <w:r w:rsidRPr="00242020">
        <w:rPr>
          <w:b/>
          <w:sz w:val="24"/>
          <w:szCs w:val="24"/>
        </w:rPr>
        <w:t>Таблиця 4.2.</w:t>
      </w:r>
    </w:p>
    <w:p w:rsidR="0010011A" w:rsidRPr="00242020" w:rsidRDefault="0010011A" w:rsidP="0010011A">
      <w:pPr>
        <w:pStyle w:val="af9"/>
        <w:rPr>
          <w:sz w:val="28"/>
          <w:szCs w:val="28"/>
        </w:rPr>
      </w:pPr>
      <w:r w:rsidRPr="00242020">
        <w:rPr>
          <w:sz w:val="28"/>
          <w:szCs w:val="28"/>
        </w:rPr>
        <w:t xml:space="preserve">Аналіз результатів рецензування звітів про оцінку майна </w:t>
      </w: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19"/>
        <w:gridCol w:w="4971"/>
        <w:gridCol w:w="889"/>
        <w:gridCol w:w="902"/>
        <w:gridCol w:w="1228"/>
        <w:gridCol w:w="1282"/>
      </w:tblGrid>
      <w:tr w:rsidR="0010011A" w:rsidRPr="00242020" w:rsidTr="006F4201">
        <w:trPr>
          <w:trHeight w:val="868"/>
          <w:jc w:val="center"/>
        </w:trPr>
        <w:tc>
          <w:tcPr>
            <w:tcW w:w="0" w:type="auto"/>
            <w:vAlign w:val="center"/>
          </w:tcPr>
          <w:p w:rsidR="0010011A" w:rsidRPr="00242020" w:rsidRDefault="0010011A" w:rsidP="0010011A">
            <w:pPr>
              <w:ind w:firstLine="0"/>
              <w:jc w:val="center"/>
              <w:rPr>
                <w:b/>
                <w:sz w:val="24"/>
                <w:szCs w:val="24"/>
              </w:rPr>
            </w:pPr>
            <w:r w:rsidRPr="00242020">
              <w:rPr>
                <w:b/>
                <w:sz w:val="24"/>
                <w:szCs w:val="24"/>
              </w:rPr>
              <w:t>№</w:t>
            </w:r>
          </w:p>
          <w:p w:rsidR="0010011A" w:rsidRPr="00242020" w:rsidRDefault="0010011A" w:rsidP="0010011A">
            <w:pPr>
              <w:ind w:firstLine="0"/>
              <w:jc w:val="center"/>
              <w:rPr>
                <w:b/>
                <w:sz w:val="24"/>
                <w:szCs w:val="24"/>
              </w:rPr>
            </w:pPr>
            <w:r w:rsidRPr="00242020">
              <w:rPr>
                <w:b/>
                <w:sz w:val="24"/>
                <w:szCs w:val="24"/>
              </w:rPr>
              <w:t>з/п</w:t>
            </w:r>
          </w:p>
        </w:tc>
        <w:tc>
          <w:tcPr>
            <w:tcW w:w="4971" w:type="dxa"/>
            <w:vAlign w:val="center"/>
          </w:tcPr>
          <w:p w:rsidR="0010011A" w:rsidRPr="00242020" w:rsidRDefault="0010011A" w:rsidP="0010011A">
            <w:pPr>
              <w:ind w:firstLine="0"/>
              <w:jc w:val="center"/>
              <w:rPr>
                <w:b/>
                <w:sz w:val="24"/>
                <w:szCs w:val="24"/>
              </w:rPr>
            </w:pPr>
            <w:r w:rsidRPr="00242020">
              <w:rPr>
                <w:b/>
                <w:sz w:val="24"/>
                <w:szCs w:val="24"/>
              </w:rPr>
              <w:t>Показник</w:t>
            </w:r>
          </w:p>
        </w:tc>
        <w:tc>
          <w:tcPr>
            <w:tcW w:w="889" w:type="dxa"/>
            <w:vAlign w:val="center"/>
          </w:tcPr>
          <w:p w:rsidR="0010011A" w:rsidRPr="00242020" w:rsidRDefault="0010011A" w:rsidP="0010011A">
            <w:pPr>
              <w:ind w:left="-65" w:right="-74" w:firstLine="0"/>
              <w:jc w:val="center"/>
              <w:rPr>
                <w:b/>
                <w:sz w:val="22"/>
              </w:rPr>
            </w:pPr>
            <w:r w:rsidRPr="00242020">
              <w:rPr>
                <w:b/>
                <w:sz w:val="22"/>
              </w:rPr>
              <w:t>2015</w:t>
            </w:r>
          </w:p>
          <w:p w:rsidR="0010011A" w:rsidRPr="00242020" w:rsidRDefault="0010011A" w:rsidP="0010011A">
            <w:pPr>
              <w:ind w:left="-65" w:right="-74" w:firstLine="0"/>
              <w:jc w:val="center"/>
              <w:rPr>
                <w:b/>
                <w:sz w:val="22"/>
              </w:rPr>
            </w:pPr>
            <w:r w:rsidRPr="00242020">
              <w:rPr>
                <w:b/>
                <w:sz w:val="22"/>
              </w:rPr>
              <w:t>рік</w:t>
            </w:r>
          </w:p>
        </w:tc>
        <w:tc>
          <w:tcPr>
            <w:tcW w:w="902" w:type="dxa"/>
            <w:vAlign w:val="center"/>
          </w:tcPr>
          <w:p w:rsidR="0010011A" w:rsidRPr="00242020" w:rsidRDefault="0010011A" w:rsidP="0010011A">
            <w:pPr>
              <w:ind w:left="-65" w:right="-74" w:firstLine="0"/>
              <w:jc w:val="center"/>
              <w:rPr>
                <w:b/>
                <w:sz w:val="22"/>
              </w:rPr>
            </w:pPr>
            <w:r w:rsidRPr="00242020">
              <w:rPr>
                <w:b/>
                <w:sz w:val="22"/>
              </w:rPr>
              <w:t>2016</w:t>
            </w:r>
          </w:p>
          <w:p w:rsidR="0010011A" w:rsidRPr="00242020" w:rsidRDefault="0010011A" w:rsidP="0010011A">
            <w:pPr>
              <w:ind w:left="-65" w:right="-74" w:firstLine="0"/>
              <w:jc w:val="center"/>
              <w:rPr>
                <w:b/>
                <w:sz w:val="22"/>
              </w:rPr>
            </w:pPr>
            <w:r w:rsidRPr="00242020">
              <w:rPr>
                <w:b/>
                <w:sz w:val="22"/>
              </w:rPr>
              <w:t>рік</w:t>
            </w:r>
          </w:p>
        </w:tc>
        <w:tc>
          <w:tcPr>
            <w:tcW w:w="1228" w:type="dxa"/>
            <w:vAlign w:val="center"/>
          </w:tcPr>
          <w:p w:rsidR="0010011A" w:rsidRPr="00242020" w:rsidRDefault="0010011A" w:rsidP="0010011A">
            <w:pPr>
              <w:ind w:left="-65" w:right="-74" w:firstLine="0"/>
              <w:jc w:val="center"/>
              <w:rPr>
                <w:b/>
                <w:sz w:val="22"/>
              </w:rPr>
            </w:pPr>
            <w:r w:rsidRPr="00242020">
              <w:rPr>
                <w:b/>
                <w:sz w:val="22"/>
              </w:rPr>
              <w:t>Відсоток (2016 р.</w:t>
            </w:r>
          </w:p>
          <w:p w:rsidR="0010011A" w:rsidRPr="00242020" w:rsidRDefault="0010011A" w:rsidP="0010011A">
            <w:pPr>
              <w:ind w:left="-65" w:right="-74" w:firstLine="0"/>
              <w:jc w:val="center"/>
              <w:rPr>
                <w:b/>
                <w:sz w:val="22"/>
              </w:rPr>
            </w:pPr>
            <w:r w:rsidRPr="00242020">
              <w:rPr>
                <w:b/>
                <w:sz w:val="22"/>
              </w:rPr>
              <w:t>до 2015 р.)</w:t>
            </w:r>
          </w:p>
        </w:tc>
        <w:tc>
          <w:tcPr>
            <w:tcW w:w="1282" w:type="dxa"/>
            <w:vAlign w:val="center"/>
          </w:tcPr>
          <w:p w:rsidR="0010011A" w:rsidRPr="00242020" w:rsidRDefault="0010011A" w:rsidP="0010011A">
            <w:pPr>
              <w:ind w:left="-65" w:right="-74" w:firstLine="0"/>
              <w:jc w:val="center"/>
              <w:rPr>
                <w:b/>
                <w:sz w:val="22"/>
              </w:rPr>
            </w:pPr>
            <w:r w:rsidRPr="00242020">
              <w:rPr>
                <w:b/>
                <w:sz w:val="22"/>
              </w:rPr>
              <w:t>Відхилення, %</w:t>
            </w:r>
          </w:p>
        </w:tc>
      </w:tr>
      <w:tr w:rsidR="006F4201" w:rsidRPr="00242020" w:rsidTr="006F4201">
        <w:trPr>
          <w:trHeight w:val="257"/>
          <w:jc w:val="center"/>
        </w:trPr>
        <w:tc>
          <w:tcPr>
            <w:tcW w:w="0" w:type="auto"/>
            <w:vAlign w:val="center"/>
          </w:tcPr>
          <w:p w:rsidR="006F4201" w:rsidRPr="00242020" w:rsidRDefault="006F4201" w:rsidP="006F4201">
            <w:pPr>
              <w:ind w:firstLine="0"/>
              <w:jc w:val="center"/>
              <w:rPr>
                <w:b/>
                <w:sz w:val="22"/>
              </w:rPr>
            </w:pPr>
            <w:r w:rsidRPr="00242020">
              <w:rPr>
                <w:b/>
                <w:sz w:val="22"/>
              </w:rPr>
              <w:t>1</w:t>
            </w:r>
          </w:p>
        </w:tc>
        <w:tc>
          <w:tcPr>
            <w:tcW w:w="4971" w:type="dxa"/>
            <w:vAlign w:val="center"/>
          </w:tcPr>
          <w:p w:rsidR="006F4201" w:rsidRPr="00242020" w:rsidRDefault="006F4201" w:rsidP="006F4201">
            <w:pPr>
              <w:ind w:firstLine="0"/>
              <w:jc w:val="center"/>
              <w:rPr>
                <w:b/>
                <w:sz w:val="22"/>
              </w:rPr>
            </w:pPr>
            <w:r w:rsidRPr="00242020">
              <w:rPr>
                <w:b/>
                <w:sz w:val="22"/>
              </w:rPr>
              <w:t>2</w:t>
            </w:r>
          </w:p>
        </w:tc>
        <w:tc>
          <w:tcPr>
            <w:tcW w:w="889" w:type="dxa"/>
            <w:vAlign w:val="center"/>
          </w:tcPr>
          <w:p w:rsidR="006F4201" w:rsidRPr="00242020" w:rsidRDefault="006F4201" w:rsidP="006F4201">
            <w:pPr>
              <w:ind w:left="-43" w:right="-53" w:firstLine="0"/>
              <w:jc w:val="center"/>
              <w:rPr>
                <w:b/>
                <w:sz w:val="22"/>
              </w:rPr>
            </w:pPr>
            <w:r w:rsidRPr="00242020">
              <w:rPr>
                <w:b/>
                <w:sz w:val="22"/>
              </w:rPr>
              <w:t>3</w:t>
            </w:r>
          </w:p>
        </w:tc>
        <w:tc>
          <w:tcPr>
            <w:tcW w:w="902" w:type="dxa"/>
            <w:vAlign w:val="center"/>
          </w:tcPr>
          <w:p w:rsidR="006F4201" w:rsidRPr="00242020" w:rsidRDefault="006F4201" w:rsidP="006F4201">
            <w:pPr>
              <w:ind w:left="-43" w:right="-53" w:firstLine="0"/>
              <w:jc w:val="center"/>
              <w:rPr>
                <w:b/>
                <w:sz w:val="22"/>
              </w:rPr>
            </w:pPr>
            <w:r w:rsidRPr="00242020">
              <w:rPr>
                <w:b/>
                <w:sz w:val="22"/>
              </w:rPr>
              <w:t>4</w:t>
            </w:r>
          </w:p>
        </w:tc>
        <w:tc>
          <w:tcPr>
            <w:tcW w:w="1228" w:type="dxa"/>
            <w:vAlign w:val="center"/>
          </w:tcPr>
          <w:p w:rsidR="006F4201" w:rsidRPr="00242020" w:rsidRDefault="006F4201" w:rsidP="006F4201">
            <w:pPr>
              <w:ind w:left="-43" w:right="-53" w:firstLine="0"/>
              <w:jc w:val="center"/>
              <w:rPr>
                <w:b/>
                <w:sz w:val="22"/>
              </w:rPr>
            </w:pPr>
            <w:r w:rsidRPr="00242020">
              <w:rPr>
                <w:b/>
                <w:sz w:val="22"/>
              </w:rPr>
              <w:t>5</w:t>
            </w:r>
          </w:p>
        </w:tc>
        <w:tc>
          <w:tcPr>
            <w:tcW w:w="1282" w:type="dxa"/>
            <w:vAlign w:val="center"/>
          </w:tcPr>
          <w:p w:rsidR="006F4201" w:rsidRPr="00242020" w:rsidRDefault="006F4201" w:rsidP="006F4201">
            <w:pPr>
              <w:ind w:left="-43" w:right="-53" w:firstLine="0"/>
              <w:jc w:val="center"/>
              <w:rPr>
                <w:b/>
                <w:sz w:val="22"/>
              </w:rPr>
            </w:pPr>
            <w:r w:rsidRPr="00242020">
              <w:rPr>
                <w:b/>
                <w:sz w:val="22"/>
              </w:rPr>
              <w:t>6</w:t>
            </w:r>
          </w:p>
        </w:tc>
      </w:tr>
      <w:tr w:rsidR="0010011A" w:rsidRPr="00242020" w:rsidTr="0010011A">
        <w:trPr>
          <w:trHeight w:val="448"/>
          <w:jc w:val="center"/>
        </w:trPr>
        <w:tc>
          <w:tcPr>
            <w:tcW w:w="0" w:type="auto"/>
            <w:vAlign w:val="center"/>
          </w:tcPr>
          <w:p w:rsidR="0010011A" w:rsidRPr="00242020" w:rsidRDefault="0010011A" w:rsidP="0010011A">
            <w:pPr>
              <w:ind w:firstLine="0"/>
              <w:jc w:val="center"/>
              <w:rPr>
                <w:sz w:val="26"/>
                <w:szCs w:val="26"/>
              </w:rPr>
            </w:pPr>
            <w:r w:rsidRPr="00242020">
              <w:rPr>
                <w:sz w:val="26"/>
                <w:szCs w:val="26"/>
              </w:rPr>
              <w:t>1</w:t>
            </w:r>
          </w:p>
        </w:tc>
        <w:tc>
          <w:tcPr>
            <w:tcW w:w="4971" w:type="dxa"/>
            <w:vAlign w:val="center"/>
          </w:tcPr>
          <w:p w:rsidR="0010011A" w:rsidRPr="00242020" w:rsidRDefault="0010011A" w:rsidP="0010011A">
            <w:pPr>
              <w:ind w:firstLine="0"/>
              <w:rPr>
                <w:sz w:val="26"/>
                <w:szCs w:val="26"/>
              </w:rPr>
            </w:pPr>
            <w:r w:rsidRPr="00242020">
              <w:rPr>
                <w:sz w:val="26"/>
                <w:szCs w:val="26"/>
              </w:rPr>
              <w:t>Чисельність суб’єктів оціночної діяльності, що працювали на ринку оцінки державного та комунального майна</w:t>
            </w:r>
          </w:p>
        </w:tc>
        <w:tc>
          <w:tcPr>
            <w:tcW w:w="889" w:type="dxa"/>
            <w:vAlign w:val="center"/>
          </w:tcPr>
          <w:p w:rsidR="0010011A" w:rsidRPr="00242020" w:rsidRDefault="0010011A" w:rsidP="0010011A">
            <w:pPr>
              <w:ind w:left="-43" w:right="-53" w:firstLine="0"/>
              <w:jc w:val="center"/>
              <w:rPr>
                <w:sz w:val="26"/>
                <w:szCs w:val="26"/>
              </w:rPr>
            </w:pPr>
            <w:r w:rsidRPr="00242020">
              <w:rPr>
                <w:sz w:val="26"/>
                <w:szCs w:val="26"/>
              </w:rPr>
              <w:t>671</w:t>
            </w:r>
          </w:p>
        </w:tc>
        <w:tc>
          <w:tcPr>
            <w:tcW w:w="902" w:type="dxa"/>
            <w:vAlign w:val="center"/>
          </w:tcPr>
          <w:p w:rsidR="0010011A" w:rsidRPr="00242020" w:rsidRDefault="0010011A" w:rsidP="0010011A">
            <w:pPr>
              <w:ind w:left="-43" w:right="-53" w:firstLine="0"/>
              <w:jc w:val="center"/>
              <w:rPr>
                <w:sz w:val="26"/>
                <w:szCs w:val="26"/>
              </w:rPr>
            </w:pPr>
            <w:r w:rsidRPr="00242020">
              <w:rPr>
                <w:sz w:val="26"/>
                <w:szCs w:val="26"/>
              </w:rPr>
              <w:t>619</w:t>
            </w:r>
          </w:p>
        </w:tc>
        <w:tc>
          <w:tcPr>
            <w:tcW w:w="1228" w:type="dxa"/>
            <w:vAlign w:val="center"/>
          </w:tcPr>
          <w:p w:rsidR="0010011A" w:rsidRPr="00242020" w:rsidRDefault="0010011A" w:rsidP="0010011A">
            <w:pPr>
              <w:ind w:left="-43" w:right="-53" w:firstLine="0"/>
              <w:jc w:val="center"/>
              <w:rPr>
                <w:sz w:val="26"/>
                <w:szCs w:val="26"/>
              </w:rPr>
            </w:pPr>
            <w:r w:rsidRPr="00242020">
              <w:rPr>
                <w:sz w:val="26"/>
                <w:szCs w:val="26"/>
              </w:rPr>
              <w:t>92,25</w:t>
            </w:r>
          </w:p>
        </w:tc>
        <w:tc>
          <w:tcPr>
            <w:tcW w:w="1282" w:type="dxa"/>
            <w:vAlign w:val="center"/>
          </w:tcPr>
          <w:p w:rsidR="0010011A" w:rsidRPr="00242020" w:rsidRDefault="0010011A" w:rsidP="0010011A">
            <w:pPr>
              <w:ind w:left="-43" w:right="-53" w:firstLine="0"/>
              <w:jc w:val="center"/>
              <w:rPr>
                <w:sz w:val="26"/>
                <w:szCs w:val="26"/>
              </w:rPr>
            </w:pPr>
            <w:r w:rsidRPr="00242020">
              <w:rPr>
                <w:sz w:val="26"/>
                <w:szCs w:val="26"/>
              </w:rPr>
              <w:t>- 7,75</w:t>
            </w:r>
          </w:p>
        </w:tc>
      </w:tr>
      <w:tr w:rsidR="0010011A" w:rsidRPr="00242020" w:rsidTr="0010011A">
        <w:trPr>
          <w:trHeight w:val="448"/>
          <w:jc w:val="center"/>
        </w:trPr>
        <w:tc>
          <w:tcPr>
            <w:tcW w:w="0" w:type="auto"/>
            <w:vAlign w:val="center"/>
          </w:tcPr>
          <w:p w:rsidR="0010011A" w:rsidRPr="00242020" w:rsidRDefault="0010011A" w:rsidP="0010011A">
            <w:pPr>
              <w:ind w:firstLine="0"/>
              <w:jc w:val="center"/>
              <w:rPr>
                <w:sz w:val="26"/>
                <w:szCs w:val="26"/>
              </w:rPr>
            </w:pPr>
            <w:r w:rsidRPr="00242020">
              <w:rPr>
                <w:sz w:val="26"/>
                <w:szCs w:val="26"/>
              </w:rPr>
              <w:t>2</w:t>
            </w:r>
          </w:p>
        </w:tc>
        <w:tc>
          <w:tcPr>
            <w:tcW w:w="4971" w:type="dxa"/>
            <w:vAlign w:val="center"/>
          </w:tcPr>
          <w:p w:rsidR="0010011A" w:rsidRPr="00242020" w:rsidRDefault="0010011A" w:rsidP="0010011A">
            <w:pPr>
              <w:ind w:firstLine="0"/>
              <w:rPr>
                <w:sz w:val="26"/>
                <w:szCs w:val="26"/>
              </w:rPr>
            </w:pPr>
            <w:r w:rsidRPr="00242020">
              <w:rPr>
                <w:sz w:val="26"/>
                <w:szCs w:val="26"/>
              </w:rPr>
              <w:t>Кількість прорецензованих звітів про оцінку майна</w:t>
            </w:r>
          </w:p>
        </w:tc>
        <w:tc>
          <w:tcPr>
            <w:tcW w:w="889" w:type="dxa"/>
            <w:vAlign w:val="center"/>
          </w:tcPr>
          <w:p w:rsidR="0010011A" w:rsidRPr="00242020" w:rsidRDefault="0010011A" w:rsidP="0010011A">
            <w:pPr>
              <w:ind w:left="-43" w:right="-53" w:firstLine="0"/>
              <w:jc w:val="center"/>
              <w:rPr>
                <w:sz w:val="26"/>
                <w:szCs w:val="26"/>
              </w:rPr>
            </w:pPr>
            <w:r w:rsidRPr="00242020">
              <w:rPr>
                <w:sz w:val="26"/>
                <w:szCs w:val="26"/>
              </w:rPr>
              <w:t>7 373</w:t>
            </w:r>
          </w:p>
        </w:tc>
        <w:tc>
          <w:tcPr>
            <w:tcW w:w="902" w:type="dxa"/>
            <w:vAlign w:val="center"/>
          </w:tcPr>
          <w:p w:rsidR="0010011A" w:rsidRPr="00242020" w:rsidRDefault="0010011A" w:rsidP="0010011A">
            <w:pPr>
              <w:ind w:left="-43" w:right="-53" w:firstLine="0"/>
              <w:jc w:val="center"/>
              <w:rPr>
                <w:sz w:val="26"/>
                <w:szCs w:val="26"/>
              </w:rPr>
            </w:pPr>
            <w:r w:rsidRPr="00242020">
              <w:rPr>
                <w:sz w:val="26"/>
                <w:szCs w:val="26"/>
              </w:rPr>
              <w:t>7 595</w:t>
            </w:r>
          </w:p>
        </w:tc>
        <w:tc>
          <w:tcPr>
            <w:tcW w:w="1228" w:type="dxa"/>
            <w:vAlign w:val="center"/>
          </w:tcPr>
          <w:p w:rsidR="0010011A" w:rsidRPr="00242020" w:rsidRDefault="0010011A" w:rsidP="0010011A">
            <w:pPr>
              <w:ind w:left="-43" w:right="-53" w:firstLine="0"/>
              <w:jc w:val="center"/>
              <w:rPr>
                <w:sz w:val="26"/>
                <w:szCs w:val="26"/>
              </w:rPr>
            </w:pPr>
            <w:r w:rsidRPr="00242020">
              <w:rPr>
                <w:sz w:val="26"/>
                <w:szCs w:val="26"/>
              </w:rPr>
              <w:t>103,01</w:t>
            </w:r>
          </w:p>
        </w:tc>
        <w:tc>
          <w:tcPr>
            <w:tcW w:w="1282" w:type="dxa"/>
            <w:vAlign w:val="center"/>
          </w:tcPr>
          <w:p w:rsidR="0010011A" w:rsidRPr="00242020" w:rsidRDefault="0010011A" w:rsidP="0010011A">
            <w:pPr>
              <w:ind w:left="-43" w:right="-53" w:firstLine="0"/>
              <w:jc w:val="center"/>
              <w:rPr>
                <w:sz w:val="26"/>
                <w:szCs w:val="26"/>
              </w:rPr>
            </w:pPr>
            <w:r w:rsidRPr="00242020">
              <w:rPr>
                <w:sz w:val="26"/>
                <w:szCs w:val="26"/>
              </w:rPr>
              <w:t>3,01</w:t>
            </w:r>
          </w:p>
        </w:tc>
      </w:tr>
      <w:tr w:rsidR="0010011A" w:rsidRPr="00242020" w:rsidTr="0010011A">
        <w:trPr>
          <w:trHeight w:val="448"/>
          <w:jc w:val="center"/>
        </w:trPr>
        <w:tc>
          <w:tcPr>
            <w:tcW w:w="0" w:type="auto"/>
            <w:vAlign w:val="center"/>
          </w:tcPr>
          <w:p w:rsidR="0010011A" w:rsidRPr="00242020" w:rsidRDefault="0010011A" w:rsidP="0010011A">
            <w:pPr>
              <w:ind w:firstLine="0"/>
              <w:jc w:val="center"/>
              <w:rPr>
                <w:sz w:val="26"/>
                <w:szCs w:val="26"/>
              </w:rPr>
            </w:pPr>
          </w:p>
        </w:tc>
        <w:tc>
          <w:tcPr>
            <w:tcW w:w="4971" w:type="dxa"/>
            <w:vAlign w:val="center"/>
          </w:tcPr>
          <w:p w:rsidR="0010011A" w:rsidRPr="00242020" w:rsidRDefault="0010011A" w:rsidP="0010011A">
            <w:pPr>
              <w:ind w:firstLine="0"/>
              <w:rPr>
                <w:sz w:val="26"/>
                <w:szCs w:val="26"/>
              </w:rPr>
            </w:pPr>
            <w:r w:rsidRPr="00242020">
              <w:rPr>
                <w:sz w:val="26"/>
                <w:szCs w:val="26"/>
              </w:rPr>
              <w:t>З них класифіковано на відповідність вимогам нормативно-правових актів з оцінки майна:</w:t>
            </w:r>
          </w:p>
          <w:p w:rsidR="0010011A" w:rsidRPr="00242020" w:rsidRDefault="0010011A" w:rsidP="0010011A">
            <w:pPr>
              <w:ind w:firstLine="0"/>
              <w:rPr>
                <w:sz w:val="26"/>
                <w:szCs w:val="26"/>
              </w:rPr>
            </w:pPr>
            <w:r w:rsidRPr="00242020">
              <w:rPr>
                <w:sz w:val="26"/>
                <w:szCs w:val="26"/>
              </w:rPr>
              <w:t>- звіти, що повністю відповідають таким вимогам</w:t>
            </w:r>
          </w:p>
        </w:tc>
        <w:tc>
          <w:tcPr>
            <w:tcW w:w="889" w:type="dxa"/>
            <w:vAlign w:val="center"/>
          </w:tcPr>
          <w:p w:rsidR="0010011A" w:rsidRPr="00242020" w:rsidRDefault="0010011A" w:rsidP="0010011A">
            <w:pPr>
              <w:ind w:left="-43" w:right="-53" w:firstLine="0"/>
              <w:jc w:val="center"/>
              <w:rPr>
                <w:sz w:val="26"/>
                <w:szCs w:val="26"/>
              </w:rPr>
            </w:pPr>
            <w:r w:rsidRPr="00242020">
              <w:rPr>
                <w:sz w:val="26"/>
                <w:szCs w:val="26"/>
              </w:rPr>
              <w:t>108</w:t>
            </w:r>
          </w:p>
        </w:tc>
        <w:tc>
          <w:tcPr>
            <w:tcW w:w="902" w:type="dxa"/>
            <w:vAlign w:val="center"/>
          </w:tcPr>
          <w:p w:rsidR="0010011A" w:rsidRPr="00242020" w:rsidRDefault="0010011A" w:rsidP="0010011A">
            <w:pPr>
              <w:ind w:left="-43" w:right="-53" w:firstLine="0"/>
              <w:jc w:val="center"/>
              <w:rPr>
                <w:sz w:val="26"/>
                <w:szCs w:val="26"/>
              </w:rPr>
            </w:pPr>
            <w:r w:rsidRPr="00242020">
              <w:rPr>
                <w:sz w:val="26"/>
                <w:szCs w:val="26"/>
              </w:rPr>
              <w:t>96</w:t>
            </w:r>
          </w:p>
        </w:tc>
        <w:tc>
          <w:tcPr>
            <w:tcW w:w="1228" w:type="dxa"/>
            <w:vAlign w:val="center"/>
          </w:tcPr>
          <w:p w:rsidR="0010011A" w:rsidRPr="00242020" w:rsidRDefault="0010011A" w:rsidP="0010011A">
            <w:pPr>
              <w:ind w:left="-43" w:right="-53" w:firstLine="0"/>
              <w:jc w:val="center"/>
              <w:rPr>
                <w:sz w:val="26"/>
                <w:szCs w:val="26"/>
              </w:rPr>
            </w:pPr>
            <w:r w:rsidRPr="00242020">
              <w:rPr>
                <w:sz w:val="26"/>
                <w:szCs w:val="26"/>
              </w:rPr>
              <w:t>88,89</w:t>
            </w:r>
          </w:p>
        </w:tc>
        <w:tc>
          <w:tcPr>
            <w:tcW w:w="1282" w:type="dxa"/>
            <w:vAlign w:val="center"/>
          </w:tcPr>
          <w:p w:rsidR="0010011A" w:rsidRPr="00242020" w:rsidRDefault="0010011A" w:rsidP="0010011A">
            <w:pPr>
              <w:ind w:left="-43" w:right="-53" w:firstLine="0"/>
              <w:jc w:val="center"/>
              <w:rPr>
                <w:sz w:val="26"/>
                <w:szCs w:val="26"/>
              </w:rPr>
            </w:pPr>
            <w:r w:rsidRPr="00242020">
              <w:rPr>
                <w:sz w:val="26"/>
                <w:szCs w:val="26"/>
              </w:rPr>
              <w:t>- 11,11</w:t>
            </w:r>
          </w:p>
        </w:tc>
      </w:tr>
      <w:tr w:rsidR="0010011A" w:rsidRPr="00242020" w:rsidTr="0010011A">
        <w:trPr>
          <w:trHeight w:val="448"/>
          <w:jc w:val="center"/>
        </w:trPr>
        <w:tc>
          <w:tcPr>
            <w:tcW w:w="0" w:type="auto"/>
            <w:vAlign w:val="center"/>
          </w:tcPr>
          <w:p w:rsidR="0010011A" w:rsidRPr="00242020" w:rsidRDefault="0010011A" w:rsidP="0010011A">
            <w:pPr>
              <w:ind w:firstLine="0"/>
              <w:jc w:val="center"/>
              <w:rPr>
                <w:sz w:val="26"/>
                <w:szCs w:val="26"/>
              </w:rPr>
            </w:pPr>
          </w:p>
        </w:tc>
        <w:tc>
          <w:tcPr>
            <w:tcW w:w="4971" w:type="dxa"/>
            <w:vAlign w:val="center"/>
          </w:tcPr>
          <w:p w:rsidR="0010011A" w:rsidRPr="00242020" w:rsidRDefault="0010011A" w:rsidP="0010011A">
            <w:pPr>
              <w:ind w:firstLine="0"/>
              <w:rPr>
                <w:sz w:val="26"/>
                <w:szCs w:val="26"/>
              </w:rPr>
            </w:pPr>
            <w:r w:rsidRPr="00242020">
              <w:rPr>
                <w:sz w:val="26"/>
                <w:szCs w:val="26"/>
              </w:rPr>
              <w:t>- звіти, що в цілому відповідають таким вимогам</w:t>
            </w:r>
          </w:p>
        </w:tc>
        <w:tc>
          <w:tcPr>
            <w:tcW w:w="889" w:type="dxa"/>
            <w:vAlign w:val="center"/>
          </w:tcPr>
          <w:p w:rsidR="0010011A" w:rsidRPr="00242020" w:rsidRDefault="0010011A" w:rsidP="0010011A">
            <w:pPr>
              <w:ind w:left="-43" w:right="-53" w:firstLine="0"/>
              <w:jc w:val="center"/>
              <w:rPr>
                <w:sz w:val="26"/>
                <w:szCs w:val="26"/>
              </w:rPr>
            </w:pPr>
            <w:r w:rsidRPr="00242020">
              <w:rPr>
                <w:sz w:val="26"/>
                <w:szCs w:val="26"/>
              </w:rPr>
              <w:t>6 749</w:t>
            </w:r>
          </w:p>
        </w:tc>
        <w:tc>
          <w:tcPr>
            <w:tcW w:w="902" w:type="dxa"/>
            <w:vAlign w:val="center"/>
          </w:tcPr>
          <w:p w:rsidR="0010011A" w:rsidRPr="00242020" w:rsidRDefault="0010011A" w:rsidP="0010011A">
            <w:pPr>
              <w:ind w:left="-43" w:right="-53" w:firstLine="0"/>
              <w:jc w:val="center"/>
              <w:rPr>
                <w:sz w:val="26"/>
                <w:szCs w:val="26"/>
              </w:rPr>
            </w:pPr>
            <w:r w:rsidRPr="00242020">
              <w:rPr>
                <w:sz w:val="26"/>
                <w:szCs w:val="26"/>
              </w:rPr>
              <w:t>6 804</w:t>
            </w:r>
          </w:p>
        </w:tc>
        <w:tc>
          <w:tcPr>
            <w:tcW w:w="1228" w:type="dxa"/>
            <w:vAlign w:val="center"/>
          </w:tcPr>
          <w:p w:rsidR="0010011A" w:rsidRPr="00242020" w:rsidRDefault="0010011A" w:rsidP="0010011A">
            <w:pPr>
              <w:ind w:left="-43" w:right="-53" w:firstLine="0"/>
              <w:jc w:val="center"/>
              <w:rPr>
                <w:sz w:val="26"/>
                <w:szCs w:val="26"/>
              </w:rPr>
            </w:pPr>
            <w:r w:rsidRPr="00242020">
              <w:rPr>
                <w:sz w:val="26"/>
                <w:szCs w:val="26"/>
              </w:rPr>
              <w:t>100,81</w:t>
            </w:r>
          </w:p>
        </w:tc>
        <w:tc>
          <w:tcPr>
            <w:tcW w:w="1282" w:type="dxa"/>
            <w:vAlign w:val="center"/>
          </w:tcPr>
          <w:p w:rsidR="0010011A" w:rsidRPr="00242020" w:rsidRDefault="0010011A" w:rsidP="0010011A">
            <w:pPr>
              <w:ind w:left="-43" w:right="-53" w:firstLine="0"/>
              <w:jc w:val="center"/>
              <w:rPr>
                <w:sz w:val="26"/>
                <w:szCs w:val="26"/>
              </w:rPr>
            </w:pPr>
            <w:r w:rsidRPr="00242020">
              <w:rPr>
                <w:sz w:val="26"/>
                <w:szCs w:val="26"/>
              </w:rPr>
              <w:t>0,81</w:t>
            </w:r>
          </w:p>
        </w:tc>
      </w:tr>
      <w:tr w:rsidR="0010011A" w:rsidRPr="00242020" w:rsidTr="0010011A">
        <w:trPr>
          <w:trHeight w:val="448"/>
          <w:jc w:val="center"/>
        </w:trPr>
        <w:tc>
          <w:tcPr>
            <w:tcW w:w="0" w:type="auto"/>
            <w:vAlign w:val="center"/>
          </w:tcPr>
          <w:p w:rsidR="0010011A" w:rsidRPr="00242020" w:rsidRDefault="0010011A" w:rsidP="0010011A">
            <w:pPr>
              <w:ind w:firstLine="0"/>
              <w:jc w:val="center"/>
              <w:rPr>
                <w:sz w:val="26"/>
                <w:szCs w:val="26"/>
              </w:rPr>
            </w:pPr>
          </w:p>
        </w:tc>
        <w:tc>
          <w:tcPr>
            <w:tcW w:w="4971" w:type="dxa"/>
            <w:vAlign w:val="center"/>
          </w:tcPr>
          <w:p w:rsidR="0010011A" w:rsidRPr="00242020" w:rsidRDefault="0010011A" w:rsidP="0010011A">
            <w:pPr>
              <w:ind w:firstLine="0"/>
              <w:rPr>
                <w:sz w:val="26"/>
                <w:szCs w:val="26"/>
              </w:rPr>
            </w:pPr>
            <w:r w:rsidRPr="00242020">
              <w:rPr>
                <w:sz w:val="26"/>
                <w:szCs w:val="26"/>
              </w:rPr>
              <w:t>- звіти, що не повною мірою відповідають таким вимогам</w:t>
            </w:r>
          </w:p>
        </w:tc>
        <w:tc>
          <w:tcPr>
            <w:tcW w:w="889" w:type="dxa"/>
            <w:vAlign w:val="center"/>
          </w:tcPr>
          <w:p w:rsidR="0010011A" w:rsidRPr="00242020" w:rsidRDefault="0010011A" w:rsidP="0010011A">
            <w:pPr>
              <w:ind w:left="-43" w:right="-53" w:firstLine="0"/>
              <w:jc w:val="center"/>
              <w:rPr>
                <w:sz w:val="26"/>
                <w:szCs w:val="26"/>
              </w:rPr>
            </w:pPr>
            <w:r w:rsidRPr="00242020">
              <w:rPr>
                <w:sz w:val="26"/>
                <w:szCs w:val="26"/>
              </w:rPr>
              <w:t>408</w:t>
            </w:r>
          </w:p>
        </w:tc>
        <w:tc>
          <w:tcPr>
            <w:tcW w:w="902" w:type="dxa"/>
            <w:vAlign w:val="center"/>
          </w:tcPr>
          <w:p w:rsidR="0010011A" w:rsidRPr="00242020" w:rsidRDefault="0010011A" w:rsidP="0010011A">
            <w:pPr>
              <w:ind w:left="-43" w:right="-53" w:firstLine="0"/>
              <w:jc w:val="center"/>
              <w:rPr>
                <w:sz w:val="26"/>
                <w:szCs w:val="26"/>
              </w:rPr>
            </w:pPr>
            <w:r w:rsidRPr="00242020">
              <w:rPr>
                <w:sz w:val="26"/>
                <w:szCs w:val="26"/>
              </w:rPr>
              <w:t>617</w:t>
            </w:r>
          </w:p>
        </w:tc>
        <w:tc>
          <w:tcPr>
            <w:tcW w:w="1228" w:type="dxa"/>
            <w:vAlign w:val="center"/>
          </w:tcPr>
          <w:p w:rsidR="0010011A" w:rsidRPr="00242020" w:rsidRDefault="0010011A" w:rsidP="0010011A">
            <w:pPr>
              <w:ind w:left="-43" w:right="-53" w:firstLine="0"/>
              <w:jc w:val="center"/>
              <w:rPr>
                <w:sz w:val="26"/>
                <w:szCs w:val="26"/>
              </w:rPr>
            </w:pPr>
            <w:r w:rsidRPr="00242020">
              <w:rPr>
                <w:sz w:val="26"/>
                <w:szCs w:val="26"/>
              </w:rPr>
              <w:t>151,23</w:t>
            </w:r>
          </w:p>
        </w:tc>
        <w:tc>
          <w:tcPr>
            <w:tcW w:w="1282" w:type="dxa"/>
            <w:vAlign w:val="center"/>
          </w:tcPr>
          <w:p w:rsidR="0010011A" w:rsidRPr="00242020" w:rsidRDefault="0010011A" w:rsidP="0010011A">
            <w:pPr>
              <w:ind w:left="-43" w:right="-53" w:firstLine="0"/>
              <w:jc w:val="center"/>
              <w:rPr>
                <w:sz w:val="26"/>
                <w:szCs w:val="26"/>
              </w:rPr>
            </w:pPr>
            <w:r w:rsidRPr="00242020">
              <w:rPr>
                <w:sz w:val="26"/>
                <w:szCs w:val="26"/>
              </w:rPr>
              <w:t>51,23</w:t>
            </w:r>
          </w:p>
        </w:tc>
      </w:tr>
      <w:tr w:rsidR="006F4201" w:rsidRPr="00242020" w:rsidTr="006F4201">
        <w:trPr>
          <w:trHeight w:val="315"/>
          <w:jc w:val="center"/>
        </w:trPr>
        <w:tc>
          <w:tcPr>
            <w:tcW w:w="0" w:type="auto"/>
            <w:vAlign w:val="center"/>
          </w:tcPr>
          <w:p w:rsidR="006F4201" w:rsidRPr="00242020" w:rsidRDefault="006F4201" w:rsidP="0010011A">
            <w:pPr>
              <w:ind w:firstLine="0"/>
              <w:jc w:val="center"/>
              <w:rPr>
                <w:sz w:val="26"/>
                <w:szCs w:val="26"/>
              </w:rPr>
            </w:pPr>
          </w:p>
        </w:tc>
        <w:tc>
          <w:tcPr>
            <w:tcW w:w="4971" w:type="dxa"/>
            <w:vAlign w:val="center"/>
          </w:tcPr>
          <w:p w:rsidR="006F4201" w:rsidRPr="00242020" w:rsidRDefault="006F4201" w:rsidP="0010011A">
            <w:pPr>
              <w:ind w:firstLine="0"/>
              <w:rPr>
                <w:sz w:val="26"/>
                <w:szCs w:val="26"/>
              </w:rPr>
            </w:pPr>
            <w:r w:rsidRPr="00242020">
              <w:rPr>
                <w:sz w:val="26"/>
                <w:szCs w:val="26"/>
              </w:rPr>
              <w:t>- звіти, що не відповідають таким вимогам</w:t>
            </w:r>
          </w:p>
        </w:tc>
        <w:tc>
          <w:tcPr>
            <w:tcW w:w="889" w:type="dxa"/>
            <w:vAlign w:val="center"/>
          </w:tcPr>
          <w:p w:rsidR="006F4201" w:rsidRPr="00242020" w:rsidRDefault="006F4201" w:rsidP="0010011A">
            <w:pPr>
              <w:ind w:left="-43" w:right="-53" w:firstLine="0"/>
              <w:jc w:val="center"/>
              <w:rPr>
                <w:sz w:val="26"/>
                <w:szCs w:val="26"/>
              </w:rPr>
            </w:pPr>
            <w:r w:rsidRPr="00242020">
              <w:rPr>
                <w:sz w:val="26"/>
                <w:szCs w:val="26"/>
              </w:rPr>
              <w:t>108</w:t>
            </w:r>
          </w:p>
        </w:tc>
        <w:tc>
          <w:tcPr>
            <w:tcW w:w="902" w:type="dxa"/>
            <w:vAlign w:val="center"/>
          </w:tcPr>
          <w:p w:rsidR="006F4201" w:rsidRPr="00242020" w:rsidRDefault="006F4201" w:rsidP="0010011A">
            <w:pPr>
              <w:ind w:left="-43" w:right="-53" w:firstLine="0"/>
              <w:jc w:val="center"/>
              <w:rPr>
                <w:sz w:val="26"/>
                <w:szCs w:val="26"/>
              </w:rPr>
            </w:pPr>
            <w:r w:rsidRPr="00242020">
              <w:rPr>
                <w:sz w:val="26"/>
                <w:szCs w:val="26"/>
              </w:rPr>
              <w:t>78</w:t>
            </w:r>
          </w:p>
        </w:tc>
        <w:tc>
          <w:tcPr>
            <w:tcW w:w="1228" w:type="dxa"/>
            <w:vAlign w:val="center"/>
          </w:tcPr>
          <w:p w:rsidR="006F4201" w:rsidRPr="00242020" w:rsidRDefault="006F4201" w:rsidP="0010011A">
            <w:pPr>
              <w:ind w:left="-43" w:right="-53" w:firstLine="0"/>
              <w:jc w:val="center"/>
              <w:rPr>
                <w:sz w:val="26"/>
                <w:szCs w:val="26"/>
              </w:rPr>
            </w:pPr>
            <w:r w:rsidRPr="00242020">
              <w:rPr>
                <w:sz w:val="26"/>
                <w:szCs w:val="26"/>
              </w:rPr>
              <w:t>72,22</w:t>
            </w:r>
          </w:p>
        </w:tc>
        <w:tc>
          <w:tcPr>
            <w:tcW w:w="1282" w:type="dxa"/>
            <w:vAlign w:val="center"/>
          </w:tcPr>
          <w:p w:rsidR="006F4201" w:rsidRPr="00242020" w:rsidRDefault="006F4201" w:rsidP="0010011A">
            <w:pPr>
              <w:ind w:left="-43" w:right="-53" w:firstLine="0"/>
              <w:jc w:val="center"/>
              <w:rPr>
                <w:sz w:val="26"/>
                <w:szCs w:val="26"/>
              </w:rPr>
            </w:pPr>
            <w:r w:rsidRPr="00242020">
              <w:rPr>
                <w:sz w:val="26"/>
                <w:szCs w:val="26"/>
              </w:rPr>
              <w:t>- 27,78</w:t>
            </w:r>
          </w:p>
        </w:tc>
      </w:tr>
    </w:tbl>
    <w:p w:rsidR="0010011A" w:rsidRPr="00242020" w:rsidRDefault="0010011A" w:rsidP="006F4201">
      <w:pPr>
        <w:pStyle w:val="af0"/>
        <w:spacing w:after="0"/>
        <w:ind w:firstLine="709"/>
        <w:jc w:val="both"/>
        <w:rPr>
          <w:spacing w:val="-4"/>
          <w:szCs w:val="28"/>
          <w:lang w:val="uk-UA"/>
        </w:rPr>
      </w:pPr>
      <w:r w:rsidRPr="00242020">
        <w:rPr>
          <w:szCs w:val="28"/>
          <w:lang w:val="uk-UA"/>
        </w:rPr>
        <w:lastRenderedPageBreak/>
        <w:t xml:space="preserve">Упродовж звітного періоду на ринку оцінки державного майна, за даними </w:t>
      </w:r>
      <w:proofErr w:type="spellStart"/>
      <w:r w:rsidRPr="00242020">
        <w:rPr>
          <w:szCs w:val="28"/>
          <w:lang w:val="uk-UA"/>
        </w:rPr>
        <w:t>АПС</w:t>
      </w:r>
      <w:proofErr w:type="spellEnd"/>
      <w:r w:rsidRPr="00242020">
        <w:rPr>
          <w:szCs w:val="28"/>
          <w:lang w:val="uk-UA"/>
        </w:rPr>
        <w:t xml:space="preserve"> «Рецензент», працювало 619 суб’єктів оціночної діяльності – суб’єктів господарювання, які надавали Фонду та органам місцевого самоврядування послуги з оцінки державного та комунального майна. </w:t>
      </w:r>
      <w:r w:rsidRPr="00242020">
        <w:rPr>
          <w:spacing w:val="-4"/>
          <w:szCs w:val="28"/>
          <w:lang w:val="uk-UA"/>
        </w:rPr>
        <w:t>Порівняно з 2015 роком цей показник зменшився на 7,75 %.</w:t>
      </w:r>
    </w:p>
    <w:p w:rsidR="0010011A" w:rsidRPr="00242020" w:rsidRDefault="0010011A" w:rsidP="0010011A">
      <w:pPr>
        <w:ind w:firstLine="720"/>
        <w:jc w:val="right"/>
        <w:rPr>
          <w:b/>
          <w:bCs/>
          <w:sz w:val="24"/>
          <w:szCs w:val="24"/>
        </w:rPr>
      </w:pPr>
      <w:r w:rsidRPr="00242020">
        <w:rPr>
          <w:b/>
          <w:bCs/>
          <w:sz w:val="24"/>
          <w:szCs w:val="24"/>
        </w:rPr>
        <w:t>Таблиця 4.3.</w:t>
      </w:r>
    </w:p>
    <w:p w:rsidR="0010011A" w:rsidRPr="00242020" w:rsidRDefault="0010011A" w:rsidP="0010011A">
      <w:pPr>
        <w:ind w:firstLine="0"/>
        <w:jc w:val="center"/>
        <w:rPr>
          <w:b/>
          <w:bCs/>
          <w:szCs w:val="28"/>
        </w:rPr>
      </w:pPr>
      <w:r w:rsidRPr="00242020">
        <w:rPr>
          <w:b/>
          <w:bCs/>
          <w:szCs w:val="28"/>
        </w:rPr>
        <w:t>Кількість суб’єктів оціночної діяльності – суб’єктів господарювання</w:t>
      </w:r>
      <w:r w:rsidRPr="00242020">
        <w:rPr>
          <w:b/>
          <w:bCs/>
          <w:szCs w:val="28"/>
        </w:rPr>
        <w:br/>
        <w:t>в розрізі областей України, що надавали послуги</w:t>
      </w:r>
      <w:r w:rsidR="001763DC" w:rsidRPr="00242020">
        <w:rPr>
          <w:b/>
          <w:bCs/>
          <w:szCs w:val="28"/>
        </w:rPr>
        <w:t xml:space="preserve"> </w:t>
      </w:r>
      <w:r w:rsidRPr="00242020">
        <w:rPr>
          <w:b/>
          <w:bCs/>
          <w:szCs w:val="28"/>
        </w:rPr>
        <w:t xml:space="preserve">з оцінки майна Фонду та органам місцевого самоврядування у 2016 році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0"/>
        <w:gridCol w:w="2421"/>
        <w:gridCol w:w="2294"/>
        <w:gridCol w:w="2376"/>
      </w:tblGrid>
      <w:tr w:rsidR="0010011A" w:rsidRPr="00242020" w:rsidTr="0010011A">
        <w:trPr>
          <w:jc w:val="center"/>
        </w:trPr>
        <w:tc>
          <w:tcPr>
            <w:tcW w:w="2480" w:type="dxa"/>
            <w:vAlign w:val="center"/>
          </w:tcPr>
          <w:p w:rsidR="0010011A" w:rsidRPr="00242020" w:rsidRDefault="0010011A" w:rsidP="0010011A">
            <w:pPr>
              <w:ind w:firstLine="0"/>
              <w:jc w:val="center"/>
              <w:rPr>
                <w:b/>
                <w:sz w:val="24"/>
                <w:szCs w:val="24"/>
              </w:rPr>
            </w:pPr>
            <w:r w:rsidRPr="00242020">
              <w:rPr>
                <w:b/>
                <w:sz w:val="24"/>
                <w:szCs w:val="24"/>
              </w:rPr>
              <w:t>Область</w:t>
            </w:r>
          </w:p>
        </w:tc>
        <w:tc>
          <w:tcPr>
            <w:tcW w:w="2421" w:type="dxa"/>
            <w:vAlign w:val="center"/>
          </w:tcPr>
          <w:p w:rsidR="0010011A" w:rsidRPr="00242020" w:rsidRDefault="0010011A" w:rsidP="0010011A">
            <w:pPr>
              <w:ind w:firstLine="0"/>
              <w:jc w:val="center"/>
              <w:rPr>
                <w:b/>
                <w:sz w:val="24"/>
                <w:szCs w:val="24"/>
              </w:rPr>
            </w:pPr>
            <w:r w:rsidRPr="00242020">
              <w:rPr>
                <w:b/>
                <w:sz w:val="24"/>
                <w:szCs w:val="24"/>
              </w:rPr>
              <w:t xml:space="preserve">Загальна кількість зареєстрованих </w:t>
            </w:r>
            <w:proofErr w:type="spellStart"/>
            <w:r w:rsidRPr="00242020">
              <w:rPr>
                <w:b/>
                <w:sz w:val="24"/>
                <w:szCs w:val="24"/>
              </w:rPr>
              <w:t>СОД</w:t>
            </w:r>
            <w:proofErr w:type="spellEnd"/>
            <w:r w:rsidRPr="00242020">
              <w:rPr>
                <w:b/>
                <w:sz w:val="24"/>
                <w:szCs w:val="24"/>
              </w:rPr>
              <w:t>, що мали чинний сертифікат</w:t>
            </w:r>
          </w:p>
        </w:tc>
        <w:tc>
          <w:tcPr>
            <w:tcW w:w="2294" w:type="dxa"/>
            <w:vAlign w:val="center"/>
          </w:tcPr>
          <w:p w:rsidR="0010011A" w:rsidRPr="00242020" w:rsidRDefault="0010011A" w:rsidP="0010011A">
            <w:pPr>
              <w:ind w:firstLine="0"/>
              <w:jc w:val="center"/>
              <w:rPr>
                <w:b/>
                <w:sz w:val="24"/>
                <w:szCs w:val="24"/>
              </w:rPr>
            </w:pPr>
            <w:r w:rsidRPr="00242020">
              <w:rPr>
                <w:b/>
                <w:sz w:val="24"/>
                <w:szCs w:val="24"/>
              </w:rPr>
              <w:t xml:space="preserve">Кількість </w:t>
            </w:r>
            <w:proofErr w:type="spellStart"/>
            <w:r w:rsidRPr="00242020">
              <w:rPr>
                <w:b/>
                <w:sz w:val="24"/>
                <w:szCs w:val="24"/>
              </w:rPr>
              <w:t>СОД</w:t>
            </w:r>
            <w:proofErr w:type="spellEnd"/>
            <w:r w:rsidRPr="00242020">
              <w:rPr>
                <w:b/>
                <w:sz w:val="24"/>
                <w:szCs w:val="24"/>
              </w:rPr>
              <w:t>, які оцінювали державне та комунальне майно</w:t>
            </w:r>
          </w:p>
        </w:tc>
        <w:tc>
          <w:tcPr>
            <w:tcW w:w="2376" w:type="dxa"/>
            <w:vAlign w:val="center"/>
          </w:tcPr>
          <w:p w:rsidR="0010011A" w:rsidRPr="00242020" w:rsidRDefault="0010011A" w:rsidP="0010011A">
            <w:pPr>
              <w:ind w:firstLine="0"/>
              <w:jc w:val="center"/>
              <w:rPr>
                <w:b/>
                <w:sz w:val="24"/>
                <w:szCs w:val="24"/>
              </w:rPr>
            </w:pPr>
            <w:r w:rsidRPr="00242020">
              <w:rPr>
                <w:b/>
                <w:sz w:val="24"/>
                <w:szCs w:val="24"/>
              </w:rPr>
              <w:t>Надавали послуги з оцінки державного та комунального майна у відсотках до загальної кількості</w:t>
            </w:r>
          </w:p>
        </w:tc>
      </w:tr>
      <w:tr w:rsidR="0010011A" w:rsidRPr="00242020" w:rsidTr="0010011A">
        <w:trPr>
          <w:jc w:val="center"/>
        </w:trPr>
        <w:tc>
          <w:tcPr>
            <w:tcW w:w="2480" w:type="dxa"/>
            <w:vAlign w:val="bottom"/>
          </w:tcPr>
          <w:p w:rsidR="0010011A" w:rsidRPr="00242020" w:rsidRDefault="0010011A" w:rsidP="0010011A">
            <w:pPr>
              <w:ind w:firstLine="0"/>
              <w:rPr>
                <w:sz w:val="26"/>
                <w:szCs w:val="26"/>
              </w:rPr>
            </w:pPr>
            <w:r w:rsidRPr="00242020">
              <w:rPr>
                <w:sz w:val="26"/>
                <w:szCs w:val="26"/>
              </w:rPr>
              <w:t>Вінницька</w:t>
            </w:r>
          </w:p>
        </w:tc>
        <w:tc>
          <w:tcPr>
            <w:tcW w:w="2421" w:type="dxa"/>
            <w:vAlign w:val="bottom"/>
          </w:tcPr>
          <w:p w:rsidR="0010011A" w:rsidRPr="00242020" w:rsidRDefault="0010011A" w:rsidP="0010011A">
            <w:pPr>
              <w:ind w:right="227" w:firstLine="0"/>
              <w:jc w:val="center"/>
              <w:rPr>
                <w:sz w:val="26"/>
                <w:szCs w:val="26"/>
              </w:rPr>
            </w:pPr>
            <w:r w:rsidRPr="00242020">
              <w:rPr>
                <w:sz w:val="26"/>
                <w:szCs w:val="26"/>
              </w:rPr>
              <w:t>93</w:t>
            </w:r>
          </w:p>
        </w:tc>
        <w:tc>
          <w:tcPr>
            <w:tcW w:w="2294" w:type="dxa"/>
            <w:vAlign w:val="bottom"/>
          </w:tcPr>
          <w:p w:rsidR="0010011A" w:rsidRPr="00242020" w:rsidRDefault="0010011A" w:rsidP="0010011A">
            <w:pPr>
              <w:ind w:right="227" w:firstLine="0"/>
              <w:jc w:val="center"/>
              <w:rPr>
                <w:sz w:val="26"/>
                <w:szCs w:val="26"/>
              </w:rPr>
            </w:pPr>
            <w:r w:rsidRPr="00242020">
              <w:rPr>
                <w:sz w:val="26"/>
                <w:szCs w:val="26"/>
              </w:rPr>
              <w:t>27</w:t>
            </w:r>
          </w:p>
        </w:tc>
        <w:tc>
          <w:tcPr>
            <w:tcW w:w="2376" w:type="dxa"/>
            <w:vAlign w:val="bottom"/>
          </w:tcPr>
          <w:p w:rsidR="0010011A" w:rsidRPr="00242020" w:rsidRDefault="0010011A" w:rsidP="0010011A">
            <w:pPr>
              <w:ind w:firstLine="0"/>
              <w:jc w:val="center"/>
              <w:rPr>
                <w:sz w:val="26"/>
                <w:szCs w:val="26"/>
              </w:rPr>
            </w:pPr>
            <w:r w:rsidRPr="00242020">
              <w:rPr>
                <w:sz w:val="26"/>
                <w:szCs w:val="26"/>
              </w:rPr>
              <w:t>29,03</w:t>
            </w:r>
          </w:p>
        </w:tc>
      </w:tr>
      <w:tr w:rsidR="0010011A" w:rsidRPr="00242020" w:rsidTr="0010011A">
        <w:trPr>
          <w:jc w:val="center"/>
        </w:trPr>
        <w:tc>
          <w:tcPr>
            <w:tcW w:w="2480" w:type="dxa"/>
            <w:vAlign w:val="bottom"/>
          </w:tcPr>
          <w:p w:rsidR="0010011A" w:rsidRPr="00242020" w:rsidRDefault="0010011A" w:rsidP="0010011A">
            <w:pPr>
              <w:ind w:firstLine="0"/>
              <w:rPr>
                <w:sz w:val="26"/>
                <w:szCs w:val="26"/>
              </w:rPr>
            </w:pPr>
            <w:r w:rsidRPr="00242020">
              <w:rPr>
                <w:sz w:val="26"/>
                <w:szCs w:val="26"/>
              </w:rPr>
              <w:t>Волинська</w:t>
            </w:r>
          </w:p>
        </w:tc>
        <w:tc>
          <w:tcPr>
            <w:tcW w:w="2421" w:type="dxa"/>
            <w:vAlign w:val="bottom"/>
          </w:tcPr>
          <w:p w:rsidR="0010011A" w:rsidRPr="00242020" w:rsidRDefault="0010011A" w:rsidP="0010011A">
            <w:pPr>
              <w:ind w:right="227" w:firstLine="0"/>
              <w:jc w:val="center"/>
              <w:rPr>
                <w:sz w:val="26"/>
                <w:szCs w:val="26"/>
              </w:rPr>
            </w:pPr>
            <w:r w:rsidRPr="00242020">
              <w:rPr>
                <w:sz w:val="26"/>
                <w:szCs w:val="26"/>
              </w:rPr>
              <w:t>57</w:t>
            </w:r>
          </w:p>
        </w:tc>
        <w:tc>
          <w:tcPr>
            <w:tcW w:w="2294" w:type="dxa"/>
            <w:vAlign w:val="bottom"/>
          </w:tcPr>
          <w:p w:rsidR="0010011A" w:rsidRPr="00242020" w:rsidRDefault="0010011A" w:rsidP="0010011A">
            <w:pPr>
              <w:ind w:right="227" w:firstLine="0"/>
              <w:jc w:val="center"/>
              <w:rPr>
                <w:sz w:val="26"/>
                <w:szCs w:val="26"/>
              </w:rPr>
            </w:pPr>
            <w:r w:rsidRPr="00242020">
              <w:rPr>
                <w:sz w:val="26"/>
                <w:szCs w:val="26"/>
              </w:rPr>
              <w:t>17</w:t>
            </w:r>
          </w:p>
        </w:tc>
        <w:tc>
          <w:tcPr>
            <w:tcW w:w="2376" w:type="dxa"/>
            <w:vAlign w:val="bottom"/>
          </w:tcPr>
          <w:p w:rsidR="0010011A" w:rsidRPr="00242020" w:rsidRDefault="0010011A" w:rsidP="0010011A">
            <w:pPr>
              <w:ind w:firstLine="0"/>
              <w:jc w:val="center"/>
              <w:rPr>
                <w:sz w:val="26"/>
                <w:szCs w:val="26"/>
              </w:rPr>
            </w:pPr>
            <w:r w:rsidRPr="00242020">
              <w:rPr>
                <w:sz w:val="26"/>
                <w:szCs w:val="26"/>
              </w:rPr>
              <w:t>29,82</w:t>
            </w:r>
          </w:p>
        </w:tc>
      </w:tr>
      <w:tr w:rsidR="0010011A" w:rsidRPr="00242020" w:rsidTr="0010011A">
        <w:trPr>
          <w:jc w:val="center"/>
        </w:trPr>
        <w:tc>
          <w:tcPr>
            <w:tcW w:w="2480" w:type="dxa"/>
            <w:vAlign w:val="bottom"/>
          </w:tcPr>
          <w:p w:rsidR="0010011A" w:rsidRPr="00242020" w:rsidRDefault="0010011A" w:rsidP="0010011A">
            <w:pPr>
              <w:ind w:firstLine="0"/>
              <w:rPr>
                <w:sz w:val="26"/>
                <w:szCs w:val="26"/>
              </w:rPr>
            </w:pPr>
            <w:r w:rsidRPr="00242020">
              <w:rPr>
                <w:sz w:val="26"/>
                <w:szCs w:val="26"/>
              </w:rPr>
              <w:t>Дніпропетровська</w:t>
            </w:r>
          </w:p>
        </w:tc>
        <w:tc>
          <w:tcPr>
            <w:tcW w:w="2421" w:type="dxa"/>
            <w:vAlign w:val="bottom"/>
          </w:tcPr>
          <w:p w:rsidR="0010011A" w:rsidRPr="00242020" w:rsidRDefault="0010011A" w:rsidP="0010011A">
            <w:pPr>
              <w:ind w:right="227" w:firstLine="0"/>
              <w:jc w:val="center"/>
              <w:rPr>
                <w:sz w:val="26"/>
                <w:szCs w:val="26"/>
              </w:rPr>
            </w:pPr>
            <w:r w:rsidRPr="00242020">
              <w:rPr>
                <w:sz w:val="26"/>
                <w:szCs w:val="26"/>
              </w:rPr>
              <w:t>227</w:t>
            </w:r>
          </w:p>
        </w:tc>
        <w:tc>
          <w:tcPr>
            <w:tcW w:w="2294" w:type="dxa"/>
            <w:vAlign w:val="bottom"/>
          </w:tcPr>
          <w:p w:rsidR="0010011A" w:rsidRPr="00242020" w:rsidRDefault="0010011A" w:rsidP="0010011A">
            <w:pPr>
              <w:ind w:right="227" w:firstLine="0"/>
              <w:jc w:val="center"/>
              <w:rPr>
                <w:sz w:val="26"/>
                <w:szCs w:val="26"/>
              </w:rPr>
            </w:pPr>
            <w:r w:rsidRPr="00242020">
              <w:rPr>
                <w:sz w:val="26"/>
                <w:szCs w:val="26"/>
              </w:rPr>
              <w:t>56</w:t>
            </w:r>
          </w:p>
        </w:tc>
        <w:tc>
          <w:tcPr>
            <w:tcW w:w="2376" w:type="dxa"/>
            <w:vAlign w:val="bottom"/>
          </w:tcPr>
          <w:p w:rsidR="0010011A" w:rsidRPr="00242020" w:rsidRDefault="0010011A" w:rsidP="0010011A">
            <w:pPr>
              <w:ind w:firstLine="0"/>
              <w:jc w:val="center"/>
              <w:rPr>
                <w:sz w:val="26"/>
                <w:szCs w:val="26"/>
              </w:rPr>
            </w:pPr>
            <w:r w:rsidRPr="00242020">
              <w:rPr>
                <w:sz w:val="26"/>
                <w:szCs w:val="26"/>
              </w:rPr>
              <w:t>24,67</w:t>
            </w:r>
          </w:p>
        </w:tc>
      </w:tr>
      <w:tr w:rsidR="0010011A" w:rsidRPr="00242020" w:rsidTr="0010011A">
        <w:trPr>
          <w:jc w:val="center"/>
        </w:trPr>
        <w:tc>
          <w:tcPr>
            <w:tcW w:w="2480" w:type="dxa"/>
            <w:vAlign w:val="bottom"/>
          </w:tcPr>
          <w:p w:rsidR="0010011A" w:rsidRPr="00242020" w:rsidRDefault="0010011A" w:rsidP="0010011A">
            <w:pPr>
              <w:ind w:firstLine="0"/>
              <w:rPr>
                <w:sz w:val="26"/>
                <w:szCs w:val="26"/>
              </w:rPr>
            </w:pPr>
            <w:r w:rsidRPr="00242020">
              <w:rPr>
                <w:sz w:val="26"/>
                <w:szCs w:val="26"/>
              </w:rPr>
              <w:t>Донецька</w:t>
            </w:r>
          </w:p>
        </w:tc>
        <w:tc>
          <w:tcPr>
            <w:tcW w:w="2421" w:type="dxa"/>
            <w:vAlign w:val="bottom"/>
          </w:tcPr>
          <w:p w:rsidR="0010011A" w:rsidRPr="00242020" w:rsidRDefault="0010011A" w:rsidP="0010011A">
            <w:pPr>
              <w:ind w:right="227" w:firstLine="0"/>
              <w:jc w:val="center"/>
              <w:rPr>
                <w:sz w:val="26"/>
                <w:szCs w:val="26"/>
              </w:rPr>
            </w:pPr>
            <w:r w:rsidRPr="00242020">
              <w:rPr>
                <w:sz w:val="26"/>
                <w:szCs w:val="26"/>
              </w:rPr>
              <w:t>141</w:t>
            </w:r>
          </w:p>
        </w:tc>
        <w:tc>
          <w:tcPr>
            <w:tcW w:w="2294" w:type="dxa"/>
            <w:vAlign w:val="bottom"/>
          </w:tcPr>
          <w:p w:rsidR="0010011A" w:rsidRPr="00242020" w:rsidRDefault="0010011A" w:rsidP="0010011A">
            <w:pPr>
              <w:ind w:right="227" w:firstLine="0"/>
              <w:jc w:val="center"/>
              <w:rPr>
                <w:sz w:val="26"/>
                <w:szCs w:val="26"/>
              </w:rPr>
            </w:pPr>
            <w:r w:rsidRPr="00242020">
              <w:rPr>
                <w:sz w:val="26"/>
                <w:szCs w:val="26"/>
              </w:rPr>
              <w:t>14</w:t>
            </w:r>
          </w:p>
        </w:tc>
        <w:tc>
          <w:tcPr>
            <w:tcW w:w="2376" w:type="dxa"/>
            <w:vAlign w:val="bottom"/>
          </w:tcPr>
          <w:p w:rsidR="0010011A" w:rsidRPr="00242020" w:rsidRDefault="0010011A" w:rsidP="0010011A">
            <w:pPr>
              <w:ind w:firstLine="0"/>
              <w:jc w:val="center"/>
              <w:rPr>
                <w:sz w:val="26"/>
                <w:szCs w:val="26"/>
              </w:rPr>
            </w:pPr>
            <w:r w:rsidRPr="00242020">
              <w:rPr>
                <w:sz w:val="26"/>
                <w:szCs w:val="26"/>
              </w:rPr>
              <w:t>9,93</w:t>
            </w:r>
          </w:p>
        </w:tc>
      </w:tr>
      <w:tr w:rsidR="0010011A" w:rsidRPr="00242020" w:rsidTr="0010011A">
        <w:trPr>
          <w:jc w:val="center"/>
        </w:trPr>
        <w:tc>
          <w:tcPr>
            <w:tcW w:w="2480" w:type="dxa"/>
            <w:vAlign w:val="bottom"/>
          </w:tcPr>
          <w:p w:rsidR="0010011A" w:rsidRPr="00242020" w:rsidRDefault="0010011A" w:rsidP="0010011A">
            <w:pPr>
              <w:ind w:firstLine="0"/>
              <w:rPr>
                <w:sz w:val="26"/>
                <w:szCs w:val="26"/>
              </w:rPr>
            </w:pPr>
            <w:r w:rsidRPr="00242020">
              <w:rPr>
                <w:sz w:val="26"/>
                <w:szCs w:val="26"/>
              </w:rPr>
              <w:t>Житомирська</w:t>
            </w:r>
          </w:p>
        </w:tc>
        <w:tc>
          <w:tcPr>
            <w:tcW w:w="2421" w:type="dxa"/>
            <w:vAlign w:val="bottom"/>
          </w:tcPr>
          <w:p w:rsidR="0010011A" w:rsidRPr="00242020" w:rsidRDefault="0010011A" w:rsidP="0010011A">
            <w:pPr>
              <w:ind w:right="227" w:firstLine="0"/>
              <w:jc w:val="center"/>
              <w:rPr>
                <w:sz w:val="26"/>
                <w:szCs w:val="26"/>
              </w:rPr>
            </w:pPr>
            <w:r w:rsidRPr="00242020">
              <w:rPr>
                <w:sz w:val="26"/>
                <w:szCs w:val="26"/>
              </w:rPr>
              <w:t>61</w:t>
            </w:r>
          </w:p>
        </w:tc>
        <w:tc>
          <w:tcPr>
            <w:tcW w:w="2294" w:type="dxa"/>
            <w:vAlign w:val="bottom"/>
          </w:tcPr>
          <w:p w:rsidR="0010011A" w:rsidRPr="00242020" w:rsidRDefault="0010011A" w:rsidP="0010011A">
            <w:pPr>
              <w:ind w:right="227" w:firstLine="0"/>
              <w:jc w:val="center"/>
              <w:rPr>
                <w:sz w:val="26"/>
                <w:szCs w:val="26"/>
              </w:rPr>
            </w:pPr>
            <w:r w:rsidRPr="00242020">
              <w:rPr>
                <w:sz w:val="26"/>
                <w:szCs w:val="26"/>
              </w:rPr>
              <w:t>20</w:t>
            </w:r>
          </w:p>
        </w:tc>
        <w:tc>
          <w:tcPr>
            <w:tcW w:w="2376" w:type="dxa"/>
            <w:vAlign w:val="bottom"/>
          </w:tcPr>
          <w:p w:rsidR="0010011A" w:rsidRPr="00242020" w:rsidRDefault="0010011A" w:rsidP="0010011A">
            <w:pPr>
              <w:ind w:firstLine="0"/>
              <w:jc w:val="center"/>
              <w:rPr>
                <w:sz w:val="26"/>
                <w:szCs w:val="26"/>
              </w:rPr>
            </w:pPr>
            <w:r w:rsidRPr="00242020">
              <w:rPr>
                <w:sz w:val="26"/>
                <w:szCs w:val="26"/>
              </w:rPr>
              <w:t>32,79</w:t>
            </w:r>
          </w:p>
        </w:tc>
      </w:tr>
      <w:tr w:rsidR="0010011A" w:rsidRPr="00242020" w:rsidTr="0010011A">
        <w:trPr>
          <w:jc w:val="center"/>
        </w:trPr>
        <w:tc>
          <w:tcPr>
            <w:tcW w:w="2480" w:type="dxa"/>
            <w:vAlign w:val="bottom"/>
          </w:tcPr>
          <w:p w:rsidR="0010011A" w:rsidRPr="00242020" w:rsidRDefault="0010011A" w:rsidP="0010011A">
            <w:pPr>
              <w:ind w:firstLine="0"/>
              <w:rPr>
                <w:sz w:val="26"/>
                <w:szCs w:val="26"/>
              </w:rPr>
            </w:pPr>
            <w:r w:rsidRPr="00242020">
              <w:rPr>
                <w:sz w:val="26"/>
                <w:szCs w:val="26"/>
              </w:rPr>
              <w:t>Закарпатська</w:t>
            </w:r>
          </w:p>
        </w:tc>
        <w:tc>
          <w:tcPr>
            <w:tcW w:w="2421" w:type="dxa"/>
            <w:vAlign w:val="bottom"/>
          </w:tcPr>
          <w:p w:rsidR="0010011A" w:rsidRPr="00242020" w:rsidRDefault="0010011A" w:rsidP="0010011A">
            <w:pPr>
              <w:ind w:right="227" w:firstLine="0"/>
              <w:jc w:val="center"/>
              <w:rPr>
                <w:sz w:val="26"/>
                <w:szCs w:val="26"/>
              </w:rPr>
            </w:pPr>
            <w:r w:rsidRPr="00242020">
              <w:rPr>
                <w:sz w:val="26"/>
                <w:szCs w:val="26"/>
              </w:rPr>
              <w:t>59</w:t>
            </w:r>
          </w:p>
        </w:tc>
        <w:tc>
          <w:tcPr>
            <w:tcW w:w="2294" w:type="dxa"/>
            <w:vAlign w:val="bottom"/>
          </w:tcPr>
          <w:p w:rsidR="0010011A" w:rsidRPr="00242020" w:rsidRDefault="0010011A" w:rsidP="0010011A">
            <w:pPr>
              <w:ind w:right="227" w:firstLine="0"/>
              <w:jc w:val="center"/>
              <w:rPr>
                <w:sz w:val="26"/>
                <w:szCs w:val="26"/>
              </w:rPr>
            </w:pPr>
            <w:r w:rsidRPr="00242020">
              <w:rPr>
                <w:sz w:val="26"/>
                <w:szCs w:val="26"/>
              </w:rPr>
              <w:t>18</w:t>
            </w:r>
          </w:p>
        </w:tc>
        <w:tc>
          <w:tcPr>
            <w:tcW w:w="2376" w:type="dxa"/>
            <w:vAlign w:val="bottom"/>
          </w:tcPr>
          <w:p w:rsidR="0010011A" w:rsidRPr="00242020" w:rsidRDefault="0010011A" w:rsidP="0010011A">
            <w:pPr>
              <w:ind w:firstLine="0"/>
              <w:jc w:val="center"/>
              <w:rPr>
                <w:sz w:val="26"/>
                <w:szCs w:val="26"/>
              </w:rPr>
            </w:pPr>
            <w:r w:rsidRPr="00242020">
              <w:rPr>
                <w:sz w:val="26"/>
                <w:szCs w:val="26"/>
              </w:rPr>
              <w:t>28,07</w:t>
            </w:r>
          </w:p>
        </w:tc>
      </w:tr>
      <w:tr w:rsidR="0010011A" w:rsidRPr="00242020" w:rsidTr="0010011A">
        <w:trPr>
          <w:jc w:val="center"/>
        </w:trPr>
        <w:tc>
          <w:tcPr>
            <w:tcW w:w="2480" w:type="dxa"/>
            <w:vAlign w:val="bottom"/>
          </w:tcPr>
          <w:p w:rsidR="0010011A" w:rsidRPr="00242020" w:rsidRDefault="0010011A" w:rsidP="0010011A">
            <w:pPr>
              <w:ind w:firstLine="0"/>
              <w:rPr>
                <w:sz w:val="26"/>
                <w:szCs w:val="26"/>
              </w:rPr>
            </w:pPr>
            <w:r w:rsidRPr="00242020">
              <w:rPr>
                <w:sz w:val="26"/>
                <w:szCs w:val="26"/>
              </w:rPr>
              <w:t>Запорізька</w:t>
            </w:r>
          </w:p>
        </w:tc>
        <w:tc>
          <w:tcPr>
            <w:tcW w:w="2421" w:type="dxa"/>
            <w:vAlign w:val="bottom"/>
          </w:tcPr>
          <w:p w:rsidR="0010011A" w:rsidRPr="00242020" w:rsidRDefault="0010011A" w:rsidP="0010011A">
            <w:pPr>
              <w:ind w:right="227" w:firstLine="0"/>
              <w:jc w:val="center"/>
              <w:rPr>
                <w:sz w:val="26"/>
                <w:szCs w:val="26"/>
              </w:rPr>
            </w:pPr>
            <w:r w:rsidRPr="00242020">
              <w:rPr>
                <w:sz w:val="26"/>
                <w:szCs w:val="26"/>
              </w:rPr>
              <w:t>134</w:t>
            </w:r>
          </w:p>
        </w:tc>
        <w:tc>
          <w:tcPr>
            <w:tcW w:w="2294" w:type="dxa"/>
            <w:vAlign w:val="bottom"/>
          </w:tcPr>
          <w:p w:rsidR="0010011A" w:rsidRPr="00242020" w:rsidRDefault="0010011A" w:rsidP="0010011A">
            <w:pPr>
              <w:ind w:right="227" w:firstLine="0"/>
              <w:jc w:val="center"/>
              <w:rPr>
                <w:sz w:val="26"/>
                <w:szCs w:val="26"/>
              </w:rPr>
            </w:pPr>
            <w:r w:rsidRPr="00242020">
              <w:rPr>
                <w:sz w:val="26"/>
                <w:szCs w:val="26"/>
              </w:rPr>
              <w:t>46</w:t>
            </w:r>
          </w:p>
        </w:tc>
        <w:tc>
          <w:tcPr>
            <w:tcW w:w="2376" w:type="dxa"/>
            <w:vAlign w:val="bottom"/>
          </w:tcPr>
          <w:p w:rsidR="0010011A" w:rsidRPr="00242020" w:rsidRDefault="0010011A" w:rsidP="0010011A">
            <w:pPr>
              <w:ind w:firstLine="0"/>
              <w:jc w:val="center"/>
              <w:rPr>
                <w:sz w:val="26"/>
                <w:szCs w:val="26"/>
              </w:rPr>
            </w:pPr>
            <w:r w:rsidRPr="00242020">
              <w:rPr>
                <w:sz w:val="26"/>
                <w:szCs w:val="26"/>
              </w:rPr>
              <w:t>34,32</w:t>
            </w:r>
          </w:p>
        </w:tc>
      </w:tr>
      <w:tr w:rsidR="0010011A" w:rsidRPr="00242020" w:rsidTr="0010011A">
        <w:trPr>
          <w:jc w:val="center"/>
        </w:trPr>
        <w:tc>
          <w:tcPr>
            <w:tcW w:w="2480" w:type="dxa"/>
            <w:vAlign w:val="bottom"/>
          </w:tcPr>
          <w:p w:rsidR="0010011A" w:rsidRPr="00242020" w:rsidRDefault="0010011A" w:rsidP="0010011A">
            <w:pPr>
              <w:ind w:firstLine="0"/>
              <w:rPr>
                <w:sz w:val="26"/>
                <w:szCs w:val="26"/>
              </w:rPr>
            </w:pPr>
            <w:r w:rsidRPr="00242020">
              <w:rPr>
                <w:sz w:val="26"/>
                <w:szCs w:val="26"/>
              </w:rPr>
              <w:t>Івано-Франківська</w:t>
            </w:r>
          </w:p>
        </w:tc>
        <w:tc>
          <w:tcPr>
            <w:tcW w:w="2421" w:type="dxa"/>
            <w:vAlign w:val="bottom"/>
          </w:tcPr>
          <w:p w:rsidR="0010011A" w:rsidRPr="00242020" w:rsidRDefault="0010011A" w:rsidP="0010011A">
            <w:pPr>
              <w:ind w:right="227" w:firstLine="0"/>
              <w:jc w:val="center"/>
              <w:rPr>
                <w:sz w:val="26"/>
                <w:szCs w:val="26"/>
              </w:rPr>
            </w:pPr>
            <w:r w:rsidRPr="00242020">
              <w:rPr>
                <w:sz w:val="26"/>
                <w:szCs w:val="26"/>
              </w:rPr>
              <w:t>61</w:t>
            </w:r>
          </w:p>
        </w:tc>
        <w:tc>
          <w:tcPr>
            <w:tcW w:w="2294" w:type="dxa"/>
            <w:vAlign w:val="bottom"/>
          </w:tcPr>
          <w:p w:rsidR="0010011A" w:rsidRPr="00242020" w:rsidRDefault="0010011A" w:rsidP="0010011A">
            <w:pPr>
              <w:ind w:right="227" w:firstLine="0"/>
              <w:jc w:val="center"/>
              <w:rPr>
                <w:sz w:val="26"/>
                <w:szCs w:val="26"/>
              </w:rPr>
            </w:pPr>
            <w:r w:rsidRPr="00242020">
              <w:rPr>
                <w:sz w:val="26"/>
                <w:szCs w:val="26"/>
              </w:rPr>
              <w:t>5</w:t>
            </w:r>
          </w:p>
        </w:tc>
        <w:tc>
          <w:tcPr>
            <w:tcW w:w="2376" w:type="dxa"/>
            <w:vAlign w:val="bottom"/>
          </w:tcPr>
          <w:p w:rsidR="0010011A" w:rsidRPr="00242020" w:rsidRDefault="0010011A" w:rsidP="0010011A">
            <w:pPr>
              <w:ind w:firstLine="0"/>
              <w:jc w:val="center"/>
              <w:rPr>
                <w:sz w:val="26"/>
                <w:szCs w:val="26"/>
              </w:rPr>
            </w:pPr>
            <w:r w:rsidRPr="00242020">
              <w:rPr>
                <w:sz w:val="26"/>
                <w:szCs w:val="26"/>
              </w:rPr>
              <w:t>8,19</w:t>
            </w:r>
          </w:p>
        </w:tc>
      </w:tr>
      <w:tr w:rsidR="0010011A" w:rsidRPr="00242020" w:rsidTr="0010011A">
        <w:trPr>
          <w:jc w:val="center"/>
        </w:trPr>
        <w:tc>
          <w:tcPr>
            <w:tcW w:w="2480" w:type="dxa"/>
            <w:vAlign w:val="bottom"/>
          </w:tcPr>
          <w:p w:rsidR="0010011A" w:rsidRPr="00242020" w:rsidRDefault="0010011A" w:rsidP="0010011A">
            <w:pPr>
              <w:ind w:firstLine="0"/>
              <w:rPr>
                <w:sz w:val="26"/>
                <w:szCs w:val="26"/>
              </w:rPr>
            </w:pPr>
            <w:r w:rsidRPr="00242020">
              <w:rPr>
                <w:sz w:val="26"/>
                <w:szCs w:val="26"/>
              </w:rPr>
              <w:t>м. Київ</w:t>
            </w:r>
          </w:p>
        </w:tc>
        <w:tc>
          <w:tcPr>
            <w:tcW w:w="2421" w:type="dxa"/>
            <w:vAlign w:val="bottom"/>
          </w:tcPr>
          <w:p w:rsidR="0010011A" w:rsidRPr="00242020" w:rsidRDefault="0010011A" w:rsidP="0010011A">
            <w:pPr>
              <w:ind w:right="227" w:firstLine="0"/>
              <w:jc w:val="center"/>
              <w:rPr>
                <w:sz w:val="26"/>
                <w:szCs w:val="26"/>
              </w:rPr>
            </w:pPr>
            <w:r w:rsidRPr="00242020">
              <w:rPr>
                <w:sz w:val="26"/>
                <w:szCs w:val="26"/>
              </w:rPr>
              <w:t>604</w:t>
            </w:r>
          </w:p>
        </w:tc>
        <w:tc>
          <w:tcPr>
            <w:tcW w:w="2294" w:type="dxa"/>
            <w:vAlign w:val="bottom"/>
          </w:tcPr>
          <w:p w:rsidR="0010011A" w:rsidRPr="00242020" w:rsidRDefault="0010011A" w:rsidP="0010011A">
            <w:pPr>
              <w:ind w:right="227" w:firstLine="0"/>
              <w:jc w:val="center"/>
              <w:rPr>
                <w:sz w:val="26"/>
                <w:szCs w:val="26"/>
              </w:rPr>
            </w:pPr>
            <w:r w:rsidRPr="00242020">
              <w:rPr>
                <w:sz w:val="26"/>
                <w:szCs w:val="26"/>
              </w:rPr>
              <w:t>74</w:t>
            </w:r>
          </w:p>
        </w:tc>
        <w:tc>
          <w:tcPr>
            <w:tcW w:w="2376" w:type="dxa"/>
            <w:vAlign w:val="bottom"/>
          </w:tcPr>
          <w:p w:rsidR="0010011A" w:rsidRPr="00242020" w:rsidRDefault="0010011A" w:rsidP="0010011A">
            <w:pPr>
              <w:ind w:firstLine="0"/>
              <w:jc w:val="center"/>
              <w:rPr>
                <w:sz w:val="26"/>
                <w:szCs w:val="26"/>
              </w:rPr>
            </w:pPr>
            <w:r w:rsidRPr="00242020">
              <w:rPr>
                <w:sz w:val="26"/>
                <w:szCs w:val="26"/>
              </w:rPr>
              <w:t>12,25</w:t>
            </w:r>
          </w:p>
        </w:tc>
      </w:tr>
      <w:tr w:rsidR="0010011A" w:rsidRPr="00242020" w:rsidTr="0010011A">
        <w:trPr>
          <w:jc w:val="center"/>
        </w:trPr>
        <w:tc>
          <w:tcPr>
            <w:tcW w:w="2480" w:type="dxa"/>
            <w:vAlign w:val="bottom"/>
          </w:tcPr>
          <w:p w:rsidR="0010011A" w:rsidRPr="00242020" w:rsidRDefault="0010011A" w:rsidP="0010011A">
            <w:pPr>
              <w:ind w:firstLine="0"/>
              <w:rPr>
                <w:sz w:val="26"/>
                <w:szCs w:val="26"/>
              </w:rPr>
            </w:pPr>
            <w:r w:rsidRPr="00242020">
              <w:rPr>
                <w:sz w:val="26"/>
                <w:szCs w:val="26"/>
              </w:rPr>
              <w:t>Київська</w:t>
            </w:r>
          </w:p>
        </w:tc>
        <w:tc>
          <w:tcPr>
            <w:tcW w:w="2421" w:type="dxa"/>
            <w:vAlign w:val="bottom"/>
          </w:tcPr>
          <w:p w:rsidR="0010011A" w:rsidRPr="00242020" w:rsidRDefault="0010011A" w:rsidP="0010011A">
            <w:pPr>
              <w:ind w:right="227" w:firstLine="0"/>
              <w:jc w:val="center"/>
              <w:rPr>
                <w:sz w:val="26"/>
                <w:szCs w:val="26"/>
              </w:rPr>
            </w:pPr>
            <w:r w:rsidRPr="00242020">
              <w:rPr>
                <w:sz w:val="26"/>
                <w:szCs w:val="26"/>
              </w:rPr>
              <w:t>133</w:t>
            </w:r>
          </w:p>
        </w:tc>
        <w:tc>
          <w:tcPr>
            <w:tcW w:w="2294" w:type="dxa"/>
            <w:vAlign w:val="bottom"/>
          </w:tcPr>
          <w:p w:rsidR="0010011A" w:rsidRPr="00242020" w:rsidRDefault="0010011A" w:rsidP="0010011A">
            <w:pPr>
              <w:ind w:right="227" w:firstLine="0"/>
              <w:jc w:val="center"/>
              <w:rPr>
                <w:sz w:val="26"/>
                <w:szCs w:val="26"/>
              </w:rPr>
            </w:pPr>
            <w:r w:rsidRPr="00242020">
              <w:rPr>
                <w:sz w:val="26"/>
                <w:szCs w:val="26"/>
              </w:rPr>
              <w:t>40</w:t>
            </w:r>
          </w:p>
        </w:tc>
        <w:tc>
          <w:tcPr>
            <w:tcW w:w="2376" w:type="dxa"/>
            <w:vAlign w:val="bottom"/>
          </w:tcPr>
          <w:p w:rsidR="0010011A" w:rsidRPr="00242020" w:rsidRDefault="0010011A" w:rsidP="0010011A">
            <w:pPr>
              <w:ind w:firstLine="0"/>
              <w:jc w:val="center"/>
              <w:rPr>
                <w:sz w:val="26"/>
                <w:szCs w:val="26"/>
              </w:rPr>
            </w:pPr>
            <w:r w:rsidRPr="00242020">
              <w:rPr>
                <w:sz w:val="26"/>
                <w:szCs w:val="26"/>
              </w:rPr>
              <w:t>30,08</w:t>
            </w:r>
          </w:p>
        </w:tc>
      </w:tr>
      <w:tr w:rsidR="0010011A" w:rsidRPr="00242020" w:rsidTr="0010011A">
        <w:trPr>
          <w:jc w:val="center"/>
        </w:trPr>
        <w:tc>
          <w:tcPr>
            <w:tcW w:w="2480" w:type="dxa"/>
            <w:vAlign w:val="bottom"/>
          </w:tcPr>
          <w:p w:rsidR="0010011A" w:rsidRPr="00242020" w:rsidRDefault="0010011A" w:rsidP="0010011A">
            <w:pPr>
              <w:ind w:firstLine="0"/>
              <w:rPr>
                <w:sz w:val="26"/>
                <w:szCs w:val="26"/>
              </w:rPr>
            </w:pPr>
            <w:r w:rsidRPr="00242020">
              <w:rPr>
                <w:sz w:val="26"/>
                <w:szCs w:val="26"/>
              </w:rPr>
              <w:t>Кіровоградська</w:t>
            </w:r>
          </w:p>
        </w:tc>
        <w:tc>
          <w:tcPr>
            <w:tcW w:w="2421" w:type="dxa"/>
            <w:vAlign w:val="bottom"/>
          </w:tcPr>
          <w:p w:rsidR="0010011A" w:rsidRPr="00242020" w:rsidRDefault="0010011A" w:rsidP="0010011A">
            <w:pPr>
              <w:ind w:right="227" w:firstLine="0"/>
              <w:jc w:val="center"/>
              <w:rPr>
                <w:sz w:val="26"/>
                <w:szCs w:val="26"/>
              </w:rPr>
            </w:pPr>
            <w:r w:rsidRPr="00242020">
              <w:rPr>
                <w:sz w:val="26"/>
                <w:szCs w:val="26"/>
              </w:rPr>
              <w:t>68</w:t>
            </w:r>
          </w:p>
        </w:tc>
        <w:tc>
          <w:tcPr>
            <w:tcW w:w="2294" w:type="dxa"/>
            <w:vAlign w:val="bottom"/>
          </w:tcPr>
          <w:p w:rsidR="0010011A" w:rsidRPr="00242020" w:rsidRDefault="0010011A" w:rsidP="0010011A">
            <w:pPr>
              <w:ind w:right="227" w:firstLine="0"/>
              <w:jc w:val="center"/>
              <w:rPr>
                <w:sz w:val="26"/>
                <w:szCs w:val="26"/>
              </w:rPr>
            </w:pPr>
            <w:r w:rsidRPr="00242020">
              <w:rPr>
                <w:sz w:val="26"/>
                <w:szCs w:val="26"/>
              </w:rPr>
              <w:t>18</w:t>
            </w:r>
          </w:p>
        </w:tc>
        <w:tc>
          <w:tcPr>
            <w:tcW w:w="2376" w:type="dxa"/>
            <w:vAlign w:val="bottom"/>
          </w:tcPr>
          <w:p w:rsidR="0010011A" w:rsidRPr="00242020" w:rsidRDefault="0010011A" w:rsidP="0010011A">
            <w:pPr>
              <w:ind w:firstLine="0"/>
              <w:jc w:val="center"/>
              <w:rPr>
                <w:sz w:val="26"/>
                <w:szCs w:val="26"/>
              </w:rPr>
            </w:pPr>
            <w:r w:rsidRPr="00242020">
              <w:rPr>
                <w:sz w:val="26"/>
                <w:szCs w:val="26"/>
              </w:rPr>
              <w:t>26,47</w:t>
            </w:r>
          </w:p>
        </w:tc>
      </w:tr>
      <w:tr w:rsidR="0010011A" w:rsidRPr="00242020" w:rsidTr="0010011A">
        <w:trPr>
          <w:jc w:val="center"/>
        </w:trPr>
        <w:tc>
          <w:tcPr>
            <w:tcW w:w="2480" w:type="dxa"/>
            <w:vAlign w:val="bottom"/>
          </w:tcPr>
          <w:p w:rsidR="0010011A" w:rsidRPr="00242020" w:rsidRDefault="0010011A" w:rsidP="0010011A">
            <w:pPr>
              <w:ind w:firstLine="0"/>
              <w:rPr>
                <w:sz w:val="26"/>
                <w:szCs w:val="26"/>
              </w:rPr>
            </w:pPr>
            <w:r w:rsidRPr="00242020">
              <w:rPr>
                <w:sz w:val="26"/>
                <w:szCs w:val="26"/>
              </w:rPr>
              <w:t>Львівська</w:t>
            </w:r>
          </w:p>
        </w:tc>
        <w:tc>
          <w:tcPr>
            <w:tcW w:w="2421" w:type="dxa"/>
            <w:vAlign w:val="bottom"/>
          </w:tcPr>
          <w:p w:rsidR="0010011A" w:rsidRPr="00242020" w:rsidRDefault="0010011A" w:rsidP="0010011A">
            <w:pPr>
              <w:ind w:right="227" w:firstLine="0"/>
              <w:jc w:val="center"/>
              <w:rPr>
                <w:sz w:val="26"/>
                <w:szCs w:val="26"/>
              </w:rPr>
            </w:pPr>
            <w:r w:rsidRPr="00242020">
              <w:rPr>
                <w:sz w:val="26"/>
                <w:szCs w:val="26"/>
              </w:rPr>
              <w:t>144</w:t>
            </w:r>
          </w:p>
        </w:tc>
        <w:tc>
          <w:tcPr>
            <w:tcW w:w="2294" w:type="dxa"/>
            <w:vAlign w:val="bottom"/>
          </w:tcPr>
          <w:p w:rsidR="0010011A" w:rsidRPr="00242020" w:rsidRDefault="0010011A" w:rsidP="0010011A">
            <w:pPr>
              <w:ind w:right="227" w:firstLine="0"/>
              <w:jc w:val="center"/>
              <w:rPr>
                <w:sz w:val="26"/>
                <w:szCs w:val="26"/>
              </w:rPr>
            </w:pPr>
            <w:r w:rsidRPr="00242020">
              <w:rPr>
                <w:sz w:val="26"/>
                <w:szCs w:val="26"/>
              </w:rPr>
              <w:t>32</w:t>
            </w:r>
          </w:p>
        </w:tc>
        <w:tc>
          <w:tcPr>
            <w:tcW w:w="2376" w:type="dxa"/>
            <w:vAlign w:val="bottom"/>
          </w:tcPr>
          <w:p w:rsidR="0010011A" w:rsidRPr="00242020" w:rsidRDefault="0010011A" w:rsidP="0010011A">
            <w:pPr>
              <w:ind w:firstLine="0"/>
              <w:jc w:val="center"/>
              <w:rPr>
                <w:sz w:val="26"/>
                <w:szCs w:val="26"/>
              </w:rPr>
            </w:pPr>
            <w:r w:rsidRPr="00242020">
              <w:rPr>
                <w:sz w:val="26"/>
                <w:szCs w:val="26"/>
              </w:rPr>
              <w:t>22,22</w:t>
            </w:r>
          </w:p>
        </w:tc>
      </w:tr>
      <w:tr w:rsidR="0010011A" w:rsidRPr="00242020" w:rsidTr="0010011A">
        <w:trPr>
          <w:jc w:val="center"/>
        </w:trPr>
        <w:tc>
          <w:tcPr>
            <w:tcW w:w="2480" w:type="dxa"/>
            <w:vAlign w:val="bottom"/>
          </w:tcPr>
          <w:p w:rsidR="0010011A" w:rsidRPr="00242020" w:rsidRDefault="0010011A" w:rsidP="0010011A">
            <w:pPr>
              <w:ind w:firstLine="0"/>
              <w:rPr>
                <w:sz w:val="26"/>
                <w:szCs w:val="26"/>
              </w:rPr>
            </w:pPr>
            <w:r w:rsidRPr="00242020">
              <w:rPr>
                <w:sz w:val="26"/>
                <w:szCs w:val="26"/>
              </w:rPr>
              <w:t>Луганська</w:t>
            </w:r>
          </w:p>
        </w:tc>
        <w:tc>
          <w:tcPr>
            <w:tcW w:w="2421" w:type="dxa"/>
            <w:vAlign w:val="bottom"/>
          </w:tcPr>
          <w:p w:rsidR="0010011A" w:rsidRPr="00242020" w:rsidRDefault="0010011A" w:rsidP="0010011A">
            <w:pPr>
              <w:ind w:right="227" w:firstLine="0"/>
              <w:jc w:val="center"/>
              <w:rPr>
                <w:sz w:val="26"/>
                <w:szCs w:val="26"/>
              </w:rPr>
            </w:pPr>
            <w:r w:rsidRPr="00242020">
              <w:rPr>
                <w:sz w:val="26"/>
                <w:szCs w:val="26"/>
              </w:rPr>
              <w:t>68</w:t>
            </w:r>
          </w:p>
        </w:tc>
        <w:tc>
          <w:tcPr>
            <w:tcW w:w="2294" w:type="dxa"/>
            <w:vAlign w:val="bottom"/>
          </w:tcPr>
          <w:p w:rsidR="0010011A" w:rsidRPr="00242020" w:rsidRDefault="0010011A" w:rsidP="0010011A">
            <w:pPr>
              <w:ind w:right="227" w:firstLine="0"/>
              <w:jc w:val="center"/>
              <w:rPr>
                <w:sz w:val="26"/>
                <w:szCs w:val="26"/>
              </w:rPr>
            </w:pPr>
            <w:r w:rsidRPr="00242020">
              <w:rPr>
                <w:sz w:val="26"/>
                <w:szCs w:val="26"/>
              </w:rPr>
              <w:t>9</w:t>
            </w:r>
          </w:p>
        </w:tc>
        <w:tc>
          <w:tcPr>
            <w:tcW w:w="2376" w:type="dxa"/>
            <w:vAlign w:val="bottom"/>
          </w:tcPr>
          <w:p w:rsidR="0010011A" w:rsidRPr="00242020" w:rsidRDefault="0010011A" w:rsidP="0010011A">
            <w:pPr>
              <w:ind w:firstLine="0"/>
              <w:jc w:val="center"/>
              <w:rPr>
                <w:sz w:val="26"/>
                <w:szCs w:val="26"/>
              </w:rPr>
            </w:pPr>
            <w:r w:rsidRPr="00242020">
              <w:rPr>
                <w:sz w:val="26"/>
                <w:szCs w:val="26"/>
              </w:rPr>
              <w:t>13,24</w:t>
            </w:r>
          </w:p>
        </w:tc>
      </w:tr>
      <w:tr w:rsidR="0010011A" w:rsidRPr="00242020" w:rsidTr="0010011A">
        <w:trPr>
          <w:jc w:val="center"/>
        </w:trPr>
        <w:tc>
          <w:tcPr>
            <w:tcW w:w="2480" w:type="dxa"/>
            <w:vAlign w:val="bottom"/>
          </w:tcPr>
          <w:p w:rsidR="0010011A" w:rsidRPr="00242020" w:rsidRDefault="0010011A" w:rsidP="0010011A">
            <w:pPr>
              <w:ind w:firstLine="0"/>
              <w:rPr>
                <w:sz w:val="26"/>
                <w:szCs w:val="26"/>
              </w:rPr>
            </w:pPr>
            <w:r w:rsidRPr="00242020">
              <w:rPr>
                <w:sz w:val="26"/>
                <w:szCs w:val="26"/>
              </w:rPr>
              <w:t>Миколаївська</w:t>
            </w:r>
          </w:p>
        </w:tc>
        <w:tc>
          <w:tcPr>
            <w:tcW w:w="2421" w:type="dxa"/>
            <w:vAlign w:val="bottom"/>
          </w:tcPr>
          <w:p w:rsidR="0010011A" w:rsidRPr="00242020" w:rsidRDefault="0010011A" w:rsidP="0010011A">
            <w:pPr>
              <w:ind w:right="227" w:firstLine="0"/>
              <w:jc w:val="center"/>
              <w:rPr>
                <w:sz w:val="26"/>
                <w:szCs w:val="26"/>
              </w:rPr>
            </w:pPr>
            <w:r w:rsidRPr="00242020">
              <w:rPr>
                <w:sz w:val="26"/>
                <w:szCs w:val="26"/>
              </w:rPr>
              <w:t>65</w:t>
            </w:r>
          </w:p>
        </w:tc>
        <w:tc>
          <w:tcPr>
            <w:tcW w:w="2294" w:type="dxa"/>
            <w:vAlign w:val="bottom"/>
          </w:tcPr>
          <w:p w:rsidR="0010011A" w:rsidRPr="00242020" w:rsidRDefault="0010011A" w:rsidP="0010011A">
            <w:pPr>
              <w:ind w:right="227" w:firstLine="0"/>
              <w:jc w:val="center"/>
              <w:rPr>
                <w:sz w:val="26"/>
                <w:szCs w:val="26"/>
              </w:rPr>
            </w:pPr>
            <w:r w:rsidRPr="00242020">
              <w:rPr>
                <w:sz w:val="26"/>
                <w:szCs w:val="26"/>
              </w:rPr>
              <w:t>17</w:t>
            </w:r>
          </w:p>
        </w:tc>
        <w:tc>
          <w:tcPr>
            <w:tcW w:w="2376" w:type="dxa"/>
            <w:vAlign w:val="bottom"/>
          </w:tcPr>
          <w:p w:rsidR="0010011A" w:rsidRPr="00242020" w:rsidRDefault="0010011A" w:rsidP="0010011A">
            <w:pPr>
              <w:ind w:firstLine="0"/>
              <w:jc w:val="center"/>
              <w:rPr>
                <w:sz w:val="26"/>
                <w:szCs w:val="26"/>
              </w:rPr>
            </w:pPr>
            <w:r w:rsidRPr="00242020">
              <w:rPr>
                <w:sz w:val="26"/>
                <w:szCs w:val="26"/>
              </w:rPr>
              <w:t>26,15</w:t>
            </w:r>
          </w:p>
        </w:tc>
      </w:tr>
      <w:tr w:rsidR="0010011A" w:rsidRPr="00242020" w:rsidTr="0010011A">
        <w:trPr>
          <w:jc w:val="center"/>
        </w:trPr>
        <w:tc>
          <w:tcPr>
            <w:tcW w:w="2480" w:type="dxa"/>
            <w:vAlign w:val="bottom"/>
          </w:tcPr>
          <w:p w:rsidR="0010011A" w:rsidRPr="00242020" w:rsidRDefault="0010011A" w:rsidP="0010011A">
            <w:pPr>
              <w:ind w:firstLine="0"/>
              <w:rPr>
                <w:sz w:val="26"/>
                <w:szCs w:val="26"/>
              </w:rPr>
            </w:pPr>
            <w:r w:rsidRPr="00242020">
              <w:rPr>
                <w:sz w:val="26"/>
                <w:szCs w:val="26"/>
              </w:rPr>
              <w:t>Одеська</w:t>
            </w:r>
          </w:p>
        </w:tc>
        <w:tc>
          <w:tcPr>
            <w:tcW w:w="2421" w:type="dxa"/>
            <w:vAlign w:val="bottom"/>
          </w:tcPr>
          <w:p w:rsidR="0010011A" w:rsidRPr="00242020" w:rsidRDefault="0010011A" w:rsidP="0010011A">
            <w:pPr>
              <w:ind w:right="227" w:firstLine="0"/>
              <w:jc w:val="center"/>
              <w:rPr>
                <w:sz w:val="26"/>
                <w:szCs w:val="26"/>
              </w:rPr>
            </w:pPr>
            <w:r w:rsidRPr="00242020">
              <w:rPr>
                <w:sz w:val="26"/>
                <w:szCs w:val="26"/>
              </w:rPr>
              <w:t>191</w:t>
            </w:r>
          </w:p>
        </w:tc>
        <w:tc>
          <w:tcPr>
            <w:tcW w:w="2294" w:type="dxa"/>
            <w:vAlign w:val="bottom"/>
          </w:tcPr>
          <w:p w:rsidR="0010011A" w:rsidRPr="00242020" w:rsidRDefault="0010011A" w:rsidP="0010011A">
            <w:pPr>
              <w:ind w:right="227" w:firstLine="0"/>
              <w:jc w:val="center"/>
              <w:rPr>
                <w:sz w:val="26"/>
                <w:szCs w:val="26"/>
              </w:rPr>
            </w:pPr>
            <w:r w:rsidRPr="00242020">
              <w:rPr>
                <w:sz w:val="26"/>
                <w:szCs w:val="26"/>
              </w:rPr>
              <w:t>27</w:t>
            </w:r>
          </w:p>
        </w:tc>
        <w:tc>
          <w:tcPr>
            <w:tcW w:w="2376" w:type="dxa"/>
            <w:vAlign w:val="bottom"/>
          </w:tcPr>
          <w:p w:rsidR="0010011A" w:rsidRPr="00242020" w:rsidRDefault="0010011A" w:rsidP="0010011A">
            <w:pPr>
              <w:ind w:firstLine="0"/>
              <w:jc w:val="center"/>
              <w:rPr>
                <w:sz w:val="26"/>
                <w:szCs w:val="26"/>
              </w:rPr>
            </w:pPr>
            <w:r w:rsidRPr="00242020">
              <w:rPr>
                <w:sz w:val="26"/>
                <w:szCs w:val="26"/>
              </w:rPr>
              <w:t>14,14</w:t>
            </w:r>
          </w:p>
        </w:tc>
      </w:tr>
      <w:tr w:rsidR="0010011A" w:rsidRPr="00242020" w:rsidTr="0010011A">
        <w:trPr>
          <w:jc w:val="center"/>
        </w:trPr>
        <w:tc>
          <w:tcPr>
            <w:tcW w:w="2480" w:type="dxa"/>
            <w:vAlign w:val="bottom"/>
          </w:tcPr>
          <w:p w:rsidR="0010011A" w:rsidRPr="00242020" w:rsidRDefault="0010011A" w:rsidP="0010011A">
            <w:pPr>
              <w:ind w:firstLine="0"/>
              <w:rPr>
                <w:sz w:val="26"/>
                <w:szCs w:val="26"/>
              </w:rPr>
            </w:pPr>
            <w:r w:rsidRPr="00242020">
              <w:rPr>
                <w:sz w:val="26"/>
                <w:szCs w:val="26"/>
              </w:rPr>
              <w:t>Полтавська</w:t>
            </w:r>
          </w:p>
        </w:tc>
        <w:tc>
          <w:tcPr>
            <w:tcW w:w="2421" w:type="dxa"/>
            <w:vAlign w:val="bottom"/>
          </w:tcPr>
          <w:p w:rsidR="0010011A" w:rsidRPr="00242020" w:rsidRDefault="0010011A" w:rsidP="0010011A">
            <w:pPr>
              <w:ind w:right="227" w:firstLine="0"/>
              <w:jc w:val="center"/>
              <w:rPr>
                <w:sz w:val="26"/>
                <w:szCs w:val="26"/>
              </w:rPr>
            </w:pPr>
            <w:r w:rsidRPr="00242020">
              <w:rPr>
                <w:sz w:val="26"/>
                <w:szCs w:val="26"/>
              </w:rPr>
              <w:t>101</w:t>
            </w:r>
          </w:p>
        </w:tc>
        <w:tc>
          <w:tcPr>
            <w:tcW w:w="2294" w:type="dxa"/>
            <w:vAlign w:val="bottom"/>
          </w:tcPr>
          <w:p w:rsidR="0010011A" w:rsidRPr="00242020" w:rsidRDefault="0010011A" w:rsidP="0010011A">
            <w:pPr>
              <w:ind w:right="227" w:firstLine="0"/>
              <w:jc w:val="center"/>
              <w:rPr>
                <w:sz w:val="26"/>
                <w:szCs w:val="26"/>
              </w:rPr>
            </w:pPr>
            <w:r w:rsidRPr="00242020">
              <w:rPr>
                <w:sz w:val="26"/>
                <w:szCs w:val="26"/>
              </w:rPr>
              <w:t>19</w:t>
            </w:r>
          </w:p>
        </w:tc>
        <w:tc>
          <w:tcPr>
            <w:tcW w:w="2376" w:type="dxa"/>
            <w:vAlign w:val="bottom"/>
          </w:tcPr>
          <w:p w:rsidR="0010011A" w:rsidRPr="00242020" w:rsidRDefault="0010011A" w:rsidP="0010011A">
            <w:pPr>
              <w:ind w:firstLine="0"/>
              <w:jc w:val="center"/>
              <w:rPr>
                <w:sz w:val="26"/>
                <w:szCs w:val="26"/>
              </w:rPr>
            </w:pPr>
            <w:r w:rsidRPr="00242020">
              <w:rPr>
                <w:sz w:val="26"/>
                <w:szCs w:val="26"/>
              </w:rPr>
              <w:t>18,81</w:t>
            </w:r>
          </w:p>
        </w:tc>
      </w:tr>
      <w:tr w:rsidR="0010011A" w:rsidRPr="00242020" w:rsidTr="0010011A">
        <w:trPr>
          <w:jc w:val="center"/>
        </w:trPr>
        <w:tc>
          <w:tcPr>
            <w:tcW w:w="2480" w:type="dxa"/>
            <w:vAlign w:val="bottom"/>
          </w:tcPr>
          <w:p w:rsidR="0010011A" w:rsidRPr="00242020" w:rsidRDefault="0010011A" w:rsidP="0010011A">
            <w:pPr>
              <w:ind w:firstLine="0"/>
              <w:rPr>
                <w:sz w:val="26"/>
                <w:szCs w:val="26"/>
              </w:rPr>
            </w:pPr>
            <w:r w:rsidRPr="00242020">
              <w:rPr>
                <w:sz w:val="26"/>
                <w:szCs w:val="26"/>
              </w:rPr>
              <w:t>Рівненська</w:t>
            </w:r>
          </w:p>
        </w:tc>
        <w:tc>
          <w:tcPr>
            <w:tcW w:w="2421" w:type="dxa"/>
            <w:vAlign w:val="bottom"/>
          </w:tcPr>
          <w:p w:rsidR="0010011A" w:rsidRPr="00242020" w:rsidRDefault="0010011A" w:rsidP="0010011A">
            <w:pPr>
              <w:ind w:right="227" w:firstLine="0"/>
              <w:jc w:val="center"/>
              <w:rPr>
                <w:sz w:val="26"/>
                <w:szCs w:val="26"/>
              </w:rPr>
            </w:pPr>
            <w:r w:rsidRPr="00242020">
              <w:rPr>
                <w:sz w:val="26"/>
                <w:szCs w:val="26"/>
              </w:rPr>
              <w:t>49</w:t>
            </w:r>
          </w:p>
        </w:tc>
        <w:tc>
          <w:tcPr>
            <w:tcW w:w="2294" w:type="dxa"/>
            <w:vAlign w:val="bottom"/>
          </w:tcPr>
          <w:p w:rsidR="0010011A" w:rsidRPr="00242020" w:rsidRDefault="0010011A" w:rsidP="0010011A">
            <w:pPr>
              <w:ind w:right="227" w:firstLine="0"/>
              <w:jc w:val="center"/>
              <w:rPr>
                <w:sz w:val="26"/>
                <w:szCs w:val="26"/>
              </w:rPr>
            </w:pPr>
            <w:r w:rsidRPr="00242020">
              <w:rPr>
                <w:sz w:val="26"/>
                <w:szCs w:val="26"/>
              </w:rPr>
              <w:t>16</w:t>
            </w:r>
          </w:p>
        </w:tc>
        <w:tc>
          <w:tcPr>
            <w:tcW w:w="2376" w:type="dxa"/>
            <w:vAlign w:val="bottom"/>
          </w:tcPr>
          <w:p w:rsidR="0010011A" w:rsidRPr="00242020" w:rsidRDefault="0010011A" w:rsidP="0010011A">
            <w:pPr>
              <w:ind w:firstLine="0"/>
              <w:jc w:val="center"/>
              <w:rPr>
                <w:sz w:val="26"/>
                <w:szCs w:val="26"/>
              </w:rPr>
            </w:pPr>
            <w:r w:rsidRPr="00242020">
              <w:rPr>
                <w:sz w:val="26"/>
                <w:szCs w:val="26"/>
              </w:rPr>
              <w:t>32,65</w:t>
            </w:r>
          </w:p>
        </w:tc>
      </w:tr>
      <w:tr w:rsidR="0010011A" w:rsidRPr="00242020" w:rsidTr="0010011A">
        <w:trPr>
          <w:jc w:val="center"/>
        </w:trPr>
        <w:tc>
          <w:tcPr>
            <w:tcW w:w="2480" w:type="dxa"/>
            <w:vAlign w:val="bottom"/>
          </w:tcPr>
          <w:p w:rsidR="0010011A" w:rsidRPr="00242020" w:rsidRDefault="0010011A" w:rsidP="0010011A">
            <w:pPr>
              <w:ind w:firstLine="0"/>
              <w:rPr>
                <w:sz w:val="26"/>
                <w:szCs w:val="26"/>
              </w:rPr>
            </w:pPr>
            <w:r w:rsidRPr="00242020">
              <w:rPr>
                <w:sz w:val="26"/>
                <w:szCs w:val="26"/>
              </w:rPr>
              <w:t>Сумська</w:t>
            </w:r>
          </w:p>
        </w:tc>
        <w:tc>
          <w:tcPr>
            <w:tcW w:w="2421" w:type="dxa"/>
            <w:vAlign w:val="bottom"/>
          </w:tcPr>
          <w:p w:rsidR="0010011A" w:rsidRPr="00242020" w:rsidRDefault="0010011A" w:rsidP="0010011A">
            <w:pPr>
              <w:ind w:right="227" w:firstLine="0"/>
              <w:jc w:val="center"/>
              <w:rPr>
                <w:sz w:val="26"/>
                <w:szCs w:val="26"/>
              </w:rPr>
            </w:pPr>
            <w:r w:rsidRPr="00242020">
              <w:rPr>
                <w:sz w:val="26"/>
                <w:szCs w:val="26"/>
              </w:rPr>
              <w:t>77</w:t>
            </w:r>
          </w:p>
        </w:tc>
        <w:tc>
          <w:tcPr>
            <w:tcW w:w="2294" w:type="dxa"/>
            <w:vAlign w:val="bottom"/>
          </w:tcPr>
          <w:p w:rsidR="0010011A" w:rsidRPr="00242020" w:rsidRDefault="0010011A" w:rsidP="0010011A">
            <w:pPr>
              <w:ind w:right="227" w:firstLine="0"/>
              <w:jc w:val="center"/>
              <w:rPr>
                <w:sz w:val="26"/>
                <w:szCs w:val="26"/>
              </w:rPr>
            </w:pPr>
            <w:r w:rsidRPr="00242020">
              <w:rPr>
                <w:sz w:val="26"/>
                <w:szCs w:val="26"/>
              </w:rPr>
              <w:t>11</w:t>
            </w:r>
          </w:p>
        </w:tc>
        <w:tc>
          <w:tcPr>
            <w:tcW w:w="2376" w:type="dxa"/>
            <w:vAlign w:val="bottom"/>
          </w:tcPr>
          <w:p w:rsidR="0010011A" w:rsidRPr="00242020" w:rsidRDefault="0010011A" w:rsidP="0010011A">
            <w:pPr>
              <w:ind w:firstLine="0"/>
              <w:jc w:val="center"/>
              <w:rPr>
                <w:sz w:val="26"/>
                <w:szCs w:val="26"/>
              </w:rPr>
            </w:pPr>
            <w:r w:rsidRPr="00242020">
              <w:rPr>
                <w:sz w:val="26"/>
                <w:szCs w:val="26"/>
              </w:rPr>
              <w:t>14,28</w:t>
            </w:r>
          </w:p>
        </w:tc>
      </w:tr>
      <w:tr w:rsidR="0010011A" w:rsidRPr="00242020" w:rsidTr="0010011A">
        <w:trPr>
          <w:jc w:val="center"/>
        </w:trPr>
        <w:tc>
          <w:tcPr>
            <w:tcW w:w="2480" w:type="dxa"/>
            <w:vAlign w:val="bottom"/>
          </w:tcPr>
          <w:p w:rsidR="0010011A" w:rsidRPr="00242020" w:rsidRDefault="0010011A" w:rsidP="0010011A">
            <w:pPr>
              <w:ind w:firstLine="0"/>
              <w:rPr>
                <w:sz w:val="26"/>
                <w:szCs w:val="26"/>
              </w:rPr>
            </w:pPr>
            <w:r w:rsidRPr="00242020">
              <w:rPr>
                <w:sz w:val="26"/>
                <w:szCs w:val="26"/>
              </w:rPr>
              <w:t>Тернопільська</w:t>
            </w:r>
          </w:p>
        </w:tc>
        <w:tc>
          <w:tcPr>
            <w:tcW w:w="2421" w:type="dxa"/>
            <w:vAlign w:val="bottom"/>
          </w:tcPr>
          <w:p w:rsidR="0010011A" w:rsidRPr="00242020" w:rsidRDefault="0010011A" w:rsidP="0010011A">
            <w:pPr>
              <w:ind w:right="227" w:firstLine="0"/>
              <w:jc w:val="center"/>
              <w:rPr>
                <w:sz w:val="26"/>
                <w:szCs w:val="26"/>
              </w:rPr>
            </w:pPr>
            <w:r w:rsidRPr="00242020">
              <w:rPr>
                <w:sz w:val="26"/>
                <w:szCs w:val="26"/>
              </w:rPr>
              <w:t>50</w:t>
            </w:r>
          </w:p>
        </w:tc>
        <w:tc>
          <w:tcPr>
            <w:tcW w:w="2294" w:type="dxa"/>
            <w:vAlign w:val="bottom"/>
          </w:tcPr>
          <w:p w:rsidR="0010011A" w:rsidRPr="00242020" w:rsidRDefault="0010011A" w:rsidP="0010011A">
            <w:pPr>
              <w:ind w:right="227" w:firstLine="0"/>
              <w:jc w:val="center"/>
              <w:rPr>
                <w:sz w:val="26"/>
                <w:szCs w:val="26"/>
              </w:rPr>
            </w:pPr>
            <w:r w:rsidRPr="00242020">
              <w:rPr>
                <w:sz w:val="26"/>
                <w:szCs w:val="26"/>
              </w:rPr>
              <w:t>15</w:t>
            </w:r>
          </w:p>
        </w:tc>
        <w:tc>
          <w:tcPr>
            <w:tcW w:w="2376" w:type="dxa"/>
            <w:vAlign w:val="bottom"/>
          </w:tcPr>
          <w:p w:rsidR="0010011A" w:rsidRPr="00242020" w:rsidRDefault="0010011A" w:rsidP="0010011A">
            <w:pPr>
              <w:ind w:firstLine="0"/>
              <w:jc w:val="center"/>
              <w:rPr>
                <w:sz w:val="26"/>
                <w:szCs w:val="26"/>
              </w:rPr>
            </w:pPr>
            <w:r w:rsidRPr="00242020">
              <w:rPr>
                <w:sz w:val="26"/>
                <w:szCs w:val="26"/>
              </w:rPr>
              <w:t>30,00</w:t>
            </w:r>
          </w:p>
        </w:tc>
      </w:tr>
      <w:tr w:rsidR="0010011A" w:rsidRPr="00242020" w:rsidTr="0010011A">
        <w:trPr>
          <w:jc w:val="center"/>
        </w:trPr>
        <w:tc>
          <w:tcPr>
            <w:tcW w:w="2480" w:type="dxa"/>
            <w:vAlign w:val="bottom"/>
          </w:tcPr>
          <w:p w:rsidR="0010011A" w:rsidRPr="00242020" w:rsidRDefault="0010011A" w:rsidP="0010011A">
            <w:pPr>
              <w:ind w:firstLine="0"/>
              <w:rPr>
                <w:sz w:val="26"/>
                <w:szCs w:val="26"/>
              </w:rPr>
            </w:pPr>
            <w:r w:rsidRPr="00242020">
              <w:rPr>
                <w:sz w:val="26"/>
                <w:szCs w:val="26"/>
              </w:rPr>
              <w:t>Харківська</w:t>
            </w:r>
          </w:p>
        </w:tc>
        <w:tc>
          <w:tcPr>
            <w:tcW w:w="2421" w:type="dxa"/>
            <w:vAlign w:val="bottom"/>
          </w:tcPr>
          <w:p w:rsidR="0010011A" w:rsidRPr="00242020" w:rsidRDefault="0010011A" w:rsidP="0010011A">
            <w:pPr>
              <w:ind w:right="227" w:firstLine="0"/>
              <w:jc w:val="center"/>
              <w:rPr>
                <w:sz w:val="26"/>
                <w:szCs w:val="26"/>
              </w:rPr>
            </w:pPr>
            <w:r w:rsidRPr="00242020">
              <w:rPr>
                <w:sz w:val="26"/>
                <w:szCs w:val="26"/>
              </w:rPr>
              <w:t>200</w:t>
            </w:r>
          </w:p>
        </w:tc>
        <w:tc>
          <w:tcPr>
            <w:tcW w:w="2294" w:type="dxa"/>
            <w:vAlign w:val="bottom"/>
          </w:tcPr>
          <w:p w:rsidR="0010011A" w:rsidRPr="00242020" w:rsidRDefault="0010011A" w:rsidP="0010011A">
            <w:pPr>
              <w:ind w:right="227" w:firstLine="0"/>
              <w:jc w:val="center"/>
              <w:rPr>
                <w:sz w:val="26"/>
                <w:szCs w:val="26"/>
              </w:rPr>
            </w:pPr>
            <w:r w:rsidRPr="00242020">
              <w:rPr>
                <w:sz w:val="26"/>
                <w:szCs w:val="26"/>
              </w:rPr>
              <w:t>50</w:t>
            </w:r>
          </w:p>
        </w:tc>
        <w:tc>
          <w:tcPr>
            <w:tcW w:w="2376" w:type="dxa"/>
            <w:vAlign w:val="bottom"/>
          </w:tcPr>
          <w:p w:rsidR="0010011A" w:rsidRPr="00242020" w:rsidRDefault="0010011A" w:rsidP="0010011A">
            <w:pPr>
              <w:ind w:firstLine="0"/>
              <w:jc w:val="center"/>
              <w:rPr>
                <w:sz w:val="26"/>
                <w:szCs w:val="26"/>
              </w:rPr>
            </w:pPr>
            <w:r w:rsidRPr="00242020">
              <w:rPr>
                <w:sz w:val="26"/>
                <w:szCs w:val="26"/>
              </w:rPr>
              <w:t>25,00</w:t>
            </w:r>
          </w:p>
        </w:tc>
      </w:tr>
      <w:tr w:rsidR="0010011A" w:rsidRPr="00242020" w:rsidTr="0010011A">
        <w:trPr>
          <w:jc w:val="center"/>
        </w:trPr>
        <w:tc>
          <w:tcPr>
            <w:tcW w:w="2480" w:type="dxa"/>
            <w:vAlign w:val="bottom"/>
          </w:tcPr>
          <w:p w:rsidR="0010011A" w:rsidRPr="00242020" w:rsidRDefault="0010011A" w:rsidP="0010011A">
            <w:pPr>
              <w:ind w:firstLine="0"/>
              <w:rPr>
                <w:sz w:val="26"/>
                <w:szCs w:val="26"/>
              </w:rPr>
            </w:pPr>
            <w:r w:rsidRPr="00242020">
              <w:rPr>
                <w:sz w:val="26"/>
                <w:szCs w:val="26"/>
              </w:rPr>
              <w:t xml:space="preserve">Херсонська, </w:t>
            </w:r>
            <w:proofErr w:type="spellStart"/>
            <w:r w:rsidRPr="00242020">
              <w:rPr>
                <w:sz w:val="26"/>
                <w:szCs w:val="26"/>
              </w:rPr>
              <w:t>АРК</w:t>
            </w:r>
            <w:proofErr w:type="spellEnd"/>
            <w:r w:rsidRPr="00242020">
              <w:rPr>
                <w:sz w:val="26"/>
                <w:szCs w:val="26"/>
              </w:rPr>
              <w:t xml:space="preserve"> та м. Севастополь</w:t>
            </w:r>
          </w:p>
        </w:tc>
        <w:tc>
          <w:tcPr>
            <w:tcW w:w="2421" w:type="dxa"/>
            <w:vAlign w:val="bottom"/>
          </w:tcPr>
          <w:p w:rsidR="0010011A" w:rsidRPr="00242020" w:rsidRDefault="0010011A" w:rsidP="0010011A">
            <w:pPr>
              <w:ind w:right="227" w:firstLine="0"/>
              <w:jc w:val="center"/>
              <w:rPr>
                <w:sz w:val="26"/>
                <w:szCs w:val="26"/>
              </w:rPr>
            </w:pPr>
            <w:r w:rsidRPr="00242020">
              <w:rPr>
                <w:sz w:val="26"/>
                <w:szCs w:val="26"/>
              </w:rPr>
              <w:t>66</w:t>
            </w:r>
          </w:p>
        </w:tc>
        <w:tc>
          <w:tcPr>
            <w:tcW w:w="2294" w:type="dxa"/>
            <w:vAlign w:val="bottom"/>
          </w:tcPr>
          <w:p w:rsidR="0010011A" w:rsidRPr="00242020" w:rsidRDefault="0010011A" w:rsidP="0010011A">
            <w:pPr>
              <w:ind w:right="227" w:firstLine="0"/>
              <w:jc w:val="center"/>
              <w:rPr>
                <w:sz w:val="26"/>
                <w:szCs w:val="26"/>
              </w:rPr>
            </w:pPr>
            <w:r w:rsidRPr="00242020">
              <w:rPr>
                <w:sz w:val="26"/>
                <w:szCs w:val="26"/>
              </w:rPr>
              <w:t>13</w:t>
            </w:r>
          </w:p>
        </w:tc>
        <w:tc>
          <w:tcPr>
            <w:tcW w:w="2376" w:type="dxa"/>
            <w:vAlign w:val="bottom"/>
          </w:tcPr>
          <w:p w:rsidR="0010011A" w:rsidRPr="00242020" w:rsidRDefault="0010011A" w:rsidP="0010011A">
            <w:pPr>
              <w:ind w:firstLine="0"/>
              <w:jc w:val="center"/>
              <w:rPr>
                <w:sz w:val="26"/>
                <w:szCs w:val="26"/>
              </w:rPr>
            </w:pPr>
            <w:r w:rsidRPr="00242020">
              <w:rPr>
                <w:sz w:val="26"/>
                <w:szCs w:val="26"/>
              </w:rPr>
              <w:t>19,67</w:t>
            </w:r>
          </w:p>
        </w:tc>
      </w:tr>
      <w:tr w:rsidR="0010011A" w:rsidRPr="00242020" w:rsidTr="0010011A">
        <w:trPr>
          <w:jc w:val="center"/>
        </w:trPr>
        <w:tc>
          <w:tcPr>
            <w:tcW w:w="2480" w:type="dxa"/>
            <w:vAlign w:val="bottom"/>
          </w:tcPr>
          <w:p w:rsidR="0010011A" w:rsidRPr="00242020" w:rsidRDefault="0010011A" w:rsidP="0010011A">
            <w:pPr>
              <w:ind w:firstLine="0"/>
              <w:rPr>
                <w:sz w:val="26"/>
                <w:szCs w:val="26"/>
              </w:rPr>
            </w:pPr>
            <w:r w:rsidRPr="00242020">
              <w:rPr>
                <w:sz w:val="26"/>
                <w:szCs w:val="26"/>
              </w:rPr>
              <w:t>Хмельницька</w:t>
            </w:r>
          </w:p>
        </w:tc>
        <w:tc>
          <w:tcPr>
            <w:tcW w:w="2421" w:type="dxa"/>
            <w:vAlign w:val="bottom"/>
          </w:tcPr>
          <w:p w:rsidR="0010011A" w:rsidRPr="00242020" w:rsidRDefault="0010011A" w:rsidP="0010011A">
            <w:pPr>
              <w:ind w:right="227" w:firstLine="0"/>
              <w:jc w:val="center"/>
              <w:rPr>
                <w:sz w:val="26"/>
                <w:szCs w:val="26"/>
              </w:rPr>
            </w:pPr>
            <w:r w:rsidRPr="00242020">
              <w:rPr>
                <w:sz w:val="26"/>
                <w:szCs w:val="26"/>
              </w:rPr>
              <w:t>78</w:t>
            </w:r>
          </w:p>
        </w:tc>
        <w:tc>
          <w:tcPr>
            <w:tcW w:w="2294" w:type="dxa"/>
            <w:vAlign w:val="bottom"/>
          </w:tcPr>
          <w:p w:rsidR="0010011A" w:rsidRPr="00242020" w:rsidRDefault="0010011A" w:rsidP="0010011A">
            <w:pPr>
              <w:ind w:right="227" w:firstLine="0"/>
              <w:jc w:val="center"/>
              <w:rPr>
                <w:sz w:val="26"/>
                <w:szCs w:val="26"/>
              </w:rPr>
            </w:pPr>
            <w:r w:rsidRPr="00242020">
              <w:rPr>
                <w:sz w:val="26"/>
                <w:szCs w:val="26"/>
              </w:rPr>
              <w:t>28</w:t>
            </w:r>
          </w:p>
        </w:tc>
        <w:tc>
          <w:tcPr>
            <w:tcW w:w="2376" w:type="dxa"/>
            <w:vAlign w:val="bottom"/>
          </w:tcPr>
          <w:p w:rsidR="0010011A" w:rsidRPr="00242020" w:rsidRDefault="0010011A" w:rsidP="0010011A">
            <w:pPr>
              <w:ind w:firstLine="0"/>
              <w:jc w:val="center"/>
              <w:rPr>
                <w:sz w:val="26"/>
                <w:szCs w:val="26"/>
              </w:rPr>
            </w:pPr>
            <w:r w:rsidRPr="00242020">
              <w:rPr>
                <w:sz w:val="26"/>
                <w:szCs w:val="26"/>
              </w:rPr>
              <w:t>35,44</w:t>
            </w:r>
          </w:p>
        </w:tc>
      </w:tr>
      <w:tr w:rsidR="0010011A" w:rsidRPr="00242020" w:rsidTr="0010011A">
        <w:trPr>
          <w:jc w:val="center"/>
        </w:trPr>
        <w:tc>
          <w:tcPr>
            <w:tcW w:w="2480" w:type="dxa"/>
            <w:vAlign w:val="bottom"/>
          </w:tcPr>
          <w:p w:rsidR="0010011A" w:rsidRPr="00242020" w:rsidRDefault="0010011A" w:rsidP="0010011A">
            <w:pPr>
              <w:ind w:firstLine="0"/>
              <w:rPr>
                <w:sz w:val="26"/>
                <w:szCs w:val="26"/>
              </w:rPr>
            </w:pPr>
            <w:r w:rsidRPr="00242020">
              <w:rPr>
                <w:sz w:val="26"/>
                <w:szCs w:val="26"/>
              </w:rPr>
              <w:t>Черкаська</w:t>
            </w:r>
          </w:p>
        </w:tc>
        <w:tc>
          <w:tcPr>
            <w:tcW w:w="2421" w:type="dxa"/>
            <w:vAlign w:val="bottom"/>
          </w:tcPr>
          <w:p w:rsidR="0010011A" w:rsidRPr="00242020" w:rsidRDefault="0010011A" w:rsidP="0010011A">
            <w:pPr>
              <w:ind w:right="227" w:firstLine="0"/>
              <w:jc w:val="center"/>
              <w:rPr>
                <w:sz w:val="26"/>
                <w:szCs w:val="26"/>
              </w:rPr>
            </w:pPr>
            <w:r w:rsidRPr="00242020">
              <w:rPr>
                <w:sz w:val="26"/>
                <w:szCs w:val="26"/>
              </w:rPr>
              <w:t>91</w:t>
            </w:r>
          </w:p>
        </w:tc>
        <w:tc>
          <w:tcPr>
            <w:tcW w:w="2294" w:type="dxa"/>
            <w:vAlign w:val="bottom"/>
          </w:tcPr>
          <w:p w:rsidR="0010011A" w:rsidRPr="00242020" w:rsidRDefault="0010011A" w:rsidP="0010011A">
            <w:pPr>
              <w:ind w:right="227" w:firstLine="0"/>
              <w:jc w:val="center"/>
              <w:rPr>
                <w:sz w:val="26"/>
                <w:szCs w:val="26"/>
              </w:rPr>
            </w:pPr>
            <w:r w:rsidRPr="00242020">
              <w:rPr>
                <w:sz w:val="26"/>
                <w:szCs w:val="26"/>
              </w:rPr>
              <w:t>28</w:t>
            </w:r>
          </w:p>
        </w:tc>
        <w:tc>
          <w:tcPr>
            <w:tcW w:w="2376" w:type="dxa"/>
            <w:vAlign w:val="bottom"/>
          </w:tcPr>
          <w:p w:rsidR="0010011A" w:rsidRPr="00242020" w:rsidRDefault="0010011A" w:rsidP="0010011A">
            <w:pPr>
              <w:ind w:firstLine="0"/>
              <w:jc w:val="center"/>
              <w:rPr>
                <w:sz w:val="26"/>
                <w:szCs w:val="26"/>
              </w:rPr>
            </w:pPr>
            <w:r w:rsidRPr="00242020">
              <w:rPr>
                <w:sz w:val="26"/>
                <w:szCs w:val="26"/>
              </w:rPr>
              <w:t>30,77</w:t>
            </w:r>
          </w:p>
        </w:tc>
      </w:tr>
      <w:tr w:rsidR="0010011A" w:rsidRPr="00242020" w:rsidTr="0010011A">
        <w:trPr>
          <w:trHeight w:val="329"/>
          <w:jc w:val="center"/>
        </w:trPr>
        <w:tc>
          <w:tcPr>
            <w:tcW w:w="2480" w:type="dxa"/>
            <w:vAlign w:val="bottom"/>
          </w:tcPr>
          <w:p w:rsidR="0010011A" w:rsidRPr="00242020" w:rsidRDefault="0010011A" w:rsidP="0010011A">
            <w:pPr>
              <w:ind w:firstLine="0"/>
              <w:rPr>
                <w:sz w:val="26"/>
                <w:szCs w:val="26"/>
              </w:rPr>
            </w:pPr>
            <w:r w:rsidRPr="00242020">
              <w:rPr>
                <w:sz w:val="26"/>
                <w:szCs w:val="26"/>
              </w:rPr>
              <w:t>Чернівецька</w:t>
            </w:r>
          </w:p>
        </w:tc>
        <w:tc>
          <w:tcPr>
            <w:tcW w:w="2421" w:type="dxa"/>
            <w:vAlign w:val="bottom"/>
          </w:tcPr>
          <w:p w:rsidR="0010011A" w:rsidRPr="00242020" w:rsidRDefault="0010011A" w:rsidP="0010011A">
            <w:pPr>
              <w:ind w:right="227" w:firstLine="0"/>
              <w:jc w:val="center"/>
              <w:rPr>
                <w:sz w:val="26"/>
                <w:szCs w:val="26"/>
              </w:rPr>
            </w:pPr>
            <w:r w:rsidRPr="00242020">
              <w:rPr>
                <w:sz w:val="26"/>
                <w:szCs w:val="26"/>
              </w:rPr>
              <w:t>45</w:t>
            </w:r>
          </w:p>
        </w:tc>
        <w:tc>
          <w:tcPr>
            <w:tcW w:w="2294" w:type="dxa"/>
            <w:vAlign w:val="bottom"/>
          </w:tcPr>
          <w:p w:rsidR="0010011A" w:rsidRPr="00242020" w:rsidRDefault="0010011A" w:rsidP="0010011A">
            <w:pPr>
              <w:ind w:right="227" w:firstLine="0"/>
              <w:jc w:val="center"/>
              <w:rPr>
                <w:sz w:val="26"/>
                <w:szCs w:val="26"/>
              </w:rPr>
            </w:pPr>
            <w:r w:rsidRPr="00242020">
              <w:rPr>
                <w:sz w:val="26"/>
                <w:szCs w:val="26"/>
              </w:rPr>
              <w:t>9</w:t>
            </w:r>
          </w:p>
        </w:tc>
        <w:tc>
          <w:tcPr>
            <w:tcW w:w="2376" w:type="dxa"/>
            <w:vAlign w:val="bottom"/>
          </w:tcPr>
          <w:p w:rsidR="0010011A" w:rsidRPr="00242020" w:rsidRDefault="0010011A" w:rsidP="0010011A">
            <w:pPr>
              <w:ind w:firstLine="0"/>
              <w:jc w:val="center"/>
              <w:rPr>
                <w:sz w:val="26"/>
                <w:szCs w:val="26"/>
              </w:rPr>
            </w:pPr>
            <w:r w:rsidRPr="00242020">
              <w:rPr>
                <w:sz w:val="26"/>
                <w:szCs w:val="26"/>
              </w:rPr>
              <w:t>20,00</w:t>
            </w:r>
          </w:p>
        </w:tc>
      </w:tr>
      <w:tr w:rsidR="0010011A" w:rsidRPr="00242020" w:rsidTr="0010011A">
        <w:trPr>
          <w:jc w:val="center"/>
        </w:trPr>
        <w:tc>
          <w:tcPr>
            <w:tcW w:w="2480" w:type="dxa"/>
            <w:vAlign w:val="bottom"/>
          </w:tcPr>
          <w:p w:rsidR="0010011A" w:rsidRPr="00242020" w:rsidRDefault="0010011A" w:rsidP="0010011A">
            <w:pPr>
              <w:ind w:firstLine="0"/>
              <w:rPr>
                <w:sz w:val="26"/>
                <w:szCs w:val="26"/>
              </w:rPr>
            </w:pPr>
            <w:r w:rsidRPr="00242020">
              <w:rPr>
                <w:sz w:val="26"/>
                <w:szCs w:val="26"/>
              </w:rPr>
              <w:t>Чернігівська</w:t>
            </w:r>
          </w:p>
        </w:tc>
        <w:tc>
          <w:tcPr>
            <w:tcW w:w="2421" w:type="dxa"/>
            <w:vAlign w:val="bottom"/>
          </w:tcPr>
          <w:p w:rsidR="0010011A" w:rsidRPr="00242020" w:rsidRDefault="0010011A" w:rsidP="0010011A">
            <w:pPr>
              <w:ind w:right="227" w:firstLine="0"/>
              <w:jc w:val="center"/>
              <w:rPr>
                <w:sz w:val="26"/>
                <w:szCs w:val="26"/>
              </w:rPr>
            </w:pPr>
            <w:r w:rsidRPr="00242020">
              <w:rPr>
                <w:sz w:val="26"/>
                <w:szCs w:val="26"/>
              </w:rPr>
              <w:t>67</w:t>
            </w:r>
          </w:p>
        </w:tc>
        <w:tc>
          <w:tcPr>
            <w:tcW w:w="2294" w:type="dxa"/>
            <w:vAlign w:val="bottom"/>
          </w:tcPr>
          <w:p w:rsidR="0010011A" w:rsidRPr="00242020" w:rsidRDefault="0010011A" w:rsidP="0010011A">
            <w:pPr>
              <w:ind w:right="227" w:firstLine="0"/>
              <w:jc w:val="center"/>
              <w:rPr>
                <w:sz w:val="26"/>
                <w:szCs w:val="26"/>
              </w:rPr>
            </w:pPr>
            <w:r w:rsidRPr="00242020">
              <w:rPr>
                <w:sz w:val="26"/>
                <w:szCs w:val="26"/>
              </w:rPr>
              <w:t>10</w:t>
            </w:r>
          </w:p>
        </w:tc>
        <w:tc>
          <w:tcPr>
            <w:tcW w:w="2376" w:type="dxa"/>
            <w:vAlign w:val="bottom"/>
          </w:tcPr>
          <w:p w:rsidR="0010011A" w:rsidRPr="00242020" w:rsidRDefault="0010011A" w:rsidP="0010011A">
            <w:pPr>
              <w:ind w:firstLine="0"/>
              <w:jc w:val="center"/>
              <w:rPr>
                <w:sz w:val="26"/>
                <w:szCs w:val="26"/>
              </w:rPr>
            </w:pPr>
            <w:r w:rsidRPr="00242020">
              <w:rPr>
                <w:sz w:val="26"/>
                <w:szCs w:val="26"/>
              </w:rPr>
              <w:t>14,93</w:t>
            </w:r>
          </w:p>
        </w:tc>
      </w:tr>
      <w:tr w:rsidR="0010011A" w:rsidRPr="00242020" w:rsidTr="0010011A">
        <w:trPr>
          <w:jc w:val="center"/>
        </w:trPr>
        <w:tc>
          <w:tcPr>
            <w:tcW w:w="2480" w:type="dxa"/>
            <w:vAlign w:val="bottom"/>
          </w:tcPr>
          <w:p w:rsidR="0010011A" w:rsidRPr="00242020" w:rsidRDefault="0010011A" w:rsidP="0010011A">
            <w:pPr>
              <w:ind w:firstLine="0"/>
              <w:rPr>
                <w:b/>
                <w:sz w:val="26"/>
                <w:szCs w:val="26"/>
              </w:rPr>
            </w:pPr>
            <w:r w:rsidRPr="00242020">
              <w:rPr>
                <w:b/>
                <w:sz w:val="26"/>
                <w:szCs w:val="26"/>
              </w:rPr>
              <w:t>Всього</w:t>
            </w:r>
          </w:p>
        </w:tc>
        <w:tc>
          <w:tcPr>
            <w:tcW w:w="2421" w:type="dxa"/>
            <w:vAlign w:val="bottom"/>
          </w:tcPr>
          <w:p w:rsidR="0010011A" w:rsidRPr="00242020" w:rsidRDefault="0010011A" w:rsidP="0010011A">
            <w:pPr>
              <w:ind w:right="227" w:firstLine="0"/>
              <w:jc w:val="center"/>
              <w:rPr>
                <w:b/>
                <w:sz w:val="26"/>
                <w:szCs w:val="26"/>
              </w:rPr>
            </w:pPr>
            <w:r w:rsidRPr="00242020">
              <w:rPr>
                <w:b/>
                <w:sz w:val="26"/>
                <w:szCs w:val="26"/>
              </w:rPr>
              <w:t>2 930</w:t>
            </w:r>
          </w:p>
        </w:tc>
        <w:tc>
          <w:tcPr>
            <w:tcW w:w="2294" w:type="dxa"/>
            <w:vAlign w:val="bottom"/>
          </w:tcPr>
          <w:p w:rsidR="0010011A" w:rsidRPr="00242020" w:rsidRDefault="0010011A" w:rsidP="0010011A">
            <w:pPr>
              <w:ind w:right="227" w:firstLine="0"/>
              <w:jc w:val="center"/>
              <w:rPr>
                <w:b/>
                <w:sz w:val="26"/>
                <w:szCs w:val="26"/>
              </w:rPr>
            </w:pPr>
            <w:r w:rsidRPr="00242020">
              <w:rPr>
                <w:b/>
                <w:sz w:val="26"/>
                <w:szCs w:val="26"/>
              </w:rPr>
              <w:t>619</w:t>
            </w:r>
          </w:p>
        </w:tc>
        <w:tc>
          <w:tcPr>
            <w:tcW w:w="2376" w:type="dxa"/>
            <w:vAlign w:val="bottom"/>
          </w:tcPr>
          <w:p w:rsidR="0010011A" w:rsidRPr="00242020" w:rsidRDefault="0010011A" w:rsidP="0010011A">
            <w:pPr>
              <w:ind w:firstLine="0"/>
              <w:jc w:val="center"/>
              <w:rPr>
                <w:b/>
                <w:sz w:val="26"/>
                <w:szCs w:val="26"/>
              </w:rPr>
            </w:pPr>
            <w:r w:rsidRPr="00242020">
              <w:rPr>
                <w:b/>
                <w:sz w:val="26"/>
                <w:szCs w:val="26"/>
              </w:rPr>
              <w:t>21,13</w:t>
            </w:r>
          </w:p>
        </w:tc>
      </w:tr>
    </w:tbl>
    <w:p w:rsidR="0010011A" w:rsidRPr="00242020" w:rsidRDefault="0010011A" w:rsidP="005A5D40">
      <w:pPr>
        <w:jc w:val="both"/>
        <w:rPr>
          <w:szCs w:val="28"/>
        </w:rPr>
      </w:pPr>
      <w:r w:rsidRPr="00242020">
        <w:rPr>
          <w:szCs w:val="28"/>
        </w:rPr>
        <w:t>Питання контролю за дотриманням вимог законодавчих та нормативних документів про оцінку майна суб’єктами оціночної діяльності – суб’єктами господарювання перебуває під постійною увагою Фонду.</w:t>
      </w:r>
    </w:p>
    <w:p w:rsidR="0010011A" w:rsidRPr="00242020" w:rsidRDefault="0010011A" w:rsidP="005A5D40">
      <w:pPr>
        <w:jc w:val="both"/>
        <w:rPr>
          <w:szCs w:val="28"/>
        </w:rPr>
      </w:pPr>
      <w:r w:rsidRPr="00242020">
        <w:rPr>
          <w:szCs w:val="28"/>
        </w:rPr>
        <w:t xml:space="preserve">За класифікацією пункту 67 Національного стандарту № 1 «Загальні засади оцінки майна і майнових прав», затвердженого постановою Кабінету </w:t>
      </w:r>
      <w:r w:rsidRPr="00242020">
        <w:rPr>
          <w:szCs w:val="28"/>
        </w:rPr>
        <w:lastRenderedPageBreak/>
        <w:t xml:space="preserve">Міністрів України від 10 вересня 2003 року № 1440, 96 звітів про оцінку визнано такими, що повністю відповідають нормативно-правовим актам з оцінки майна, що на 11,1 % менше від показника 2015 року. На 0,81 % збільшилася кількість висновків рецензентів про звіти, які в цілому відповідають таким вимогам, але мають незначні недоліки, що не вплинули на достовірність оцінки (6 804 </w:t>
      </w:r>
      <w:r w:rsidRPr="00242020">
        <w:rPr>
          <w:color w:val="000000"/>
          <w:szCs w:val="28"/>
        </w:rPr>
        <w:t>звіти</w:t>
      </w:r>
      <w:r w:rsidRPr="00242020">
        <w:rPr>
          <w:szCs w:val="28"/>
        </w:rPr>
        <w:t>). Кількість звітів, які за висновками рецензентів неповною мірою відповідають вимогам нормативно-правових актів з оцінки майна і мають значні недоліки, що вплинули на достовірність оцінки, але можуть використовуватися після виправлення зазначених недоліків, порівняно з 2015 роком збільшилася майже на 51,23 % (617 звітів). Негативних висновків рецензента, які не відповідають вимогам нормативно-правових актів з оцінки майна, є неякісними та (або) непрофесійними і не можуть бути використані, у</w:t>
      </w:r>
      <w:r w:rsidRPr="00242020">
        <w:rPr>
          <w:spacing w:val="-4"/>
          <w:szCs w:val="28"/>
        </w:rPr>
        <w:t xml:space="preserve"> </w:t>
      </w:r>
      <w:r w:rsidRPr="00242020">
        <w:rPr>
          <w:szCs w:val="28"/>
        </w:rPr>
        <w:t xml:space="preserve">2016 році отримано на 27,78 % менше </w:t>
      </w:r>
      <w:r w:rsidRPr="00242020">
        <w:rPr>
          <w:spacing w:val="-4"/>
          <w:szCs w:val="28"/>
        </w:rPr>
        <w:t xml:space="preserve">порівняно з </w:t>
      </w:r>
      <w:r w:rsidRPr="00242020">
        <w:rPr>
          <w:szCs w:val="28"/>
        </w:rPr>
        <w:t xml:space="preserve">2015 роком (78 звітів). </w:t>
      </w:r>
    </w:p>
    <w:p w:rsidR="0010011A" w:rsidRPr="00242020" w:rsidRDefault="0010011A" w:rsidP="005A5D40">
      <w:pPr>
        <w:jc w:val="both"/>
        <w:rPr>
          <w:szCs w:val="28"/>
        </w:rPr>
      </w:pPr>
      <w:r w:rsidRPr="00242020">
        <w:rPr>
          <w:szCs w:val="28"/>
        </w:rPr>
        <w:t>На виконання пункту 5 постанови Кабінету Міністрів України</w:t>
      </w:r>
      <w:r w:rsidR="004252F1" w:rsidRPr="00242020">
        <w:rPr>
          <w:szCs w:val="28"/>
        </w:rPr>
        <w:br/>
      </w:r>
      <w:r w:rsidRPr="00242020">
        <w:rPr>
          <w:szCs w:val="28"/>
        </w:rPr>
        <w:t xml:space="preserve">від 21 серпня 2014 року № 358 «Деякі питання реалізації положень Податкового кодексу України щодо оцінки майна» (із змінами) за письмовим зверненням суб’єкта оціночної діяльності про намір провести оцінку для цілей оподаткування Фонд забезпечує надання суб’єктам оціночної діяльності доступу до єдиної бази даних звітів про оцінку з метою внесення ними інформації, яка міститься у звітах про оцінку, до такої бази. </w:t>
      </w:r>
    </w:p>
    <w:p w:rsidR="0010011A" w:rsidRPr="00242020" w:rsidRDefault="0010011A" w:rsidP="005A5D40">
      <w:pPr>
        <w:jc w:val="both"/>
        <w:rPr>
          <w:szCs w:val="28"/>
        </w:rPr>
      </w:pPr>
      <w:r w:rsidRPr="00242020">
        <w:rPr>
          <w:szCs w:val="28"/>
        </w:rPr>
        <w:t xml:space="preserve">Протягом 2016 року було опрацьовано 306 звернень суб’єктів для забезпечення їх доступом до єдиної бази даних звітів про оцінку. </w:t>
      </w:r>
    </w:p>
    <w:p w:rsidR="0010011A" w:rsidRPr="00242020" w:rsidRDefault="0010011A" w:rsidP="005A5D40">
      <w:pPr>
        <w:jc w:val="both"/>
        <w:rPr>
          <w:szCs w:val="28"/>
          <w:shd w:val="clear" w:color="auto" w:fill="FFFFFF"/>
        </w:rPr>
      </w:pPr>
      <w:r w:rsidRPr="00242020">
        <w:rPr>
          <w:szCs w:val="28"/>
        </w:rPr>
        <w:t xml:space="preserve">Загалом станом на кінець 2016 року </w:t>
      </w:r>
      <w:r w:rsidRPr="00242020">
        <w:t>2 885</w:t>
      </w:r>
      <w:r w:rsidRPr="00242020">
        <w:rPr>
          <w:szCs w:val="28"/>
        </w:rPr>
        <w:t xml:space="preserve"> суб’єктів оціночної діяльності мають право на надання послуг з оцінки для цілей оподаткування. </w:t>
      </w:r>
      <w:r w:rsidRPr="00242020">
        <w:rPr>
          <w:szCs w:val="28"/>
          <w:shd w:val="clear" w:color="auto" w:fill="FFFFFF"/>
        </w:rPr>
        <w:t>Таким чином, у зазначеній сфері оціночної діяльності Фонду вдалося подолати монополізацію ринку, яка була запроваджена постановою Кабінету Міністрів України від 04 березня 2013 року №</w:t>
      </w:r>
      <w:r w:rsidR="005A5D40">
        <w:rPr>
          <w:szCs w:val="28"/>
          <w:shd w:val="clear" w:color="auto" w:fill="FFFFFF"/>
        </w:rPr>
        <w:t> </w:t>
      </w:r>
      <w:r w:rsidRPr="00242020">
        <w:rPr>
          <w:szCs w:val="28"/>
          <w:shd w:val="clear" w:color="auto" w:fill="FFFFFF"/>
        </w:rPr>
        <w:t>231 «Деякі питання проведення оцінки для цілей оподаткування та нарахування і сплати інших обов</w:t>
      </w:r>
      <w:r w:rsidRPr="00242020">
        <w:rPr>
          <w:szCs w:val="28"/>
        </w:rPr>
        <w:t>’</w:t>
      </w:r>
      <w:r w:rsidRPr="00242020">
        <w:rPr>
          <w:szCs w:val="28"/>
          <w:shd w:val="clear" w:color="auto" w:fill="FFFFFF"/>
        </w:rPr>
        <w:t>язкових платежів, які справляються відповідно до законодавства» (скасована постановою Кабінету Міністрів України від 21 серпня 2014 року №</w:t>
      </w:r>
      <w:r w:rsidR="005A5D40">
        <w:rPr>
          <w:szCs w:val="28"/>
          <w:shd w:val="clear" w:color="auto" w:fill="FFFFFF"/>
        </w:rPr>
        <w:t> </w:t>
      </w:r>
      <w:r w:rsidRPr="00242020">
        <w:rPr>
          <w:szCs w:val="28"/>
          <w:shd w:val="clear" w:color="auto" w:fill="FFFFFF"/>
        </w:rPr>
        <w:t>358 «Деякі питання реалізації положень Податкового кодексу України щодо оцінки майна»).</w:t>
      </w:r>
    </w:p>
    <w:p w:rsidR="0010011A" w:rsidRPr="00242020" w:rsidRDefault="0010011A" w:rsidP="005A5D40">
      <w:pPr>
        <w:jc w:val="both"/>
        <w:rPr>
          <w:szCs w:val="28"/>
        </w:rPr>
      </w:pPr>
      <w:r w:rsidRPr="00242020">
        <w:rPr>
          <w:szCs w:val="28"/>
        </w:rPr>
        <w:t xml:space="preserve">Завдяки розширенню ринку оцінки майна для цілей оподаткування, який викликав заінтересованість у частини суб’єктів оціночної діяльності </w:t>
      </w:r>
      <w:r w:rsidR="005550C7" w:rsidRPr="00242020">
        <w:rPr>
          <w:szCs w:val="28"/>
        </w:rPr>
        <w:t xml:space="preserve">– </w:t>
      </w:r>
      <w:r w:rsidRPr="00242020">
        <w:rPr>
          <w:szCs w:val="28"/>
        </w:rPr>
        <w:t>суб’єктів господарювання, стався певний перерозподіл учасників ринку оцінки у межах напрямів оцінки. У Єдиній базі даних звітів про оцінку для цілей оподаткування протягом 2016 року зареєстровано 672</w:t>
      </w:r>
      <w:r w:rsidR="005550C7" w:rsidRPr="00242020">
        <w:t> </w:t>
      </w:r>
      <w:r w:rsidRPr="00242020">
        <w:rPr>
          <w:szCs w:val="28"/>
        </w:rPr>
        <w:t>130 звітів про оцінку. Порівняно з 2015 роком цей обсяг збільшився на 153</w:t>
      </w:r>
      <w:r w:rsidR="005550C7" w:rsidRPr="00242020">
        <w:rPr>
          <w:szCs w:val="28"/>
        </w:rPr>
        <w:t> </w:t>
      </w:r>
      <w:r w:rsidRPr="00242020">
        <w:rPr>
          <w:szCs w:val="28"/>
        </w:rPr>
        <w:t>371 звіт (23</w:t>
      </w:r>
      <w:r w:rsidR="005550C7" w:rsidRPr="00242020">
        <w:rPr>
          <w:szCs w:val="28"/>
        </w:rPr>
        <w:t> </w:t>
      </w:r>
      <w:r w:rsidRPr="00242020">
        <w:rPr>
          <w:szCs w:val="28"/>
        </w:rPr>
        <w:t>%), що свідчить про пожвавлення</w:t>
      </w:r>
      <w:r w:rsidR="001763DC" w:rsidRPr="00242020">
        <w:rPr>
          <w:szCs w:val="28"/>
        </w:rPr>
        <w:t xml:space="preserve"> </w:t>
      </w:r>
      <w:r w:rsidRPr="00242020">
        <w:rPr>
          <w:szCs w:val="28"/>
        </w:rPr>
        <w:t xml:space="preserve">активності громадян на ринку нерухомості. </w:t>
      </w:r>
    </w:p>
    <w:p w:rsidR="0010011A" w:rsidRPr="00242020" w:rsidRDefault="0010011A" w:rsidP="005A5D40">
      <w:pPr>
        <w:jc w:val="both"/>
        <w:rPr>
          <w:szCs w:val="28"/>
        </w:rPr>
      </w:pPr>
      <w:r w:rsidRPr="00242020">
        <w:rPr>
          <w:szCs w:val="28"/>
        </w:rPr>
        <w:t>Відповідно до Положення про конкурсний відбір суб’єктів оціночної діяльності, затвердженого наказом Фонду від 31 грудня 2015 року №</w:t>
      </w:r>
      <w:r w:rsidR="005A5D40">
        <w:rPr>
          <w:szCs w:val="28"/>
        </w:rPr>
        <w:t> </w:t>
      </w:r>
      <w:r w:rsidRPr="00242020">
        <w:rPr>
          <w:szCs w:val="28"/>
        </w:rPr>
        <w:t>2075, зареєстрованого в Міністерстві юстиції України 15 січня 2016 року за №</w:t>
      </w:r>
      <w:r w:rsidR="005550C7" w:rsidRPr="00242020">
        <w:rPr>
          <w:szCs w:val="28"/>
        </w:rPr>
        <w:t> </w:t>
      </w:r>
      <w:r w:rsidRPr="00242020">
        <w:rPr>
          <w:szCs w:val="28"/>
        </w:rPr>
        <w:t>60/28190, у 2016 році</w:t>
      </w:r>
      <w:r w:rsidR="001763DC" w:rsidRPr="00242020">
        <w:rPr>
          <w:szCs w:val="28"/>
        </w:rPr>
        <w:t xml:space="preserve"> </w:t>
      </w:r>
      <w:r w:rsidRPr="00242020">
        <w:rPr>
          <w:szCs w:val="28"/>
        </w:rPr>
        <w:t>проведено 76 засідань конкурсної комісії з відбору суб’єктів оціночної діяльності з метою оцінки 53 об’єктів приватизації та 13</w:t>
      </w:r>
      <w:r w:rsidR="005550C7" w:rsidRPr="00242020">
        <w:rPr>
          <w:szCs w:val="28"/>
        </w:rPr>
        <w:t> </w:t>
      </w:r>
      <w:r w:rsidRPr="00242020">
        <w:rPr>
          <w:szCs w:val="28"/>
        </w:rPr>
        <w:t xml:space="preserve">об’єктів оренди. </w:t>
      </w:r>
    </w:p>
    <w:p w:rsidR="0010011A" w:rsidRPr="00242020" w:rsidRDefault="0010011A" w:rsidP="005A5D40">
      <w:pPr>
        <w:jc w:val="both"/>
        <w:rPr>
          <w:szCs w:val="28"/>
        </w:rPr>
      </w:pPr>
      <w:r w:rsidRPr="00242020">
        <w:rPr>
          <w:szCs w:val="28"/>
        </w:rPr>
        <w:lastRenderedPageBreak/>
        <w:t>За результатами проведених конкурсів із суб’єктами оціночної діяльності укладено 65 договорів про надання послуг з оцінки майна, а також 66</w:t>
      </w:r>
      <w:r w:rsidRPr="00242020">
        <w:rPr>
          <w:b/>
          <w:szCs w:val="28"/>
        </w:rPr>
        <w:t xml:space="preserve"> </w:t>
      </w:r>
      <w:r w:rsidRPr="00242020">
        <w:rPr>
          <w:szCs w:val="28"/>
        </w:rPr>
        <w:t>додаткових угод до них та 63 акти приймання – передавання робіт за укладеними договорами.</w:t>
      </w:r>
    </w:p>
    <w:p w:rsidR="0010011A" w:rsidRPr="00242020" w:rsidRDefault="0010011A" w:rsidP="005A5D40">
      <w:pPr>
        <w:jc w:val="both"/>
        <w:rPr>
          <w:szCs w:val="28"/>
        </w:rPr>
      </w:pPr>
      <w:r w:rsidRPr="00242020">
        <w:rPr>
          <w:szCs w:val="28"/>
        </w:rPr>
        <w:t>Протягом 2016 року Фонд видав 1 055 сертифікатів суб’єкта оціночної діяльності (549 – юридичним особам та 506 – фізичним особам – підприємцям), за видачу яких до державного бюджету перераховано 53 805 грн. Підготовлено 207 наказів про анулювання 293 сертифікатів суб’єкта оціночної діяльності.</w:t>
      </w:r>
    </w:p>
    <w:p w:rsidR="0010011A" w:rsidRPr="00242020" w:rsidRDefault="0010011A" w:rsidP="005A5D40">
      <w:pPr>
        <w:jc w:val="both"/>
        <w:rPr>
          <w:szCs w:val="28"/>
        </w:rPr>
      </w:pPr>
      <w:r w:rsidRPr="00242020">
        <w:rPr>
          <w:szCs w:val="28"/>
        </w:rPr>
        <w:t>Крім того, Фондом підготовлено проведення 24 засідань Екзаменаційної комісії з проведення іспитів на отримання кваліфікаційного свідоцтва оцінювача за напрямами «Оцінка об’єктів у матеріальній формі» та «Оцінка цілісних майнових комплексів, паїв, цінних паперів, майнових прав та нематеріальних активів, у тому числі прав на об’єкти інтелектуальної власності». За їх підсумками підготовлено 309 кваліфікаційних свідоцтв оцінювача.</w:t>
      </w:r>
    </w:p>
    <w:p w:rsidR="0010011A" w:rsidRPr="00242020" w:rsidRDefault="0010011A" w:rsidP="005A5D40">
      <w:pPr>
        <w:jc w:val="both"/>
        <w:rPr>
          <w:szCs w:val="28"/>
        </w:rPr>
      </w:pPr>
      <w:r w:rsidRPr="00242020">
        <w:rPr>
          <w:szCs w:val="28"/>
        </w:rPr>
        <w:t xml:space="preserve">Протягом звітного періоду забезпечено проведення 8 засідань Екзаменаційної комісії з питань розгляду професійної діяльності оцінювачів. </w:t>
      </w:r>
    </w:p>
    <w:p w:rsidR="0010011A" w:rsidRPr="00242020" w:rsidRDefault="0010011A" w:rsidP="005A5D40">
      <w:pPr>
        <w:jc w:val="both"/>
        <w:rPr>
          <w:szCs w:val="28"/>
        </w:rPr>
      </w:pPr>
      <w:r w:rsidRPr="00242020">
        <w:rPr>
          <w:szCs w:val="28"/>
        </w:rPr>
        <w:t>У 2016 році Фондом підготовлено до видачі 397 свідоцтв про реєстрацію в Державному реєстрі оцінювачів та суб’єктів оціночної діяльності.</w:t>
      </w:r>
    </w:p>
    <w:p w:rsidR="0010011A" w:rsidRPr="00242020" w:rsidRDefault="0010011A" w:rsidP="005A5D40">
      <w:pPr>
        <w:jc w:val="both"/>
        <w:rPr>
          <w:szCs w:val="28"/>
        </w:rPr>
      </w:pPr>
      <w:r w:rsidRPr="00242020">
        <w:rPr>
          <w:szCs w:val="28"/>
        </w:rPr>
        <w:t xml:space="preserve">Згідно з вимогами статті 14 Закону про оцінку до Державного реєстру внесено дані про підвищення кваліфікації 3 172 оцінювачів. </w:t>
      </w:r>
    </w:p>
    <w:p w:rsidR="0010011A" w:rsidRPr="00242020" w:rsidRDefault="0010011A" w:rsidP="005A5D40">
      <w:pPr>
        <w:jc w:val="both"/>
        <w:rPr>
          <w:szCs w:val="28"/>
        </w:rPr>
      </w:pPr>
      <w:r w:rsidRPr="00242020">
        <w:rPr>
          <w:szCs w:val="28"/>
        </w:rPr>
        <w:t>Наказами Фонду поновлено дію 390 кваліфікаційних свідоцтв оцінювача згідно з поданою інформацією про підвищення кваліфікації за відповідними напрямами оцінки майна і зупинено дію 882 кваліфікаційних свідоцтв оцінювача, виданих фізичним особам, які вчасно не пройшли навчання за програмою підвищення кваліфікації.</w:t>
      </w:r>
    </w:p>
    <w:p w:rsidR="0010011A" w:rsidRPr="00242020" w:rsidRDefault="0010011A" w:rsidP="005A5D40">
      <w:pPr>
        <w:jc w:val="both"/>
        <w:rPr>
          <w:szCs w:val="28"/>
        </w:rPr>
      </w:pPr>
      <w:r w:rsidRPr="00242020">
        <w:rPr>
          <w:szCs w:val="28"/>
        </w:rPr>
        <w:t>У 2016 році укладено 5 угод між Фондом та навчальними закладами, які виявили бажання брати участь у професійній підготовці оцінювачів, 1 угоду розірвано, проведено 15 перевірок навчальних закладів робочими групами, утвореними у складі Комісії з тестування навчальних закладів, та забезпечено проведення 8 засідань Комісії з тестування навчальних закладів.</w:t>
      </w:r>
    </w:p>
    <w:p w:rsidR="0010011A" w:rsidRPr="00242020" w:rsidRDefault="0010011A" w:rsidP="005A5D40">
      <w:pPr>
        <w:jc w:val="both"/>
        <w:rPr>
          <w:szCs w:val="28"/>
        </w:rPr>
      </w:pPr>
      <w:r w:rsidRPr="00242020">
        <w:rPr>
          <w:szCs w:val="28"/>
        </w:rPr>
        <w:t>Відповідно до статті 4 Закону про оцінку Фонд здійснює методичне забезпечення оцінки майна шляхом розроблення нормативно-правових актів з оцінки майна та надання роз’яснень щодо їх застосування, а також удосконалення законодавчого та нормативного забезпечення оцінки.</w:t>
      </w:r>
    </w:p>
    <w:p w:rsidR="0010011A" w:rsidRPr="00242020" w:rsidRDefault="0010011A" w:rsidP="005A5D40">
      <w:pPr>
        <w:jc w:val="both"/>
        <w:rPr>
          <w:szCs w:val="28"/>
        </w:rPr>
      </w:pPr>
      <w:r w:rsidRPr="00242020">
        <w:rPr>
          <w:szCs w:val="28"/>
        </w:rPr>
        <w:t>Триває робота із забезпечення погодження проектів законів України «Про внесення змін до законодавства про оцінку майна та професійну оціночну діяльність в Україні», «Про внесення змін до Бюджетного кодексу України у зв’язку з прийняттям Закону України «Про внесення змін до законодавства про оцінку майна та професійну оціночну діяльність в Україні». Законопроекти направлені на погодження заінтересованим органам виконавчої влади. Після проведення узгоджувальних процедур законопроекти будуть повторно направлені на розгляд Кабінету Міністрів України.</w:t>
      </w:r>
    </w:p>
    <w:p w:rsidR="0010011A" w:rsidRPr="00242020" w:rsidRDefault="0010011A" w:rsidP="005A5D40">
      <w:pPr>
        <w:jc w:val="both"/>
        <w:rPr>
          <w:szCs w:val="28"/>
        </w:rPr>
      </w:pPr>
      <w:r w:rsidRPr="00242020">
        <w:rPr>
          <w:szCs w:val="28"/>
        </w:rPr>
        <w:t xml:space="preserve">З метою вдосконалення методичного забезпечення інвентаризації та оцінки майна, у тому числі майна, що знаходиться на території, на якій </w:t>
      </w:r>
      <w:r w:rsidRPr="00242020">
        <w:rPr>
          <w:szCs w:val="28"/>
        </w:rPr>
        <w:lastRenderedPageBreak/>
        <w:t xml:space="preserve">проводиться антитерористична операція, та окупованій території України, </w:t>
      </w:r>
      <w:r w:rsidRPr="00242020">
        <w:t xml:space="preserve">майна державних підприємств, що підлягають перетворенню в акціонерні товариства відповідно до законодавства, </w:t>
      </w:r>
      <w:r w:rsidRPr="00242020">
        <w:rPr>
          <w:szCs w:val="28"/>
        </w:rPr>
        <w:t>майна, що повертається у державну власність, Фондом розроблено проект постанови Кабінету Міністрів України «Про внесення змін до деяких актів Кабінету Міністрів України». Проект направлено на розгляд Уряду.</w:t>
      </w:r>
    </w:p>
    <w:p w:rsidR="0010011A" w:rsidRPr="00242020" w:rsidRDefault="0010011A" w:rsidP="005A5D40">
      <w:pPr>
        <w:jc w:val="both"/>
        <w:rPr>
          <w:bCs/>
        </w:rPr>
      </w:pPr>
      <w:r w:rsidRPr="00242020">
        <w:rPr>
          <w:szCs w:val="28"/>
        </w:rPr>
        <w:t>З метою забезпечення підготовки рекомендацій щодо початкової ціни пакетів акцій об’єктів</w:t>
      </w:r>
      <w:r w:rsidR="001763DC" w:rsidRPr="00242020">
        <w:rPr>
          <w:szCs w:val="28"/>
        </w:rPr>
        <w:t xml:space="preserve"> </w:t>
      </w:r>
      <w:r w:rsidRPr="00242020">
        <w:rPr>
          <w:szCs w:val="28"/>
        </w:rPr>
        <w:t xml:space="preserve">групи Г або паливно-енергетичного комплексу з урахуванням пропозицій робочої групи з підготовки рекомендацій та пропозицій до проектів рішень Кабінету Міністрів України щодо приватизації та умов продажу об’єктів державної власності, що підлягають приватизації, утвореної постановою </w:t>
      </w:r>
      <w:r w:rsidRPr="00242020">
        <w:rPr>
          <w:bCs/>
        </w:rPr>
        <w:t>Кабінету Міністрів України від 24 червня 2015 року №</w:t>
      </w:r>
      <w:r w:rsidR="005550C7" w:rsidRPr="00242020">
        <w:rPr>
          <w:bCs/>
        </w:rPr>
        <w:t> </w:t>
      </w:r>
      <w:r w:rsidRPr="00242020">
        <w:rPr>
          <w:bCs/>
        </w:rPr>
        <w:t xml:space="preserve">525, а також інформації про актуальні на час підготовки </w:t>
      </w:r>
      <w:r w:rsidRPr="00242020">
        <w:rPr>
          <w:szCs w:val="28"/>
        </w:rPr>
        <w:t xml:space="preserve">зазначених рекомендацій значення ціноутворюючих факторів та підсумки попередніх продажів пакетів акцій подібних за галузевою ознакою підприємств Фондом підготовлено до прийняття </w:t>
      </w:r>
      <w:r w:rsidRPr="00242020">
        <w:rPr>
          <w:bCs/>
        </w:rPr>
        <w:t>постанову Кабінету Міністрів України від 31 серпня 2016 року №</w:t>
      </w:r>
      <w:r w:rsidR="005550C7" w:rsidRPr="00242020">
        <w:rPr>
          <w:bCs/>
        </w:rPr>
        <w:t> </w:t>
      </w:r>
      <w:r w:rsidRPr="00242020">
        <w:rPr>
          <w:bCs/>
        </w:rPr>
        <w:t>566 «Про внесення змін до постанов Кабінету Міністрів України від 10 грудня 2003 року №</w:t>
      </w:r>
      <w:r w:rsidR="005550C7" w:rsidRPr="00242020">
        <w:rPr>
          <w:bCs/>
        </w:rPr>
        <w:t> </w:t>
      </w:r>
      <w:r w:rsidRPr="00242020">
        <w:rPr>
          <w:bCs/>
        </w:rPr>
        <w:t>1891 і від 24 червня 2015 року №</w:t>
      </w:r>
      <w:r w:rsidR="005550C7" w:rsidRPr="00242020">
        <w:rPr>
          <w:bCs/>
        </w:rPr>
        <w:t> </w:t>
      </w:r>
      <w:r w:rsidRPr="00242020">
        <w:rPr>
          <w:bCs/>
        </w:rPr>
        <w:t>525».</w:t>
      </w:r>
    </w:p>
    <w:p w:rsidR="0010011A" w:rsidRPr="00242020" w:rsidRDefault="0010011A" w:rsidP="005A5D40">
      <w:pPr>
        <w:jc w:val="both"/>
        <w:rPr>
          <w:szCs w:val="28"/>
        </w:rPr>
      </w:pPr>
      <w:r w:rsidRPr="00242020">
        <w:rPr>
          <w:szCs w:val="28"/>
        </w:rPr>
        <w:t>У зв’язку із набранням чинності Методикою оцінки майна, затвердженою постановою Кабінету Міністрів України від 10 грудня 2003 року №</w:t>
      </w:r>
      <w:r w:rsidR="005550C7" w:rsidRPr="00242020">
        <w:rPr>
          <w:szCs w:val="28"/>
        </w:rPr>
        <w:t> </w:t>
      </w:r>
      <w:r w:rsidRPr="00242020">
        <w:rPr>
          <w:szCs w:val="28"/>
        </w:rPr>
        <w:t>1891 (у новій редакції), розроблено</w:t>
      </w:r>
      <w:r w:rsidRPr="00242020">
        <w:rPr>
          <w:bCs/>
          <w:color w:val="000000"/>
          <w:szCs w:val="28"/>
        </w:rPr>
        <w:t xml:space="preserve"> наказ Фонду від 23 березня 2016 року №</w:t>
      </w:r>
      <w:r w:rsidR="005550C7" w:rsidRPr="00242020">
        <w:rPr>
          <w:bCs/>
          <w:color w:val="000000"/>
          <w:szCs w:val="28"/>
        </w:rPr>
        <w:t> </w:t>
      </w:r>
      <w:r w:rsidRPr="00242020">
        <w:rPr>
          <w:bCs/>
          <w:color w:val="000000"/>
          <w:szCs w:val="28"/>
        </w:rPr>
        <w:t>577 «</w:t>
      </w:r>
      <w:r w:rsidRPr="00242020">
        <w:rPr>
          <w:szCs w:val="28"/>
        </w:rPr>
        <w:t>Про внесення змін до наказу Фонду державного майна України від 23 січня 2004</w:t>
      </w:r>
      <w:r w:rsidR="005550C7" w:rsidRPr="00242020">
        <w:rPr>
          <w:szCs w:val="28"/>
        </w:rPr>
        <w:t> </w:t>
      </w:r>
      <w:r w:rsidRPr="00242020">
        <w:rPr>
          <w:szCs w:val="28"/>
        </w:rPr>
        <w:t>року № 105</w:t>
      </w:r>
      <w:r w:rsidRPr="00242020">
        <w:rPr>
          <w:color w:val="000000"/>
          <w:spacing w:val="-1"/>
          <w:szCs w:val="28"/>
        </w:rPr>
        <w:t>» та забезпечено реєстрацію в Міністерстві юстиції України 13</w:t>
      </w:r>
      <w:r w:rsidR="005550C7" w:rsidRPr="00242020">
        <w:rPr>
          <w:color w:val="000000"/>
          <w:spacing w:val="-1"/>
          <w:szCs w:val="28"/>
        </w:rPr>
        <w:t> </w:t>
      </w:r>
      <w:r w:rsidRPr="00242020">
        <w:rPr>
          <w:color w:val="000000"/>
          <w:spacing w:val="-1"/>
          <w:szCs w:val="28"/>
        </w:rPr>
        <w:t>квітня 2016 року за № 546/28676</w:t>
      </w:r>
      <w:r w:rsidRPr="00242020">
        <w:rPr>
          <w:szCs w:val="28"/>
        </w:rPr>
        <w:t>.</w:t>
      </w:r>
    </w:p>
    <w:p w:rsidR="0010011A" w:rsidRPr="00242020" w:rsidRDefault="0010011A" w:rsidP="005A5D40">
      <w:pPr>
        <w:jc w:val="both"/>
        <w:rPr>
          <w:szCs w:val="28"/>
        </w:rPr>
      </w:pPr>
      <w:r w:rsidRPr="00242020">
        <w:rPr>
          <w:szCs w:val="28"/>
        </w:rPr>
        <w:t>На виконання</w:t>
      </w:r>
      <w:r w:rsidR="005550C7" w:rsidRPr="00242020">
        <w:rPr>
          <w:szCs w:val="28"/>
        </w:rPr>
        <w:t xml:space="preserve"> </w:t>
      </w:r>
      <w:r w:rsidRPr="00242020">
        <w:rPr>
          <w:szCs w:val="28"/>
        </w:rPr>
        <w:t>пункту 7 розділу IV Порядку визначення оціночної вартості пакетів акцій акціонерних товариств, що пропонуються для конкурентного продажу, затвердженого наказом Фонду від 23 січня 2004 року №</w:t>
      </w:r>
      <w:r w:rsidR="005550C7" w:rsidRPr="00242020">
        <w:rPr>
          <w:szCs w:val="28"/>
        </w:rPr>
        <w:t> </w:t>
      </w:r>
      <w:r w:rsidRPr="00242020">
        <w:rPr>
          <w:szCs w:val="28"/>
        </w:rPr>
        <w:t>105, розроблено наказ Фонду від 24 травня 2016 року №</w:t>
      </w:r>
      <w:r w:rsidR="005550C7" w:rsidRPr="00242020">
        <w:rPr>
          <w:szCs w:val="28"/>
        </w:rPr>
        <w:t> </w:t>
      </w:r>
      <w:r w:rsidRPr="00242020">
        <w:rPr>
          <w:szCs w:val="28"/>
        </w:rPr>
        <w:t>1033 «Щодо затвердження вихідних даних для розрахунку ставки капіталізації».</w:t>
      </w:r>
    </w:p>
    <w:p w:rsidR="0010011A" w:rsidRPr="00242020" w:rsidRDefault="0010011A" w:rsidP="005A5D40">
      <w:pPr>
        <w:jc w:val="both"/>
        <w:rPr>
          <w:szCs w:val="28"/>
        </w:rPr>
      </w:pPr>
      <w:r w:rsidRPr="00242020">
        <w:rPr>
          <w:szCs w:val="28"/>
        </w:rPr>
        <w:t>Також з метою удосконалення процедури проведення стандартизованої оцінки пакетів акцій публічних акціонерних товариств, утворених у процесі приватизації (корпоратизації), що пропонуються для конкурентного продажу, розроблено наказ Фонду від 08 грудня 2016 року № 2202 «Про внесення змін до Порядку визначення оціночної вартості пакетів акцій акціонерних товариств, що пропонуються до конкурентного продажу», який зареєстровано у Міністерстві юстиції України 29 грудня 2016 року за №</w:t>
      </w:r>
      <w:r w:rsidR="005550C7" w:rsidRPr="00242020">
        <w:rPr>
          <w:szCs w:val="28"/>
        </w:rPr>
        <w:t> </w:t>
      </w:r>
      <w:r w:rsidRPr="00242020">
        <w:rPr>
          <w:szCs w:val="28"/>
        </w:rPr>
        <w:t xml:space="preserve">1735/29865. </w:t>
      </w:r>
    </w:p>
    <w:p w:rsidR="0010011A" w:rsidRPr="00242020" w:rsidRDefault="0010011A" w:rsidP="005A5D40">
      <w:pPr>
        <w:jc w:val="both"/>
        <w:rPr>
          <w:szCs w:val="28"/>
        </w:rPr>
      </w:pPr>
      <w:r w:rsidRPr="00242020">
        <w:rPr>
          <w:szCs w:val="28"/>
        </w:rPr>
        <w:t>У 2016 році розпочато роботу над розробленням проекту постанови Кабінету Міністрів України «Про затвердження Національних стандартів оцінки», який запровадить нові підходи і методи оцінки, що ґрунтується на міжнародному досвіді у цій сфері. Роботу планується завершити у 2017 році.</w:t>
      </w:r>
    </w:p>
    <w:p w:rsidR="0010011A" w:rsidRPr="00242020" w:rsidRDefault="0010011A" w:rsidP="005A5D40">
      <w:pPr>
        <w:pStyle w:val="af0"/>
        <w:spacing w:after="0"/>
        <w:ind w:firstLine="709"/>
        <w:jc w:val="both"/>
        <w:rPr>
          <w:szCs w:val="28"/>
          <w:lang w:val="uk-UA"/>
        </w:rPr>
      </w:pPr>
      <w:r w:rsidRPr="00242020">
        <w:rPr>
          <w:szCs w:val="28"/>
          <w:lang w:val="uk-UA"/>
        </w:rPr>
        <w:t>Протягом звітного періоду підготовлено 243 роз’яснення та забезпечено 95 фахових експертиз проектів нормативно-правових актів з питань оцінки та оціночної діяльності.</w:t>
      </w:r>
    </w:p>
    <w:p w:rsidR="00D226C3" w:rsidRPr="00242020" w:rsidRDefault="00D226C3"/>
    <w:p w:rsidR="00805AB4" w:rsidRPr="00242020" w:rsidRDefault="00805AB4">
      <w:pPr>
        <w:sectPr w:rsidR="00805AB4" w:rsidRPr="00242020" w:rsidSect="00BE4231">
          <w:pgSz w:w="11906" w:h="16838"/>
          <w:pgMar w:top="1134" w:right="851" w:bottom="1134" w:left="1418" w:header="709" w:footer="709" w:gutter="0"/>
          <w:cols w:space="708"/>
          <w:docGrid w:linePitch="381"/>
        </w:sectPr>
      </w:pPr>
    </w:p>
    <w:p w:rsidR="00805AB4" w:rsidRPr="00242020" w:rsidRDefault="00805AB4" w:rsidP="00805AB4">
      <w:pPr>
        <w:pStyle w:val="1"/>
      </w:pPr>
      <w:r w:rsidRPr="00242020">
        <w:lastRenderedPageBreak/>
        <w:t>5. Внутрішній аудит та внутрівідомчий контроль в системі державних органів приватизації</w:t>
      </w:r>
    </w:p>
    <w:p w:rsidR="006F4201" w:rsidRPr="00242020" w:rsidRDefault="006F4201" w:rsidP="006F4201">
      <w:pPr>
        <w:ind w:firstLine="720"/>
        <w:jc w:val="both"/>
        <w:rPr>
          <w:sz w:val="12"/>
          <w:szCs w:val="12"/>
        </w:rPr>
      </w:pPr>
    </w:p>
    <w:p w:rsidR="00805AB4" w:rsidRPr="00242020" w:rsidRDefault="00805AB4" w:rsidP="00805AB4">
      <w:pPr>
        <w:pStyle w:val="2"/>
      </w:pPr>
      <w:r w:rsidRPr="00242020">
        <w:t>5.1. Діяльність Фонду щодо забезпечення внутрішнього аудиту в системі державних органів приватизації та результати його проведення</w:t>
      </w:r>
    </w:p>
    <w:p w:rsidR="007F3E31" w:rsidRPr="00242020" w:rsidRDefault="007F3E31" w:rsidP="00163F75">
      <w:pPr>
        <w:ind w:firstLine="720"/>
        <w:jc w:val="both"/>
        <w:rPr>
          <w:sz w:val="12"/>
          <w:szCs w:val="12"/>
        </w:rPr>
      </w:pPr>
    </w:p>
    <w:p w:rsidR="00E1308A" w:rsidRPr="00E1308A" w:rsidRDefault="00E1308A" w:rsidP="00E1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Times New Roman" w:cs="Times New Roman"/>
          <w:bCs/>
          <w:szCs w:val="28"/>
          <w:lang w:eastAsia="ru-RU"/>
        </w:rPr>
      </w:pPr>
      <w:r w:rsidRPr="00E1308A">
        <w:rPr>
          <w:rFonts w:eastAsia="Times New Roman" w:cs="Times New Roman"/>
          <w:bCs/>
          <w:szCs w:val="28"/>
          <w:lang w:eastAsia="ru-RU"/>
        </w:rPr>
        <w:t>Наказом Фонду від 27 липня 2016 року №</w:t>
      </w:r>
      <w:r>
        <w:rPr>
          <w:rFonts w:eastAsia="Times New Roman" w:cs="Times New Roman"/>
          <w:bCs/>
          <w:szCs w:val="28"/>
          <w:lang w:eastAsia="ru-RU"/>
        </w:rPr>
        <w:t> </w:t>
      </w:r>
      <w:r w:rsidRPr="00E1308A">
        <w:rPr>
          <w:rFonts w:eastAsia="Times New Roman" w:cs="Times New Roman"/>
          <w:bCs/>
          <w:szCs w:val="28"/>
          <w:lang w:eastAsia="ru-RU"/>
        </w:rPr>
        <w:t>1444 затверджено Положення про внутрішній аудит в системі органів приватизації, яке розроблено відповідно до</w:t>
      </w:r>
      <w:r w:rsidRPr="00E1308A">
        <w:rPr>
          <w:rFonts w:eastAsia="Times New Roman" w:cs="Times New Roman"/>
          <w:b/>
          <w:bCs/>
          <w:color w:val="000000"/>
          <w:spacing w:val="-5"/>
          <w:szCs w:val="28"/>
          <w:lang w:eastAsia="ru-RU"/>
        </w:rPr>
        <w:t xml:space="preserve"> </w:t>
      </w:r>
      <w:r w:rsidRPr="00E1308A">
        <w:rPr>
          <w:rFonts w:eastAsia="Times New Roman" w:cs="Times New Roman"/>
          <w:bCs/>
          <w:color w:val="000000"/>
          <w:spacing w:val="-5"/>
          <w:szCs w:val="28"/>
          <w:lang w:eastAsia="ru-RU"/>
        </w:rPr>
        <w:t>Бюджетного кодексу України, Закону України</w:t>
      </w:r>
      <w:r>
        <w:rPr>
          <w:rFonts w:eastAsia="Times New Roman" w:cs="Times New Roman"/>
          <w:bCs/>
          <w:color w:val="000000"/>
          <w:spacing w:val="-5"/>
          <w:szCs w:val="28"/>
          <w:lang w:eastAsia="ru-RU"/>
        </w:rPr>
        <w:t xml:space="preserve"> </w:t>
      </w:r>
      <w:r w:rsidRPr="00E1308A">
        <w:rPr>
          <w:rFonts w:eastAsia="Times New Roman" w:cs="Times New Roman"/>
          <w:bCs/>
          <w:color w:val="000000"/>
          <w:spacing w:val="-3"/>
          <w:szCs w:val="28"/>
          <w:lang w:eastAsia="ru-RU"/>
        </w:rPr>
        <w:t>«Про Фонд державного майна України»,</w:t>
      </w:r>
      <w:r w:rsidRPr="00E1308A">
        <w:rPr>
          <w:rFonts w:eastAsia="Times New Roman" w:cs="Times New Roman"/>
          <w:bCs/>
          <w:szCs w:val="28"/>
          <w:lang w:eastAsia="ru-RU"/>
        </w:rPr>
        <w:t xml:space="preserve"> Порядку утворення структурних підрозділів внутрішнього аудиту та проведення такого аудиту в міністерствах, інших центральних органах виконавчої влади, їх територіальних органах та бюджетних установах, які належать до сфери управління міністерств, інших центральних органів виконавчої влади,  затвердженого постановою Кабінету Міністрів України від 28 вересня 2011 року № 1001. Зазначене положення </w:t>
      </w:r>
      <w:r w:rsidRPr="00E1308A">
        <w:rPr>
          <w:rFonts w:eastAsia="Times New Roman" w:cs="Times New Roman"/>
          <w:bCs/>
          <w:color w:val="000000"/>
          <w:spacing w:val="-4"/>
          <w:szCs w:val="28"/>
          <w:lang w:eastAsia="ru-RU"/>
        </w:rPr>
        <w:t xml:space="preserve">визначає механізм планування і проведення </w:t>
      </w:r>
      <w:r w:rsidRPr="00E1308A">
        <w:rPr>
          <w:rFonts w:eastAsia="Times New Roman" w:cs="Times New Roman"/>
          <w:bCs/>
          <w:color w:val="000000"/>
          <w:spacing w:val="-5"/>
          <w:szCs w:val="28"/>
          <w:lang w:eastAsia="ru-RU"/>
        </w:rPr>
        <w:t xml:space="preserve">внутрішнього аудиту в системі державних органів приватизації, документування його результатів, моніторинг впровадження рекомендацій за </w:t>
      </w:r>
      <w:r w:rsidRPr="00E1308A">
        <w:rPr>
          <w:rFonts w:eastAsia="Times New Roman" w:cs="Times New Roman"/>
          <w:bCs/>
          <w:color w:val="000000"/>
          <w:spacing w:val="-6"/>
          <w:szCs w:val="28"/>
          <w:lang w:eastAsia="ru-RU"/>
        </w:rPr>
        <w:t xml:space="preserve">результатами внутрішнього аудиту, звітування підрозділів внутрішнього </w:t>
      </w:r>
      <w:r w:rsidRPr="00E1308A">
        <w:rPr>
          <w:rFonts w:eastAsia="Times New Roman" w:cs="Times New Roman"/>
          <w:bCs/>
          <w:color w:val="000000"/>
          <w:spacing w:val="-5"/>
          <w:szCs w:val="28"/>
          <w:lang w:eastAsia="ru-RU"/>
        </w:rPr>
        <w:t>аудиту в системі державних органів приватизації.</w:t>
      </w:r>
    </w:p>
    <w:p w:rsidR="00E1308A" w:rsidRPr="00E1308A" w:rsidRDefault="00E1308A" w:rsidP="00E1308A">
      <w:pPr>
        <w:autoSpaceDE w:val="0"/>
        <w:autoSpaceDN w:val="0"/>
        <w:adjustRightInd w:val="0"/>
        <w:jc w:val="both"/>
        <w:rPr>
          <w:rFonts w:eastAsia="Times New Roman" w:cs="Times New Roman"/>
          <w:color w:val="000000"/>
          <w:szCs w:val="28"/>
          <w:lang w:eastAsia="ru-RU"/>
        </w:rPr>
      </w:pPr>
      <w:r w:rsidRPr="00E1308A">
        <w:rPr>
          <w:rFonts w:eastAsia="Times New Roman" w:cs="Times New Roman"/>
          <w:bCs/>
          <w:szCs w:val="28"/>
          <w:lang w:eastAsia="ru-RU"/>
        </w:rPr>
        <w:t>Крім того, з метою підвищення ефективності внутрішнього аудиту розроблено Програму забезпечення та підвищення якості внутрішнього аудиту на 2016 рік, яка затверджена Головою Фонду.</w:t>
      </w:r>
      <w:r w:rsidRPr="00E1308A">
        <w:rPr>
          <w:rFonts w:eastAsia="Times New Roman" w:cs="Times New Roman"/>
          <w:color w:val="000000"/>
          <w:szCs w:val="28"/>
          <w:lang w:eastAsia="ru-RU"/>
        </w:rPr>
        <w:t xml:space="preserve"> </w:t>
      </w:r>
    </w:p>
    <w:p w:rsidR="00E1308A" w:rsidRPr="00E1308A" w:rsidRDefault="00E1308A" w:rsidP="00E1308A">
      <w:pPr>
        <w:widowControl/>
        <w:jc w:val="both"/>
        <w:rPr>
          <w:rFonts w:eastAsia="Times New Roman" w:cs="Times New Roman"/>
          <w:szCs w:val="28"/>
          <w:lang w:eastAsia="ru-RU"/>
        </w:rPr>
      </w:pPr>
      <w:r w:rsidRPr="00E1308A">
        <w:rPr>
          <w:rFonts w:eastAsia="Times New Roman" w:cs="Times New Roman"/>
          <w:szCs w:val="28"/>
          <w:lang w:eastAsia="ru-RU"/>
        </w:rPr>
        <w:t>Діяльність Фонду щодо забезпечення функціонування внутрішнього аудиту здійснюється відповідно до Планів діяльності з внутрішнього аудиту на І та ІІ півріччя, які погоджуються в Державній аудиторській службі України, та затверджується Головою Фонду.</w:t>
      </w:r>
    </w:p>
    <w:p w:rsidR="00E1308A" w:rsidRPr="00E1308A" w:rsidRDefault="00E1308A" w:rsidP="00E1308A">
      <w:pPr>
        <w:widowControl/>
        <w:jc w:val="both"/>
        <w:rPr>
          <w:rFonts w:eastAsia="Times New Roman" w:cs="Times New Roman"/>
          <w:szCs w:val="28"/>
          <w:lang w:eastAsia="ru-RU"/>
        </w:rPr>
      </w:pPr>
      <w:r w:rsidRPr="00E1308A">
        <w:rPr>
          <w:rFonts w:eastAsia="Times New Roman" w:cs="Times New Roman"/>
          <w:szCs w:val="28"/>
          <w:lang w:eastAsia="ru-RU"/>
        </w:rPr>
        <w:t>Згідно з Планами діяльності з внутрішнього аудиту Фонду на І та ІІ півріччя 2016 року заплановано 34 внутрішні аудити. Фактично проведено</w:t>
      </w:r>
      <w:r>
        <w:rPr>
          <w:rFonts w:eastAsia="Times New Roman" w:cs="Times New Roman"/>
          <w:szCs w:val="28"/>
          <w:lang w:val="ru-RU" w:eastAsia="ru-RU"/>
        </w:rPr>
        <w:br/>
      </w:r>
      <w:r w:rsidRPr="00E1308A">
        <w:rPr>
          <w:rFonts w:eastAsia="Times New Roman" w:cs="Times New Roman"/>
          <w:szCs w:val="28"/>
          <w:lang w:eastAsia="ru-RU"/>
        </w:rPr>
        <w:t xml:space="preserve">35 аудитів, а саме: 12 аудитів ефективності (з них 1 позаплановий), 19 аудитів відповідності, 4 фінансових аудити. </w:t>
      </w:r>
    </w:p>
    <w:p w:rsidR="00E1308A" w:rsidRPr="00E1308A" w:rsidRDefault="00E1308A" w:rsidP="00E1308A">
      <w:pPr>
        <w:widowControl/>
        <w:jc w:val="both"/>
        <w:rPr>
          <w:rFonts w:eastAsia="Times New Roman" w:cs="Times New Roman"/>
          <w:szCs w:val="28"/>
          <w:lang w:eastAsia="ru-RU"/>
        </w:rPr>
      </w:pPr>
      <w:r w:rsidRPr="00E1308A">
        <w:rPr>
          <w:rFonts w:eastAsia="Times New Roman" w:cs="Times New Roman"/>
          <w:szCs w:val="28"/>
          <w:lang w:eastAsia="ru-RU"/>
        </w:rPr>
        <w:t>Зокрема, у регіональних відділеннях Фонду по Харківській, Миколаївській, Запорізькій, Донецькій областях проведено аудити ефективності щодо:</w:t>
      </w:r>
    </w:p>
    <w:p w:rsidR="00E1308A" w:rsidRPr="00E1308A" w:rsidRDefault="00E1308A" w:rsidP="00E1308A">
      <w:pPr>
        <w:widowControl/>
        <w:jc w:val="both"/>
        <w:rPr>
          <w:rFonts w:eastAsia="Times New Roman" w:cs="Times New Roman"/>
          <w:szCs w:val="28"/>
          <w:lang w:eastAsia="ru-RU"/>
        </w:rPr>
      </w:pPr>
      <w:r>
        <w:rPr>
          <w:rFonts w:eastAsia="Times New Roman" w:cs="Times New Roman"/>
          <w:szCs w:val="28"/>
          <w:lang w:eastAsia="ru-RU"/>
        </w:rPr>
        <w:t>– </w:t>
      </w:r>
      <w:r w:rsidRPr="00E1308A">
        <w:rPr>
          <w:rFonts w:eastAsia="Times New Roman" w:cs="Times New Roman"/>
          <w:szCs w:val="28"/>
          <w:lang w:eastAsia="ru-RU"/>
        </w:rPr>
        <w:t xml:space="preserve">використання державного майна, переданого в оренду у 2015 році, управління державним майном, яке не увійшло до статутних капіталів ВАТ при приватизації у 2015 році; </w:t>
      </w:r>
    </w:p>
    <w:p w:rsidR="00E1308A" w:rsidRPr="00E1308A" w:rsidRDefault="00E1308A" w:rsidP="00E1308A">
      <w:pPr>
        <w:widowControl/>
        <w:jc w:val="both"/>
        <w:rPr>
          <w:rFonts w:eastAsia="Times New Roman" w:cs="Times New Roman"/>
          <w:szCs w:val="28"/>
          <w:lang w:eastAsia="ru-RU"/>
        </w:rPr>
      </w:pPr>
      <w:r>
        <w:rPr>
          <w:rFonts w:eastAsia="Times New Roman" w:cs="Times New Roman"/>
          <w:szCs w:val="28"/>
          <w:lang w:val="ru-RU" w:eastAsia="ru-RU"/>
        </w:rPr>
        <w:t>– </w:t>
      </w:r>
      <w:r w:rsidRPr="00E1308A">
        <w:rPr>
          <w:rFonts w:eastAsia="Times New Roman" w:cs="Times New Roman"/>
          <w:szCs w:val="28"/>
          <w:lang w:eastAsia="ru-RU"/>
        </w:rPr>
        <w:t>виконання контрольно-наглядових функцій постприватизаційного контролю за період 2014-2015 роки.</w:t>
      </w:r>
    </w:p>
    <w:p w:rsidR="00E1308A" w:rsidRPr="00E1308A" w:rsidRDefault="00E1308A" w:rsidP="00E1308A">
      <w:pPr>
        <w:autoSpaceDE w:val="0"/>
        <w:autoSpaceDN w:val="0"/>
        <w:adjustRightInd w:val="0"/>
        <w:jc w:val="both"/>
        <w:rPr>
          <w:rFonts w:eastAsia="Times New Roman" w:cs="Times New Roman"/>
          <w:bCs/>
          <w:szCs w:val="28"/>
          <w:lang w:eastAsia="ru-RU"/>
        </w:rPr>
      </w:pPr>
      <w:r w:rsidRPr="00E1308A">
        <w:rPr>
          <w:rFonts w:eastAsia="Times New Roman" w:cs="Times New Roman"/>
          <w:bCs/>
          <w:szCs w:val="28"/>
          <w:lang w:eastAsia="ru-RU"/>
        </w:rPr>
        <w:t>Також проведено аудити щодо діяльності Департаменту з питань орендних відносин та розпорядження державним майном, Управління  з питань договірної діяльності та менеджменту та Управління продажу об’єктів малої приватизації.</w:t>
      </w:r>
    </w:p>
    <w:p w:rsidR="00E1308A" w:rsidRPr="00E1308A" w:rsidRDefault="00E1308A" w:rsidP="00E1308A">
      <w:pPr>
        <w:autoSpaceDE w:val="0"/>
        <w:autoSpaceDN w:val="0"/>
        <w:adjustRightInd w:val="0"/>
        <w:jc w:val="both"/>
        <w:rPr>
          <w:rFonts w:eastAsia="Times New Roman" w:cs="Times New Roman"/>
          <w:bCs/>
          <w:szCs w:val="28"/>
          <w:lang w:eastAsia="ru-RU"/>
        </w:rPr>
      </w:pPr>
      <w:r w:rsidRPr="00E1308A">
        <w:rPr>
          <w:rFonts w:eastAsia="Times New Roman" w:cs="Times New Roman"/>
          <w:bCs/>
          <w:szCs w:val="28"/>
          <w:lang w:eastAsia="ru-RU"/>
        </w:rPr>
        <w:t xml:space="preserve">Протягом звітного періоду проведено аудити відповідності у регіональних відділеннях по Харківській, Миколаївській, Запорізькій, Івано-Франківській, Вінницькій, Рівненській, Сумській, Волинській, Чернігівській </w:t>
      </w:r>
      <w:r w:rsidRPr="00E1308A">
        <w:rPr>
          <w:rFonts w:eastAsia="Times New Roman" w:cs="Times New Roman"/>
          <w:bCs/>
          <w:szCs w:val="28"/>
          <w:lang w:eastAsia="ru-RU"/>
        </w:rPr>
        <w:lastRenderedPageBreak/>
        <w:t>областях щодо:</w:t>
      </w:r>
    </w:p>
    <w:p w:rsidR="00E1308A" w:rsidRPr="00E1308A" w:rsidRDefault="00E1308A" w:rsidP="00E1308A">
      <w:pPr>
        <w:autoSpaceDE w:val="0"/>
        <w:autoSpaceDN w:val="0"/>
        <w:adjustRightInd w:val="0"/>
        <w:jc w:val="both"/>
        <w:rPr>
          <w:rFonts w:eastAsia="Times New Roman" w:cs="Times New Roman"/>
          <w:bCs/>
          <w:szCs w:val="28"/>
          <w:lang w:eastAsia="ru-RU"/>
        </w:rPr>
      </w:pPr>
      <w:r>
        <w:rPr>
          <w:rFonts w:eastAsia="Times New Roman" w:cs="Times New Roman"/>
          <w:bCs/>
          <w:szCs w:val="28"/>
          <w:lang w:eastAsia="ru-RU"/>
        </w:rPr>
        <w:t>– </w:t>
      </w:r>
      <w:r w:rsidRPr="00E1308A">
        <w:rPr>
          <w:rFonts w:eastAsia="Times New Roman" w:cs="Times New Roman"/>
          <w:bCs/>
          <w:szCs w:val="28"/>
          <w:lang w:eastAsia="ru-RU"/>
        </w:rPr>
        <w:t xml:space="preserve">дотримання вимог чинного законодавства під час здійснення контролю за виконанням умов договорів купівлі-продажу державного майна у 2015 році, дотримання актів законодавства з питань оренди державного майна у 2014-2015 роках; </w:t>
      </w:r>
    </w:p>
    <w:p w:rsidR="00E1308A" w:rsidRPr="00E1308A" w:rsidRDefault="00E1308A" w:rsidP="00E1308A">
      <w:pPr>
        <w:autoSpaceDE w:val="0"/>
        <w:autoSpaceDN w:val="0"/>
        <w:adjustRightInd w:val="0"/>
        <w:jc w:val="both"/>
        <w:rPr>
          <w:rFonts w:eastAsia="Times New Roman" w:cs="Times New Roman"/>
          <w:bCs/>
          <w:szCs w:val="28"/>
          <w:lang w:eastAsia="ru-RU"/>
        </w:rPr>
      </w:pPr>
      <w:r>
        <w:rPr>
          <w:rFonts w:eastAsia="Times New Roman" w:cs="Times New Roman"/>
          <w:bCs/>
          <w:szCs w:val="28"/>
          <w:lang w:eastAsia="ru-RU"/>
        </w:rPr>
        <w:t>– </w:t>
      </w:r>
      <w:r w:rsidRPr="00E1308A">
        <w:rPr>
          <w:rFonts w:eastAsia="Times New Roman" w:cs="Times New Roman"/>
          <w:bCs/>
          <w:szCs w:val="28"/>
          <w:lang w:eastAsia="ru-RU"/>
        </w:rPr>
        <w:t>дотримання актів законодавства з питань управління державним майном, яке не увійшло до статутних капіталів ВАТ під час приватизації у 2013-2015 роках;</w:t>
      </w:r>
    </w:p>
    <w:p w:rsidR="00E1308A" w:rsidRPr="00E1308A" w:rsidRDefault="00E1308A" w:rsidP="00E1308A">
      <w:pPr>
        <w:autoSpaceDE w:val="0"/>
        <w:autoSpaceDN w:val="0"/>
        <w:adjustRightInd w:val="0"/>
        <w:jc w:val="both"/>
        <w:rPr>
          <w:rFonts w:eastAsia="Times New Roman" w:cs="Times New Roman"/>
          <w:bCs/>
          <w:szCs w:val="28"/>
          <w:lang w:eastAsia="ru-RU"/>
        </w:rPr>
      </w:pPr>
      <w:r>
        <w:rPr>
          <w:rFonts w:eastAsia="Times New Roman" w:cs="Times New Roman"/>
          <w:bCs/>
          <w:szCs w:val="28"/>
          <w:lang w:eastAsia="ru-RU"/>
        </w:rPr>
        <w:t>– </w:t>
      </w:r>
      <w:r w:rsidRPr="00E1308A">
        <w:rPr>
          <w:rFonts w:eastAsia="Times New Roman" w:cs="Times New Roman"/>
          <w:bCs/>
          <w:szCs w:val="28"/>
          <w:lang w:eastAsia="ru-RU"/>
        </w:rPr>
        <w:t>дотримання актів законодавства під час проведення конкурсів з відбору суб’єктів оціночної діяльності з метою  виконання незалежної оцінки об’єктів у 2013-2015 роках;</w:t>
      </w:r>
    </w:p>
    <w:p w:rsidR="00E1308A" w:rsidRPr="00E1308A" w:rsidRDefault="00E1308A" w:rsidP="00E1308A">
      <w:pPr>
        <w:autoSpaceDE w:val="0"/>
        <w:autoSpaceDN w:val="0"/>
        <w:adjustRightInd w:val="0"/>
        <w:jc w:val="both"/>
        <w:rPr>
          <w:rFonts w:eastAsia="Times New Roman" w:cs="Times New Roman"/>
          <w:bCs/>
          <w:szCs w:val="28"/>
          <w:lang w:eastAsia="ru-RU"/>
        </w:rPr>
      </w:pPr>
      <w:r>
        <w:rPr>
          <w:rFonts w:eastAsia="Times New Roman" w:cs="Times New Roman"/>
          <w:bCs/>
          <w:szCs w:val="28"/>
          <w:lang w:eastAsia="ru-RU"/>
        </w:rPr>
        <w:t>– </w:t>
      </w:r>
      <w:r w:rsidRPr="00E1308A">
        <w:rPr>
          <w:rFonts w:eastAsia="Times New Roman" w:cs="Times New Roman"/>
          <w:bCs/>
          <w:szCs w:val="28"/>
          <w:lang w:eastAsia="ru-RU"/>
        </w:rPr>
        <w:t>дотримання нормативно-правових актів з питання проведення конкурсів на заміщення вакантних посад державних службовців та проведення спеціальної перевірки претендентів на посади державної служби у період 2013-2015 років;</w:t>
      </w:r>
    </w:p>
    <w:p w:rsidR="00E1308A" w:rsidRPr="00E1308A" w:rsidRDefault="00E1308A" w:rsidP="00E1308A">
      <w:pPr>
        <w:autoSpaceDE w:val="0"/>
        <w:autoSpaceDN w:val="0"/>
        <w:adjustRightInd w:val="0"/>
        <w:jc w:val="both"/>
        <w:rPr>
          <w:rFonts w:eastAsia="Times New Roman" w:cs="Times New Roman"/>
          <w:bCs/>
          <w:szCs w:val="28"/>
          <w:lang w:eastAsia="ru-RU"/>
        </w:rPr>
      </w:pPr>
      <w:r>
        <w:rPr>
          <w:rFonts w:eastAsia="Times New Roman" w:cs="Times New Roman"/>
          <w:bCs/>
          <w:szCs w:val="28"/>
          <w:lang w:eastAsia="ru-RU"/>
        </w:rPr>
        <w:t>– </w:t>
      </w:r>
      <w:r w:rsidRPr="00E1308A">
        <w:rPr>
          <w:rFonts w:eastAsia="Times New Roman" w:cs="Times New Roman"/>
          <w:bCs/>
          <w:szCs w:val="28"/>
          <w:lang w:eastAsia="ru-RU"/>
        </w:rPr>
        <w:t xml:space="preserve">законності та достовірності фінансової та бюджетної звітності, правильності ведення бухгалтерського обліку при використанні бюджетних коштів на утримання апарату регіонального відділення у період </w:t>
      </w:r>
      <w:r w:rsidRPr="00E1308A">
        <w:rPr>
          <w:rFonts w:eastAsia="Times New Roman" w:cs="Times New Roman"/>
          <w:bCs/>
          <w:szCs w:val="28"/>
          <w:lang w:eastAsia="ru-RU"/>
        </w:rPr>
        <w:br/>
        <w:t>2013-2015 років.</w:t>
      </w:r>
    </w:p>
    <w:p w:rsidR="00E1308A" w:rsidRPr="00E1308A" w:rsidRDefault="00E1308A" w:rsidP="00E1308A">
      <w:pPr>
        <w:autoSpaceDE w:val="0"/>
        <w:autoSpaceDN w:val="0"/>
        <w:adjustRightInd w:val="0"/>
        <w:jc w:val="both"/>
        <w:rPr>
          <w:rFonts w:eastAsia="Times New Roman" w:cs="Times New Roman"/>
          <w:bCs/>
          <w:szCs w:val="28"/>
          <w:lang w:eastAsia="ru-RU"/>
        </w:rPr>
      </w:pPr>
      <w:r w:rsidRPr="00E1308A">
        <w:rPr>
          <w:rFonts w:eastAsia="Times New Roman" w:cs="Times New Roman"/>
          <w:bCs/>
          <w:szCs w:val="28"/>
          <w:lang w:eastAsia="ru-RU"/>
        </w:rPr>
        <w:t>За результатами аудиторських досліджень аудиторськими групами було надано 184 рекомендації щодо вдосконалення роботи регіональних відділень та апарату Фонду. Станом на 01.01.2017 виконано 36 рекомендацій, термін виконання 42 рекомендацій не настав, 106 рекомендацій підлягають постійному виконанню.</w:t>
      </w:r>
    </w:p>
    <w:p w:rsidR="00E1308A" w:rsidRPr="00E1308A" w:rsidRDefault="00E1308A" w:rsidP="00E1308A">
      <w:pPr>
        <w:autoSpaceDE w:val="0"/>
        <w:autoSpaceDN w:val="0"/>
        <w:adjustRightInd w:val="0"/>
        <w:jc w:val="both"/>
        <w:rPr>
          <w:rFonts w:eastAsia="Times New Roman" w:cs="Times New Roman"/>
          <w:bCs/>
          <w:szCs w:val="28"/>
          <w:lang w:eastAsia="ru-RU"/>
        </w:rPr>
      </w:pPr>
      <w:r w:rsidRPr="00E1308A">
        <w:rPr>
          <w:rFonts w:eastAsia="Times New Roman" w:cs="Times New Roman"/>
          <w:bCs/>
          <w:szCs w:val="28"/>
          <w:lang w:eastAsia="ru-RU"/>
        </w:rPr>
        <w:t>За результатами 4 аудиторських досліджень Голові Фонду запропоновано розглянути питання щодо притягнення до дисциплінарної відповідальності 3 посадових осіб регіональних відділень та 2 посадових осіб Департаменту з питань орендних відносин.</w:t>
      </w:r>
    </w:p>
    <w:p w:rsidR="00E1308A" w:rsidRPr="00E1308A" w:rsidRDefault="00E1308A" w:rsidP="00E1308A">
      <w:pPr>
        <w:autoSpaceDE w:val="0"/>
        <w:autoSpaceDN w:val="0"/>
        <w:adjustRightInd w:val="0"/>
        <w:jc w:val="both"/>
        <w:rPr>
          <w:rFonts w:eastAsia="Times New Roman" w:cs="Times New Roman"/>
          <w:bCs/>
          <w:sz w:val="16"/>
          <w:szCs w:val="16"/>
          <w:lang w:eastAsia="ru-RU"/>
        </w:rPr>
      </w:pPr>
    </w:p>
    <w:p w:rsidR="00E1308A" w:rsidRPr="00E1308A" w:rsidRDefault="00E1308A" w:rsidP="00E1308A">
      <w:pPr>
        <w:autoSpaceDE w:val="0"/>
        <w:autoSpaceDN w:val="0"/>
        <w:adjustRightInd w:val="0"/>
        <w:jc w:val="both"/>
        <w:rPr>
          <w:rFonts w:eastAsia="Times New Roman" w:cs="Times New Roman"/>
          <w:bCs/>
          <w:szCs w:val="28"/>
          <w:lang w:eastAsia="ru-RU"/>
        </w:rPr>
      </w:pPr>
      <w:r w:rsidRPr="00E1308A">
        <w:rPr>
          <w:rFonts w:eastAsia="Times New Roman" w:cs="Times New Roman"/>
          <w:bCs/>
          <w:szCs w:val="28"/>
          <w:lang w:eastAsia="ru-RU"/>
        </w:rPr>
        <w:t>Фонд приділяє значну увагу удосконаленню організації внутрішнього контролю в системі органів приватизації. Відповідним структурним підрозділом Фонду здійснюється постійний аналіз інформації керівників структурних підрозділів та регіональних відділень щодо організації і функціонування внутрішнього контролю в підпорядкованому структурному підрозділі. За результатами аналізу готується висновок щодо рівня організації внутрішнього контролю в системі органів приватизації та необхідності вжиття відповідних заходів.</w:t>
      </w:r>
    </w:p>
    <w:p w:rsidR="00E1308A" w:rsidRPr="00E1308A" w:rsidRDefault="00E1308A" w:rsidP="00E1308A">
      <w:pPr>
        <w:autoSpaceDE w:val="0"/>
        <w:autoSpaceDN w:val="0"/>
        <w:adjustRightInd w:val="0"/>
        <w:jc w:val="both"/>
        <w:rPr>
          <w:rFonts w:eastAsia="Times New Roman" w:cs="Times New Roman"/>
          <w:bCs/>
          <w:szCs w:val="28"/>
          <w:lang w:eastAsia="ru-RU"/>
        </w:rPr>
      </w:pPr>
      <w:r w:rsidRPr="00E1308A">
        <w:rPr>
          <w:rFonts w:eastAsia="Times New Roman" w:cs="Times New Roman"/>
          <w:bCs/>
          <w:szCs w:val="28"/>
          <w:lang w:eastAsia="ru-RU"/>
        </w:rPr>
        <w:t xml:space="preserve">На колегіях Фонду з метою вжиття дієвих заходів щодо дотримання фінансово-бюджетної дисципліни, підвищення ефективності управління бюджетними резервами були заслухані звіти регіональних відділень Фонду по Черкаській, Житомирській, Сумській та Рівненській областях щодо стану зміцнення фінансово-бюджетної дисципліни у 2015 році та за поточний період 2016 року. Інформацію начальників регіональних відділень щодо стану зміцнення фінансово-бюджетної дисципліни у 2015 році та поточному періоді 2016 року взято до відома. Рішення колегій Фонду та звіти про їх виконання </w:t>
      </w:r>
      <w:r w:rsidRPr="00E1308A">
        <w:rPr>
          <w:rFonts w:eastAsia="Times New Roman" w:cs="Times New Roman"/>
          <w:bCs/>
          <w:szCs w:val="28"/>
          <w:lang w:eastAsia="ru-RU"/>
        </w:rPr>
        <w:lastRenderedPageBreak/>
        <w:t>було направлено Державній аудиторській службі України.</w:t>
      </w:r>
    </w:p>
    <w:p w:rsidR="00E1308A" w:rsidRPr="00E1308A" w:rsidRDefault="00E1308A" w:rsidP="00E1308A">
      <w:pPr>
        <w:autoSpaceDE w:val="0"/>
        <w:autoSpaceDN w:val="0"/>
        <w:adjustRightInd w:val="0"/>
        <w:jc w:val="both"/>
        <w:rPr>
          <w:rFonts w:eastAsia="Times New Roman" w:cs="Times New Roman"/>
          <w:bCs/>
          <w:sz w:val="16"/>
          <w:szCs w:val="16"/>
          <w:lang w:eastAsia="ru-RU"/>
        </w:rPr>
      </w:pPr>
    </w:p>
    <w:p w:rsidR="00E1308A" w:rsidRPr="00E1308A" w:rsidRDefault="00E1308A" w:rsidP="00E1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Times New Roman" w:cs="Times New Roman"/>
          <w:bCs/>
          <w:szCs w:val="28"/>
          <w:lang w:eastAsia="ru-RU"/>
        </w:rPr>
      </w:pPr>
      <w:r w:rsidRPr="00E1308A">
        <w:rPr>
          <w:rFonts w:eastAsia="Times New Roman" w:cs="Times New Roman"/>
          <w:bCs/>
          <w:szCs w:val="28"/>
          <w:lang w:eastAsia="ru-RU"/>
        </w:rPr>
        <w:t>Звіт про діяльність підрозділів внутрішнього аудиту у Фонді за 2016 рік відповідно до вимог Порядку утворення структурних підрозділів внутрішнього аудиту та проведення такого аудиту в міністерствах, інших центральних органах виконавчої влади, їх територіальних органах та бюджетних установах, які належать до сфери управління міністерств, інших центральних органів виконавчої влади, затвердженого постановою Кабінету Міністрів України від 28 вересня 2011 року № 1001, направлено Міністерству фінансів України.</w:t>
      </w:r>
    </w:p>
    <w:p w:rsidR="007F3E31" w:rsidRPr="00242020" w:rsidRDefault="007F3E31" w:rsidP="007F3E31">
      <w:pPr>
        <w:autoSpaceDE w:val="0"/>
        <w:autoSpaceDN w:val="0"/>
        <w:adjustRightInd w:val="0"/>
        <w:ind w:firstLine="708"/>
        <w:jc w:val="both"/>
        <w:rPr>
          <w:rFonts w:eastAsia="Times New Roman" w:cs="Times New Roman"/>
          <w:bCs/>
          <w:sz w:val="12"/>
          <w:szCs w:val="12"/>
          <w:lang w:eastAsia="ru-RU"/>
        </w:rPr>
      </w:pPr>
    </w:p>
    <w:p w:rsidR="00805AB4" w:rsidRPr="00242020" w:rsidRDefault="00805AB4" w:rsidP="00805AB4">
      <w:pPr>
        <w:pStyle w:val="2"/>
        <w:rPr>
          <w:szCs w:val="28"/>
        </w:rPr>
      </w:pPr>
      <w:r w:rsidRPr="00242020">
        <w:t>5.2. Забезпечення здійснення внутрівідомчого контролю органів приватизації за напрямами їх діяльності</w:t>
      </w:r>
    </w:p>
    <w:p w:rsidR="007F3E31" w:rsidRPr="00242020" w:rsidRDefault="007F3E31" w:rsidP="007F3E31">
      <w:pPr>
        <w:autoSpaceDE w:val="0"/>
        <w:autoSpaceDN w:val="0"/>
        <w:adjustRightInd w:val="0"/>
        <w:ind w:firstLine="708"/>
        <w:jc w:val="both"/>
        <w:rPr>
          <w:rFonts w:eastAsia="Times New Roman" w:cs="Times New Roman"/>
          <w:bCs/>
          <w:sz w:val="12"/>
          <w:szCs w:val="12"/>
          <w:lang w:eastAsia="ru-RU"/>
        </w:rPr>
      </w:pPr>
    </w:p>
    <w:p w:rsidR="00E1308A" w:rsidRPr="00E1308A" w:rsidRDefault="00E1308A" w:rsidP="008357B5">
      <w:pPr>
        <w:widowControl/>
        <w:jc w:val="both"/>
        <w:rPr>
          <w:rFonts w:eastAsia="Times New Roman" w:cs="Times New Roman"/>
          <w:szCs w:val="28"/>
          <w:lang w:eastAsia="ru-RU"/>
        </w:rPr>
      </w:pPr>
      <w:r w:rsidRPr="00E1308A">
        <w:rPr>
          <w:rFonts w:eastAsia="Times New Roman" w:cs="Times New Roman"/>
          <w:szCs w:val="28"/>
          <w:lang w:eastAsia="ru-RU"/>
        </w:rPr>
        <w:t>З метою забезпечення контролю за дотриманням чинного законодавства в процесі приватизації Фонд здійснює перевірки діяльності структурних підрозділів Фонду, його регіональних відділень, а також діяльності юридичних осіб, які є учасниками приватизаційних процесів, із залученням у разі необхідності правоохоронних та контролюючих органів.</w:t>
      </w:r>
    </w:p>
    <w:p w:rsidR="00E1308A" w:rsidRPr="00E1308A" w:rsidRDefault="00E1308A" w:rsidP="008357B5">
      <w:pPr>
        <w:widowControl/>
        <w:jc w:val="both"/>
        <w:rPr>
          <w:rFonts w:eastAsia="Times New Roman" w:cs="Times New Roman"/>
          <w:szCs w:val="28"/>
          <w:lang w:eastAsia="ru-RU"/>
        </w:rPr>
      </w:pPr>
      <w:r w:rsidRPr="00E1308A">
        <w:rPr>
          <w:rFonts w:eastAsia="Times New Roman" w:cs="Times New Roman"/>
          <w:szCs w:val="28"/>
          <w:lang w:eastAsia="ru-RU"/>
        </w:rPr>
        <w:t>Наказом Фонду від 03 червня 2016 року № 1089 затверджено Регламент проведення перевірок підрозділом внутрівідомчого контролю Фонду, який визначає процедуру проведення перевірок цим підрозділом, відповідно до визначених завдань і повноважень Фонду.</w:t>
      </w:r>
    </w:p>
    <w:p w:rsidR="00E1308A" w:rsidRPr="00E1308A" w:rsidRDefault="00E1308A" w:rsidP="008357B5">
      <w:pPr>
        <w:jc w:val="both"/>
        <w:rPr>
          <w:rFonts w:eastAsia="Times New Roman" w:cs="Times New Roman"/>
          <w:szCs w:val="28"/>
          <w:lang w:eastAsia="ru-RU"/>
        </w:rPr>
      </w:pPr>
      <w:r w:rsidRPr="00E1308A">
        <w:rPr>
          <w:rFonts w:eastAsia="Times New Roman" w:cs="Times New Roman"/>
          <w:szCs w:val="28"/>
          <w:lang w:eastAsia="ru-RU"/>
        </w:rPr>
        <w:t>На виконання вимог зазначеного Регламенту затверджено План діяльності з внутрішнього контролю на ІІ півріччя 2016 року, відповідно до якого протягом звітного періоду проведено 11 (6 планових та 5 позапланових) перевірок регіональних відділень Фонду.</w:t>
      </w:r>
    </w:p>
    <w:p w:rsidR="00E1308A" w:rsidRPr="00E1308A" w:rsidRDefault="00E1308A" w:rsidP="008357B5">
      <w:pPr>
        <w:jc w:val="both"/>
        <w:rPr>
          <w:rFonts w:eastAsia="Times New Roman" w:cs="Times New Roman"/>
          <w:szCs w:val="28"/>
          <w:lang w:eastAsia="ru-RU"/>
        </w:rPr>
      </w:pPr>
      <w:r w:rsidRPr="00E1308A">
        <w:rPr>
          <w:rFonts w:eastAsia="Times New Roman" w:cs="Times New Roman"/>
          <w:szCs w:val="28"/>
          <w:lang w:eastAsia="ru-RU"/>
        </w:rPr>
        <w:t>Планові перевірки проведено у регіональних відділеннях Фонду по Житомирській, Тернопільській, Черкаській, Кіровоградській, Закарпатській та Чернівецькій областях з питань:</w:t>
      </w:r>
    </w:p>
    <w:p w:rsidR="00E1308A" w:rsidRPr="00E1308A" w:rsidRDefault="00E1308A" w:rsidP="008357B5">
      <w:pPr>
        <w:jc w:val="both"/>
        <w:rPr>
          <w:rFonts w:eastAsia="Times New Roman" w:cs="Times New Roman"/>
          <w:szCs w:val="28"/>
          <w:lang w:eastAsia="ru-RU"/>
        </w:rPr>
      </w:pPr>
      <w:r>
        <w:rPr>
          <w:rFonts w:eastAsia="Times New Roman" w:cs="Times New Roman"/>
          <w:szCs w:val="28"/>
          <w:lang w:eastAsia="ru-RU"/>
        </w:rPr>
        <w:t>– </w:t>
      </w:r>
      <w:r w:rsidRPr="00E1308A">
        <w:rPr>
          <w:rFonts w:eastAsia="Times New Roman" w:cs="Times New Roman"/>
          <w:szCs w:val="28"/>
          <w:lang w:eastAsia="ru-RU"/>
        </w:rPr>
        <w:t xml:space="preserve">дотримання актів законодавства під час проведення конкурсів з відбору суб’єктів оціночної діяльності з метою виконання незалежної оцінки об’єктів державної власності; </w:t>
      </w:r>
    </w:p>
    <w:p w:rsidR="00E1308A" w:rsidRDefault="00E1308A" w:rsidP="008357B5">
      <w:pPr>
        <w:jc w:val="both"/>
        <w:rPr>
          <w:rFonts w:eastAsia="Times New Roman" w:cs="Times New Roman"/>
          <w:szCs w:val="28"/>
          <w:lang w:eastAsia="ru-RU"/>
        </w:rPr>
      </w:pPr>
      <w:r>
        <w:rPr>
          <w:rFonts w:eastAsia="Times New Roman" w:cs="Times New Roman"/>
          <w:szCs w:val="28"/>
          <w:lang w:eastAsia="ru-RU"/>
        </w:rPr>
        <w:t>– </w:t>
      </w:r>
      <w:r w:rsidRPr="00E1308A">
        <w:rPr>
          <w:rFonts w:eastAsia="Times New Roman" w:cs="Times New Roman"/>
          <w:szCs w:val="28"/>
          <w:lang w:eastAsia="ru-RU"/>
        </w:rPr>
        <w:t>дотримання законодавства під час приватизації об’єктів А, Д, Ж;</w:t>
      </w:r>
    </w:p>
    <w:p w:rsidR="00E1308A" w:rsidRPr="00E1308A" w:rsidRDefault="00E1308A" w:rsidP="008357B5">
      <w:pPr>
        <w:jc w:val="both"/>
        <w:rPr>
          <w:rFonts w:eastAsia="Times New Roman" w:cs="Times New Roman"/>
          <w:szCs w:val="28"/>
          <w:lang w:eastAsia="ru-RU"/>
        </w:rPr>
      </w:pPr>
      <w:r>
        <w:rPr>
          <w:rFonts w:eastAsia="Times New Roman" w:cs="Times New Roman"/>
          <w:szCs w:val="28"/>
          <w:lang w:eastAsia="ru-RU"/>
        </w:rPr>
        <w:t>– </w:t>
      </w:r>
      <w:r w:rsidRPr="00E1308A">
        <w:rPr>
          <w:rFonts w:eastAsia="Times New Roman" w:cs="Times New Roman"/>
          <w:szCs w:val="28"/>
          <w:lang w:eastAsia="ru-RU"/>
        </w:rPr>
        <w:t xml:space="preserve">дотримання законодавства з питань оренди державного майна; </w:t>
      </w:r>
    </w:p>
    <w:p w:rsidR="00E1308A" w:rsidRPr="00E1308A" w:rsidRDefault="00E1308A" w:rsidP="008357B5">
      <w:pPr>
        <w:jc w:val="both"/>
        <w:rPr>
          <w:rFonts w:eastAsia="Times New Roman" w:cs="Times New Roman"/>
          <w:szCs w:val="28"/>
          <w:lang w:eastAsia="ru-RU"/>
        </w:rPr>
      </w:pPr>
      <w:r>
        <w:rPr>
          <w:rFonts w:eastAsia="Times New Roman" w:cs="Times New Roman"/>
          <w:szCs w:val="28"/>
          <w:lang w:eastAsia="ru-RU"/>
        </w:rPr>
        <w:t>– </w:t>
      </w:r>
      <w:r w:rsidRPr="00E1308A">
        <w:rPr>
          <w:rFonts w:eastAsia="Times New Roman" w:cs="Times New Roman"/>
          <w:szCs w:val="28"/>
          <w:lang w:eastAsia="ru-RU"/>
        </w:rPr>
        <w:t xml:space="preserve">дотримання законодавства з питань управління корпоративними правами держави. </w:t>
      </w:r>
    </w:p>
    <w:p w:rsidR="00E1308A" w:rsidRPr="00E1308A" w:rsidRDefault="00E1308A" w:rsidP="008357B5">
      <w:pPr>
        <w:jc w:val="both"/>
        <w:rPr>
          <w:rFonts w:eastAsia="Times New Roman" w:cs="Times New Roman"/>
          <w:szCs w:val="28"/>
          <w:lang w:eastAsia="ru-RU"/>
        </w:rPr>
      </w:pPr>
      <w:r w:rsidRPr="00E1308A">
        <w:rPr>
          <w:rFonts w:eastAsia="Times New Roman" w:cs="Times New Roman"/>
          <w:szCs w:val="28"/>
          <w:lang w:eastAsia="ru-RU"/>
        </w:rPr>
        <w:t xml:space="preserve">За дорученням керівництва Фонду проведено позапланові перевірки за окремими напрямами роботи регіональних відділень по Львівській, Київській, Рівненській, Івано-Франківській та Полтавській областях. </w:t>
      </w:r>
    </w:p>
    <w:p w:rsidR="00E1308A" w:rsidRPr="00E1308A" w:rsidRDefault="00E1308A" w:rsidP="008357B5">
      <w:pPr>
        <w:jc w:val="both"/>
        <w:rPr>
          <w:rFonts w:eastAsia="Times New Roman" w:cs="Times New Roman"/>
          <w:szCs w:val="28"/>
          <w:lang w:eastAsia="ru-RU"/>
        </w:rPr>
      </w:pPr>
      <w:r w:rsidRPr="00E1308A">
        <w:rPr>
          <w:rFonts w:eastAsia="Times New Roman" w:cs="Times New Roman"/>
          <w:szCs w:val="28"/>
          <w:lang w:eastAsia="ru-RU"/>
        </w:rPr>
        <w:t xml:space="preserve">За результатами перевірки діяльності регіональних відділень Фонду по Житомирській, Черкаській та Кіровоградській областях  щодо дотримання актів законодавства під час проведення конкурсів з відбору суб’єктів оціночної діяльності з метою виконання незалежної оцінки об’єктів державної власності у період 2014 рік – І півріччя 2016 року було встановлено порушення вимог Положення про конкурсний відбір суб’єктів оціночної діяльності в частині опрацювання конкурсною комісією з відбору суб’єктів оціночної діяльності </w:t>
      </w:r>
      <w:r w:rsidRPr="00E1308A">
        <w:rPr>
          <w:rFonts w:eastAsia="Times New Roman" w:cs="Times New Roman"/>
          <w:szCs w:val="28"/>
          <w:lang w:eastAsia="ru-RU"/>
        </w:rPr>
        <w:lastRenderedPageBreak/>
        <w:t xml:space="preserve">поданих претендентами підтвердних документів та документів щодо практичного досвіду виконання робіт з оцінки. </w:t>
      </w:r>
    </w:p>
    <w:p w:rsidR="00E1308A" w:rsidRPr="00E1308A" w:rsidRDefault="00E1308A" w:rsidP="008357B5">
      <w:pPr>
        <w:autoSpaceDE w:val="0"/>
        <w:autoSpaceDN w:val="0"/>
        <w:adjustRightInd w:val="0"/>
        <w:jc w:val="both"/>
        <w:rPr>
          <w:rFonts w:eastAsia="Times New Roman" w:cs="Times New Roman"/>
          <w:bCs/>
          <w:szCs w:val="28"/>
          <w:lang w:eastAsia="ru-RU"/>
        </w:rPr>
      </w:pPr>
      <w:r w:rsidRPr="00E1308A">
        <w:rPr>
          <w:rFonts w:eastAsia="Times New Roman" w:cs="Times New Roman"/>
          <w:bCs/>
          <w:szCs w:val="28"/>
          <w:lang w:eastAsia="ru-RU"/>
        </w:rPr>
        <w:t xml:space="preserve">За результатами перевірки діяльності регіональних відділень Фонду по Житомирській, Черкаській та Кіровоградській областях щодо дотримання законодавства під час приватизації об’єктів А, Д, Ж у період 2014 рік – </w:t>
      </w:r>
      <w:r w:rsidRPr="00E1308A">
        <w:rPr>
          <w:rFonts w:eastAsia="Times New Roman" w:cs="Times New Roman"/>
          <w:bCs/>
          <w:szCs w:val="28"/>
          <w:lang w:eastAsia="ru-RU"/>
        </w:rPr>
        <w:br/>
        <w:t>І півріччя 2016 року були встановлені факти невиконання в повному обсязі планових завдань з надходження коштів до державного бюджету у 2014 та 2015 роках, допуску до участі у приватизації заявника без установчих документів, порушення термінів під час укладення договору купівлі-продажу нежитлової будівлі та виявлені інші порушення.</w:t>
      </w:r>
    </w:p>
    <w:p w:rsidR="00E1308A" w:rsidRPr="00E1308A" w:rsidRDefault="00E1308A" w:rsidP="008357B5">
      <w:pPr>
        <w:autoSpaceDE w:val="0"/>
        <w:autoSpaceDN w:val="0"/>
        <w:adjustRightInd w:val="0"/>
        <w:jc w:val="both"/>
        <w:rPr>
          <w:rFonts w:eastAsia="Times New Roman" w:cs="Times New Roman"/>
          <w:bCs/>
          <w:szCs w:val="28"/>
          <w:lang w:eastAsia="ru-RU"/>
        </w:rPr>
      </w:pPr>
      <w:r w:rsidRPr="00E1308A">
        <w:rPr>
          <w:rFonts w:eastAsia="Times New Roman" w:cs="Times New Roman"/>
          <w:bCs/>
          <w:szCs w:val="28"/>
          <w:lang w:eastAsia="ru-RU"/>
        </w:rPr>
        <w:t>За результатами перевірки регіональних відділень Фонду по Тернопільській та Закарпатській областях щодо дотримання актів законодавства з питань оренди державного майна за період 2014 рік –</w:t>
      </w:r>
      <w:r w:rsidRPr="00E1308A">
        <w:rPr>
          <w:rFonts w:eastAsia="Times New Roman" w:cs="Times New Roman"/>
          <w:bCs/>
          <w:szCs w:val="28"/>
          <w:lang w:eastAsia="ru-RU"/>
        </w:rPr>
        <w:br/>
        <w:t xml:space="preserve">І півріччя 2016 року було встановлено факти порушення вимог законодавства щодо нотаріального посвідчення додаткових угод до договорів оренди, які подовжують термін дії договору на 3 і більше років, бездіяльності з визначення приналежності, аналізу складу водних об’єктів (ставків) та гідротехнічних споруд, неповернення </w:t>
      </w:r>
      <w:proofErr w:type="spellStart"/>
      <w:r w:rsidRPr="00E1308A">
        <w:rPr>
          <w:rFonts w:eastAsia="Times New Roman" w:cs="Times New Roman"/>
          <w:bCs/>
          <w:szCs w:val="28"/>
          <w:lang w:eastAsia="ru-RU"/>
        </w:rPr>
        <w:t>ЦМК</w:t>
      </w:r>
      <w:proofErr w:type="spellEnd"/>
      <w:r w:rsidRPr="00E1308A">
        <w:rPr>
          <w:rFonts w:eastAsia="Times New Roman" w:cs="Times New Roman"/>
          <w:bCs/>
          <w:szCs w:val="28"/>
          <w:lang w:eastAsia="ru-RU"/>
        </w:rPr>
        <w:t xml:space="preserve"> структурного підрозділу </w:t>
      </w:r>
      <w:proofErr w:type="spellStart"/>
      <w:r w:rsidRPr="00E1308A">
        <w:rPr>
          <w:rFonts w:eastAsia="Times New Roman" w:cs="Times New Roman"/>
          <w:bCs/>
          <w:szCs w:val="28"/>
          <w:lang w:eastAsia="ru-RU"/>
        </w:rPr>
        <w:t>ДП</w:t>
      </w:r>
      <w:proofErr w:type="spellEnd"/>
      <w:r w:rsidRPr="00E1308A">
        <w:rPr>
          <w:rFonts w:eastAsia="Times New Roman" w:cs="Times New Roman"/>
          <w:bCs/>
          <w:szCs w:val="28"/>
          <w:lang w:eastAsia="ru-RU"/>
        </w:rPr>
        <w:t xml:space="preserve"> «Бучацький мальтозний завод» уповноваженому органу після закінчення терміну дії договору оренди, передачі в оренду іншого майна, ніж визначено в основному договорі, без укладення нового договору оренди та інші порушення.</w:t>
      </w:r>
    </w:p>
    <w:p w:rsidR="00E1308A" w:rsidRPr="00E1308A" w:rsidRDefault="00E1308A" w:rsidP="008357B5">
      <w:pPr>
        <w:autoSpaceDE w:val="0"/>
        <w:autoSpaceDN w:val="0"/>
        <w:adjustRightInd w:val="0"/>
        <w:jc w:val="both"/>
        <w:rPr>
          <w:rFonts w:eastAsia="Times New Roman" w:cs="Times New Roman"/>
          <w:bCs/>
          <w:szCs w:val="28"/>
          <w:lang w:eastAsia="ru-RU"/>
        </w:rPr>
      </w:pPr>
      <w:r w:rsidRPr="00E1308A">
        <w:rPr>
          <w:rFonts w:eastAsia="Times New Roman" w:cs="Times New Roman"/>
          <w:bCs/>
          <w:szCs w:val="28"/>
          <w:lang w:eastAsia="ru-RU"/>
        </w:rPr>
        <w:t>За результатами перевірки регіональних відділень Фонду по Тернопільській та Закарпатській областях щодо дотримання актів законодавства з питань управління корпоративними правами держави за 2014 рік – І півріччя 2016 року було встановлено, зокрема, факт невиконання протокольного рішення Уряду стосовно приведення акціонерними товариствами, у статутному капіталі яких є державна частка, статутів та внутрішніх документів у відповідність з вимогами законодавства.</w:t>
      </w:r>
    </w:p>
    <w:p w:rsidR="00E1308A" w:rsidRPr="00E1308A" w:rsidRDefault="00E1308A" w:rsidP="008357B5">
      <w:pPr>
        <w:widowControl/>
        <w:jc w:val="both"/>
        <w:rPr>
          <w:rFonts w:eastAsia="Times New Roman" w:cs="Times New Roman"/>
          <w:szCs w:val="28"/>
          <w:lang w:eastAsia="ru-RU"/>
        </w:rPr>
      </w:pPr>
      <w:r w:rsidRPr="00E1308A">
        <w:rPr>
          <w:rFonts w:eastAsia="Times New Roman" w:cs="Times New Roman"/>
          <w:szCs w:val="28"/>
          <w:lang w:eastAsia="ru-RU"/>
        </w:rPr>
        <w:t xml:space="preserve">За результатами всіх перевірок регіональним відділенням було надано рекомендації за відповідними напрямами. </w:t>
      </w:r>
    </w:p>
    <w:p w:rsidR="00E1308A" w:rsidRPr="00E1308A" w:rsidRDefault="00E1308A" w:rsidP="008357B5">
      <w:pPr>
        <w:widowControl/>
        <w:jc w:val="both"/>
        <w:rPr>
          <w:rFonts w:eastAsia="Times New Roman" w:cs="Times New Roman"/>
          <w:szCs w:val="28"/>
          <w:u w:val="single"/>
          <w:lang w:eastAsia="ru-RU"/>
        </w:rPr>
      </w:pPr>
      <w:r w:rsidRPr="00E1308A">
        <w:rPr>
          <w:rFonts w:eastAsia="Times New Roman" w:cs="Times New Roman"/>
          <w:szCs w:val="28"/>
          <w:lang w:eastAsia="ru-RU"/>
        </w:rPr>
        <w:t>Крім того, у 2016 році працівники Фонду брали участь в роботі 4-х комісій Адміністрації Президента України:</w:t>
      </w:r>
    </w:p>
    <w:p w:rsidR="00E1308A" w:rsidRPr="00E1308A" w:rsidRDefault="00E1308A" w:rsidP="008357B5">
      <w:pPr>
        <w:widowControl/>
        <w:jc w:val="both"/>
        <w:rPr>
          <w:rFonts w:eastAsia="Times New Roman" w:cs="Times New Roman"/>
          <w:szCs w:val="28"/>
          <w:lang w:eastAsia="ru-RU"/>
        </w:rPr>
      </w:pPr>
      <w:r w:rsidRPr="00E1308A">
        <w:rPr>
          <w:rFonts w:eastAsia="Times New Roman" w:cs="Times New Roman"/>
          <w:szCs w:val="28"/>
          <w:lang w:val="ru-RU" w:eastAsia="ru-RU"/>
        </w:rPr>
        <w:t>–</w:t>
      </w:r>
      <w:r w:rsidRPr="00E1308A">
        <w:rPr>
          <w:rFonts w:eastAsia="Times New Roman" w:cs="Times New Roman"/>
          <w:szCs w:val="28"/>
          <w:lang w:val="en-US" w:eastAsia="ru-RU"/>
        </w:rPr>
        <w:t> </w:t>
      </w:r>
      <w:r w:rsidRPr="00E1308A">
        <w:rPr>
          <w:rFonts w:eastAsia="Times New Roman" w:cs="Times New Roman"/>
          <w:szCs w:val="28"/>
          <w:lang w:eastAsia="ru-RU"/>
        </w:rPr>
        <w:t>з вивчення стану виконання Національною академією державного управління при Президентові України завдань, визначених актами і дорученнями Президента України;</w:t>
      </w:r>
    </w:p>
    <w:p w:rsidR="00E1308A" w:rsidRPr="00E1308A" w:rsidRDefault="00E1308A" w:rsidP="008357B5">
      <w:pPr>
        <w:autoSpaceDE w:val="0"/>
        <w:autoSpaceDN w:val="0"/>
        <w:adjustRightInd w:val="0"/>
        <w:jc w:val="both"/>
        <w:rPr>
          <w:rFonts w:eastAsia="Times New Roman" w:cs="Times New Roman"/>
          <w:bCs/>
          <w:szCs w:val="28"/>
          <w:lang w:eastAsia="ru-RU"/>
        </w:rPr>
      </w:pPr>
      <w:r w:rsidRPr="00E1308A">
        <w:rPr>
          <w:rFonts w:eastAsia="Times-Bold" w:cs="Times-Bold"/>
          <w:szCs w:val="28"/>
          <w:lang w:eastAsia="ru-RU"/>
        </w:rPr>
        <w:t>–</w:t>
      </w:r>
      <w:r w:rsidRPr="00E1308A">
        <w:rPr>
          <w:rFonts w:eastAsia="Times-Bold" w:cs="Times-Bold"/>
          <w:szCs w:val="28"/>
          <w:lang w:val="en-US" w:eastAsia="ru-RU"/>
        </w:rPr>
        <w:t> </w:t>
      </w:r>
      <w:r w:rsidRPr="00E1308A">
        <w:rPr>
          <w:rFonts w:eastAsia="Times-Bold" w:cs="Times-Bold"/>
          <w:szCs w:val="28"/>
          <w:lang w:eastAsia="ru-RU"/>
        </w:rPr>
        <w:t xml:space="preserve">з </w:t>
      </w:r>
      <w:r w:rsidRPr="00E1308A">
        <w:rPr>
          <w:rFonts w:eastAsia="Times-Roman" w:cs="Times New Roman"/>
          <w:bCs/>
          <w:szCs w:val="28"/>
          <w:lang w:eastAsia="ru-RU"/>
        </w:rPr>
        <w:t>вивчення діяльності Чернігівської обласної державної адміністрації, районних державних адміністрацій Чернігівської області</w:t>
      </w:r>
      <w:r w:rsidRPr="00E1308A">
        <w:rPr>
          <w:rFonts w:eastAsia="Times New Roman" w:cs="Times New Roman"/>
          <w:bCs/>
          <w:szCs w:val="28"/>
          <w:lang w:eastAsia="ru-RU"/>
        </w:rPr>
        <w:t xml:space="preserve">; </w:t>
      </w:r>
    </w:p>
    <w:p w:rsidR="00E1308A" w:rsidRPr="00E1308A" w:rsidRDefault="00E1308A" w:rsidP="008357B5">
      <w:pPr>
        <w:autoSpaceDE w:val="0"/>
        <w:autoSpaceDN w:val="0"/>
        <w:adjustRightInd w:val="0"/>
        <w:jc w:val="both"/>
        <w:rPr>
          <w:rFonts w:eastAsia="Times New Roman" w:cs="Times New Roman"/>
          <w:bCs/>
          <w:szCs w:val="28"/>
          <w:lang w:eastAsia="ru-RU"/>
        </w:rPr>
      </w:pPr>
      <w:r w:rsidRPr="00E1308A">
        <w:rPr>
          <w:rFonts w:eastAsia="Times-Bold" w:cs="Times-Bold"/>
          <w:szCs w:val="28"/>
          <w:lang w:eastAsia="ru-RU"/>
        </w:rPr>
        <w:t xml:space="preserve">– з </w:t>
      </w:r>
      <w:r w:rsidRPr="00E1308A">
        <w:rPr>
          <w:rFonts w:eastAsia="Times-Roman" w:cs="Times New Roman"/>
          <w:bCs/>
          <w:szCs w:val="28"/>
          <w:lang w:eastAsia="ru-RU"/>
        </w:rPr>
        <w:t>вивчення діяльності Полтавської обласної державної адміністрації, районних державних адміністрацій Полтавської області</w:t>
      </w:r>
      <w:r w:rsidRPr="00E1308A">
        <w:rPr>
          <w:rFonts w:eastAsia="Times New Roman" w:cs="Times New Roman"/>
          <w:bCs/>
          <w:szCs w:val="28"/>
          <w:lang w:eastAsia="ru-RU"/>
        </w:rPr>
        <w:t xml:space="preserve">; </w:t>
      </w:r>
    </w:p>
    <w:p w:rsidR="00E1308A" w:rsidRPr="00E1308A" w:rsidRDefault="00E1308A" w:rsidP="008357B5">
      <w:pPr>
        <w:autoSpaceDE w:val="0"/>
        <w:autoSpaceDN w:val="0"/>
        <w:adjustRightInd w:val="0"/>
        <w:jc w:val="both"/>
        <w:rPr>
          <w:rFonts w:eastAsia="Times New Roman" w:cs="Times New Roman"/>
          <w:bCs/>
          <w:szCs w:val="28"/>
          <w:lang w:eastAsia="ru-RU"/>
        </w:rPr>
      </w:pPr>
      <w:r w:rsidRPr="00E1308A">
        <w:rPr>
          <w:rFonts w:eastAsia="Times-Bold" w:cs="Times New Roman"/>
          <w:bCs/>
          <w:szCs w:val="28"/>
          <w:lang w:eastAsia="ru-RU"/>
        </w:rPr>
        <w:t xml:space="preserve">– з </w:t>
      </w:r>
      <w:r w:rsidRPr="00E1308A">
        <w:rPr>
          <w:rFonts w:eastAsia="Times-Roman" w:cs="Times New Roman"/>
          <w:bCs/>
          <w:szCs w:val="28"/>
          <w:lang w:eastAsia="ru-RU"/>
        </w:rPr>
        <w:t>вивчення діяльності</w:t>
      </w:r>
      <w:r w:rsidRPr="00E1308A">
        <w:rPr>
          <w:rFonts w:eastAsia="Times New Roman" w:cs="Times New Roman"/>
          <w:bCs/>
          <w:szCs w:val="28"/>
          <w:lang w:eastAsia="ru-RU"/>
        </w:rPr>
        <w:t xml:space="preserve"> Миколаївської обласної державної адміністрації та районних державних адміністрацій Миколаївської області.</w:t>
      </w:r>
    </w:p>
    <w:p w:rsidR="00805AB4" w:rsidRPr="00242020" w:rsidRDefault="00805AB4" w:rsidP="007F3E31">
      <w:pPr>
        <w:jc w:val="both"/>
        <w:rPr>
          <w:szCs w:val="28"/>
        </w:rPr>
      </w:pPr>
    </w:p>
    <w:p w:rsidR="00805AB4" w:rsidRPr="00242020" w:rsidRDefault="00805AB4" w:rsidP="00805AB4">
      <w:pPr>
        <w:jc w:val="both"/>
        <w:rPr>
          <w:szCs w:val="28"/>
        </w:rPr>
      </w:pPr>
    </w:p>
    <w:p w:rsidR="00D226C3" w:rsidRPr="00242020" w:rsidRDefault="00D226C3"/>
    <w:p w:rsidR="00805AB4" w:rsidRPr="00242020" w:rsidRDefault="00805AB4">
      <w:pPr>
        <w:sectPr w:rsidR="00805AB4" w:rsidRPr="00242020" w:rsidSect="00BE4231">
          <w:pgSz w:w="11906" w:h="16838"/>
          <w:pgMar w:top="1134" w:right="851" w:bottom="1134" w:left="1418" w:header="709" w:footer="709" w:gutter="0"/>
          <w:cols w:space="708"/>
          <w:docGrid w:linePitch="381"/>
        </w:sectPr>
      </w:pPr>
    </w:p>
    <w:p w:rsidR="00805AB4" w:rsidRPr="00242020" w:rsidRDefault="00805AB4" w:rsidP="00805AB4">
      <w:pPr>
        <w:pStyle w:val="1"/>
      </w:pPr>
      <w:r w:rsidRPr="00242020">
        <w:lastRenderedPageBreak/>
        <w:t>6. Захист державних інтересів у судах</w:t>
      </w:r>
    </w:p>
    <w:p w:rsidR="004252F1" w:rsidRPr="00242020" w:rsidRDefault="004252F1" w:rsidP="004252F1">
      <w:pPr>
        <w:ind w:firstLine="720"/>
        <w:jc w:val="both"/>
        <w:rPr>
          <w:sz w:val="12"/>
          <w:szCs w:val="12"/>
        </w:rPr>
      </w:pPr>
    </w:p>
    <w:p w:rsidR="00A464FF" w:rsidRPr="00A464FF" w:rsidRDefault="00A464FF" w:rsidP="00A464FF">
      <w:pPr>
        <w:jc w:val="both"/>
        <w:rPr>
          <w:rFonts w:eastAsia="Times New Roman" w:cs="Times New Roman"/>
          <w:szCs w:val="28"/>
          <w:lang w:eastAsia="ru-RU"/>
        </w:rPr>
      </w:pPr>
      <w:r w:rsidRPr="00A464FF">
        <w:rPr>
          <w:rFonts w:eastAsia="Times New Roman" w:cs="Times New Roman"/>
          <w:szCs w:val="28"/>
          <w:lang w:eastAsia="ru-RU"/>
        </w:rPr>
        <w:t xml:space="preserve">Фондом та його регіональними відділеннями постійно </w:t>
      </w:r>
      <w:r w:rsidRPr="00A464FF">
        <w:rPr>
          <w:rFonts w:eastAsia="Times New Roman" w:cs="Times New Roman"/>
          <w:b/>
          <w:szCs w:val="28"/>
          <w:lang w:eastAsia="ru-RU"/>
        </w:rPr>
        <w:t>проводиться претензійно-позовна робота щодо захисту інтересів держави</w:t>
      </w:r>
      <w:r w:rsidRPr="00A464FF">
        <w:rPr>
          <w:rFonts w:eastAsia="Times New Roman" w:cs="Times New Roman"/>
          <w:szCs w:val="28"/>
          <w:lang w:eastAsia="ru-RU"/>
        </w:rPr>
        <w:t xml:space="preserve"> у сфері приватизації, повернення у державну власність нерухомого майна та стягнення до державного бюджету заборгованості з орендної плати, дивідендів на корпоративні права держави та штрафних санкцій.</w:t>
      </w:r>
    </w:p>
    <w:p w:rsidR="00A464FF" w:rsidRPr="00A464FF" w:rsidRDefault="00A464FF" w:rsidP="00A464FF">
      <w:pPr>
        <w:widowControl/>
        <w:jc w:val="both"/>
        <w:rPr>
          <w:rFonts w:eastAsia="Times New Roman" w:cs="Times New Roman"/>
          <w:szCs w:val="28"/>
          <w:highlight w:val="cyan"/>
          <w:lang w:eastAsia="ru-RU"/>
        </w:rPr>
      </w:pPr>
      <w:r w:rsidRPr="00A464FF">
        <w:rPr>
          <w:rFonts w:eastAsia="Times New Roman" w:cs="Times New Roman"/>
          <w:szCs w:val="28"/>
          <w:lang w:eastAsia="ru-RU"/>
        </w:rPr>
        <w:t xml:space="preserve">Одним з напрямів цієї роботи є здійснення захисту прав та інтересів держави в судах загальної юрисдикції та спеціалізованих судах усіх інстанцій. </w:t>
      </w:r>
    </w:p>
    <w:p w:rsidR="00A464FF" w:rsidRPr="00A464FF" w:rsidRDefault="00A464FF" w:rsidP="00A464FF">
      <w:pPr>
        <w:jc w:val="both"/>
        <w:rPr>
          <w:rFonts w:eastAsia="Times New Roman" w:cs="Times New Roman"/>
          <w:szCs w:val="28"/>
          <w:lang w:eastAsia="ru-RU"/>
        </w:rPr>
      </w:pPr>
      <w:r w:rsidRPr="00A464FF">
        <w:rPr>
          <w:rFonts w:eastAsia="Times New Roman" w:cs="Times New Roman"/>
          <w:szCs w:val="28"/>
          <w:lang w:eastAsia="ru-RU"/>
        </w:rPr>
        <w:t xml:space="preserve">У 2016 році фахівці Фонду брали активну участь у </w:t>
      </w:r>
      <w:r w:rsidRPr="00A464FF">
        <w:rPr>
          <w:rFonts w:eastAsia="Times New Roman" w:cs="Times New Roman"/>
          <w:b/>
          <w:szCs w:val="28"/>
          <w:lang w:eastAsia="ru-RU"/>
        </w:rPr>
        <w:t>3 853</w:t>
      </w:r>
      <w:r w:rsidRPr="00A464FF">
        <w:rPr>
          <w:rFonts w:eastAsia="Times New Roman" w:cs="Times New Roman"/>
          <w:szCs w:val="28"/>
          <w:lang w:eastAsia="ru-RU"/>
        </w:rPr>
        <w:t xml:space="preserve"> судових засіданнях, у яких Фонд представлений у різних процесуальних статусах (позивач, відповідач, третя особа). </w:t>
      </w:r>
    </w:p>
    <w:p w:rsidR="00A464FF" w:rsidRPr="00A464FF" w:rsidRDefault="00A464FF" w:rsidP="00A464FF">
      <w:pPr>
        <w:jc w:val="both"/>
        <w:rPr>
          <w:rFonts w:eastAsia="Times New Roman" w:cs="Times New Roman"/>
          <w:szCs w:val="28"/>
          <w:lang w:eastAsia="ru-RU"/>
        </w:rPr>
      </w:pPr>
      <w:r w:rsidRPr="00A464FF">
        <w:rPr>
          <w:rFonts w:eastAsia="Times New Roman" w:cs="Times New Roman"/>
          <w:szCs w:val="28"/>
          <w:lang w:eastAsia="ru-RU"/>
        </w:rPr>
        <w:t xml:space="preserve">За результатами проведення претензійно-позовної роботи зі стягнення коштів до державного бюджету (оренда, дивіденди) та виконання судових рішень Фондом та його регіональними відділеннями протягом року подано </w:t>
      </w:r>
      <w:r w:rsidRPr="00A464FF">
        <w:rPr>
          <w:rFonts w:eastAsia="Times New Roman" w:cs="Times New Roman"/>
          <w:b/>
          <w:szCs w:val="28"/>
          <w:lang w:eastAsia="ru-RU"/>
        </w:rPr>
        <w:t>1 137</w:t>
      </w:r>
      <w:r w:rsidRPr="00A464FF">
        <w:rPr>
          <w:rFonts w:eastAsia="Times New Roman" w:cs="Times New Roman"/>
          <w:szCs w:val="28"/>
          <w:lang w:eastAsia="ru-RU"/>
        </w:rPr>
        <w:t xml:space="preserve"> позовних заяв щодо стягнення заборгованості з орендної плати, штрафних санкцій, розірвання договорів оренди, визнання недійсними договорів купівлі-продажу державного майна, стягнення штрафних санкцій за договорами купівлі-продажу державного майна, визнання права власності тощо. Сума, на яку пред’явлено позови щодо стягнення заборгованості з орендної плати та штрафних санкцій (борг, пеня, штраф, неустойка), становить </w:t>
      </w:r>
      <w:r w:rsidRPr="00A464FF">
        <w:rPr>
          <w:rFonts w:eastAsia="Times New Roman" w:cs="Times New Roman"/>
          <w:b/>
          <w:szCs w:val="28"/>
          <w:lang w:eastAsia="ru-RU"/>
        </w:rPr>
        <w:t xml:space="preserve">181,56 </w:t>
      </w:r>
      <w:proofErr w:type="spellStart"/>
      <w:r w:rsidRPr="00A464FF">
        <w:rPr>
          <w:rFonts w:eastAsia="Times New Roman" w:cs="Times New Roman"/>
          <w:b/>
          <w:szCs w:val="28"/>
          <w:lang w:eastAsia="ru-RU"/>
        </w:rPr>
        <w:t>млн</w:t>
      </w:r>
      <w:proofErr w:type="spellEnd"/>
      <w:r w:rsidRPr="00A464FF">
        <w:rPr>
          <w:rFonts w:eastAsia="Times New Roman" w:cs="Times New Roman"/>
          <w:b/>
          <w:szCs w:val="28"/>
          <w:lang w:eastAsia="ru-RU"/>
        </w:rPr>
        <w:t xml:space="preserve"> грн</w:t>
      </w:r>
      <w:r w:rsidRPr="00A464FF">
        <w:rPr>
          <w:rFonts w:eastAsia="Times New Roman" w:cs="Times New Roman"/>
          <w:szCs w:val="28"/>
          <w:lang w:eastAsia="ru-RU"/>
        </w:rPr>
        <w:t>.</w:t>
      </w:r>
    </w:p>
    <w:p w:rsidR="00A464FF" w:rsidRPr="00A464FF" w:rsidRDefault="00A464FF" w:rsidP="00A464FF">
      <w:pPr>
        <w:jc w:val="both"/>
        <w:rPr>
          <w:rFonts w:eastAsia="Times New Roman" w:cs="Times New Roman"/>
          <w:szCs w:val="28"/>
          <w:lang w:eastAsia="ru-RU"/>
        </w:rPr>
      </w:pPr>
      <w:r w:rsidRPr="00A464FF">
        <w:rPr>
          <w:rFonts w:eastAsia="Times New Roman" w:cs="Times New Roman"/>
          <w:szCs w:val="28"/>
          <w:lang w:eastAsia="ru-RU"/>
        </w:rPr>
        <w:t>Більшість судових рішень у справах за участю Фонду виноситься на користь останнього, а це, насамперед, стягнення до державного бюджету коштів та повернення у державну власність нерухомого майна. Підтвердженням цього є, зокрема, такі судові справи:</w:t>
      </w:r>
    </w:p>
    <w:p w:rsidR="00A464FF" w:rsidRPr="00A464FF" w:rsidRDefault="00A464FF" w:rsidP="00A464FF">
      <w:pPr>
        <w:widowControl/>
        <w:numPr>
          <w:ilvl w:val="0"/>
          <w:numId w:val="33"/>
        </w:numPr>
        <w:tabs>
          <w:tab w:val="num" w:pos="1080"/>
        </w:tabs>
        <w:ind w:left="0" w:firstLine="720"/>
        <w:jc w:val="both"/>
        <w:rPr>
          <w:rFonts w:eastAsia="Times New Roman" w:cs="Times New Roman"/>
          <w:szCs w:val="28"/>
          <w:lang w:eastAsia="ru-RU"/>
        </w:rPr>
      </w:pPr>
      <w:r w:rsidRPr="00A464FF">
        <w:rPr>
          <w:rFonts w:eastAsia="Times New Roman" w:cs="Times New Roman"/>
          <w:szCs w:val="28"/>
          <w:lang w:eastAsia="ru-RU"/>
        </w:rPr>
        <w:t xml:space="preserve">За позовом прокурора </w:t>
      </w:r>
      <w:proofErr w:type="spellStart"/>
      <w:r w:rsidRPr="00A464FF">
        <w:rPr>
          <w:rFonts w:eastAsia="Times New Roman" w:cs="Times New Roman"/>
          <w:szCs w:val="28"/>
          <w:lang w:eastAsia="ru-RU"/>
        </w:rPr>
        <w:t>Шполянського</w:t>
      </w:r>
      <w:proofErr w:type="spellEnd"/>
      <w:r w:rsidRPr="00A464FF">
        <w:rPr>
          <w:rFonts w:eastAsia="Times New Roman" w:cs="Times New Roman"/>
          <w:szCs w:val="28"/>
          <w:lang w:eastAsia="ru-RU"/>
        </w:rPr>
        <w:t xml:space="preserve"> району Черкаської області в інтересах держави в особі Фонду до Виконавчого комітету </w:t>
      </w:r>
      <w:proofErr w:type="spellStart"/>
      <w:r w:rsidRPr="00A464FF">
        <w:rPr>
          <w:rFonts w:eastAsia="Times New Roman" w:cs="Times New Roman"/>
          <w:szCs w:val="28"/>
          <w:lang w:eastAsia="ru-RU"/>
        </w:rPr>
        <w:t>Шполянської</w:t>
      </w:r>
      <w:proofErr w:type="spellEnd"/>
      <w:r w:rsidRPr="00A464FF">
        <w:rPr>
          <w:rFonts w:eastAsia="Times New Roman" w:cs="Times New Roman"/>
          <w:szCs w:val="28"/>
          <w:lang w:eastAsia="ru-RU"/>
        </w:rPr>
        <w:t xml:space="preserve"> міської ради, </w:t>
      </w:r>
      <w:proofErr w:type="spellStart"/>
      <w:r w:rsidRPr="00A464FF">
        <w:rPr>
          <w:rFonts w:eastAsia="Times New Roman" w:cs="Times New Roman"/>
          <w:szCs w:val="28"/>
          <w:lang w:eastAsia="ru-RU"/>
        </w:rPr>
        <w:t>Шполянського</w:t>
      </w:r>
      <w:proofErr w:type="spellEnd"/>
      <w:r w:rsidRPr="00A464FF">
        <w:rPr>
          <w:rFonts w:eastAsia="Times New Roman" w:cs="Times New Roman"/>
          <w:szCs w:val="28"/>
          <w:lang w:eastAsia="ru-RU"/>
        </w:rPr>
        <w:t xml:space="preserve"> заводу запасних частин (філія ВАТ «</w:t>
      </w:r>
      <w:proofErr w:type="spellStart"/>
      <w:r w:rsidRPr="00A464FF">
        <w:rPr>
          <w:rFonts w:eastAsia="Times New Roman" w:cs="Times New Roman"/>
          <w:szCs w:val="28"/>
          <w:lang w:eastAsia="ru-RU"/>
        </w:rPr>
        <w:t>Метровагонмаш</w:t>
      </w:r>
      <w:proofErr w:type="spellEnd"/>
      <w:r w:rsidRPr="00A464FF">
        <w:rPr>
          <w:rFonts w:eastAsia="Times New Roman" w:cs="Times New Roman"/>
          <w:szCs w:val="28"/>
          <w:lang w:eastAsia="ru-RU"/>
        </w:rPr>
        <w:t>»), ВАТ «</w:t>
      </w:r>
      <w:proofErr w:type="spellStart"/>
      <w:r w:rsidRPr="00A464FF">
        <w:rPr>
          <w:rFonts w:eastAsia="Times New Roman" w:cs="Times New Roman"/>
          <w:szCs w:val="28"/>
          <w:lang w:eastAsia="ru-RU"/>
        </w:rPr>
        <w:t>Метровагонмаш</w:t>
      </w:r>
      <w:proofErr w:type="spellEnd"/>
      <w:r w:rsidRPr="00A464FF">
        <w:rPr>
          <w:rFonts w:eastAsia="Times New Roman" w:cs="Times New Roman"/>
          <w:szCs w:val="28"/>
          <w:lang w:eastAsia="ru-RU"/>
        </w:rPr>
        <w:t>», ТОВ «</w:t>
      </w:r>
      <w:proofErr w:type="spellStart"/>
      <w:r w:rsidRPr="00A464FF">
        <w:rPr>
          <w:rFonts w:eastAsia="Times New Roman" w:cs="Times New Roman"/>
          <w:szCs w:val="28"/>
          <w:lang w:eastAsia="ru-RU"/>
        </w:rPr>
        <w:t>Шполянський</w:t>
      </w:r>
      <w:proofErr w:type="spellEnd"/>
      <w:r w:rsidRPr="00A464FF">
        <w:rPr>
          <w:rFonts w:eastAsia="Times New Roman" w:cs="Times New Roman"/>
          <w:szCs w:val="28"/>
          <w:lang w:eastAsia="ru-RU"/>
        </w:rPr>
        <w:t xml:space="preserve"> завод запасних частин», ТОВ «</w:t>
      </w:r>
      <w:proofErr w:type="spellStart"/>
      <w:r w:rsidRPr="00A464FF">
        <w:rPr>
          <w:rFonts w:eastAsia="Times New Roman" w:cs="Times New Roman"/>
          <w:szCs w:val="28"/>
          <w:lang w:eastAsia="ru-RU"/>
        </w:rPr>
        <w:t>Шполянський</w:t>
      </w:r>
      <w:proofErr w:type="spellEnd"/>
      <w:r w:rsidRPr="00A464FF">
        <w:rPr>
          <w:rFonts w:eastAsia="Times New Roman" w:cs="Times New Roman"/>
          <w:szCs w:val="28"/>
          <w:lang w:eastAsia="ru-RU"/>
        </w:rPr>
        <w:t xml:space="preserve"> завод запасних частин – </w:t>
      </w:r>
      <w:proofErr w:type="spellStart"/>
      <w:r w:rsidRPr="00A464FF">
        <w:rPr>
          <w:rFonts w:eastAsia="Times New Roman" w:cs="Times New Roman"/>
          <w:szCs w:val="28"/>
          <w:lang w:eastAsia="ru-RU"/>
        </w:rPr>
        <w:t>Метровагонмаш</w:t>
      </w:r>
      <w:proofErr w:type="spellEnd"/>
      <w:r w:rsidRPr="00A464FF">
        <w:rPr>
          <w:rFonts w:eastAsia="Times New Roman" w:cs="Times New Roman"/>
          <w:szCs w:val="28"/>
          <w:lang w:eastAsia="ru-RU"/>
        </w:rPr>
        <w:t>» за участю третьої особи комунального підприємства «Черкаське обласне об’єднане бюро технічної інвентаризації «</w:t>
      </w:r>
      <w:proofErr w:type="spellStart"/>
      <w:r w:rsidRPr="00A464FF">
        <w:rPr>
          <w:rFonts w:eastAsia="Times New Roman" w:cs="Times New Roman"/>
          <w:szCs w:val="28"/>
          <w:lang w:eastAsia="ru-RU"/>
        </w:rPr>
        <w:t>Шполянський</w:t>
      </w:r>
      <w:proofErr w:type="spellEnd"/>
      <w:r w:rsidRPr="00A464FF">
        <w:rPr>
          <w:rFonts w:eastAsia="Times New Roman" w:cs="Times New Roman"/>
          <w:szCs w:val="28"/>
          <w:lang w:eastAsia="ru-RU"/>
        </w:rPr>
        <w:t xml:space="preserve"> виробничий відділок». Постановою Київського апеляційного господарського суду від 22.02.2016 у справі № 925/1831/14 позовні вимоги задоволено частково – витребувано з чужого незаконного володіння ВАТ «</w:t>
      </w:r>
      <w:proofErr w:type="spellStart"/>
      <w:r w:rsidRPr="00A464FF">
        <w:rPr>
          <w:rFonts w:eastAsia="Times New Roman" w:cs="Times New Roman"/>
          <w:szCs w:val="28"/>
          <w:lang w:eastAsia="ru-RU"/>
        </w:rPr>
        <w:t>Метровагонмаш</w:t>
      </w:r>
      <w:proofErr w:type="spellEnd"/>
      <w:r w:rsidRPr="00A464FF">
        <w:rPr>
          <w:rFonts w:eastAsia="Times New Roman" w:cs="Times New Roman"/>
          <w:szCs w:val="28"/>
          <w:lang w:eastAsia="ru-RU"/>
        </w:rPr>
        <w:t xml:space="preserve">» комплекс нежитлових споруд. На підставі наказу Господарського суду Черкаської області від 07.04.2016 відкрито виконавче  провадження та зареєстровано за державою в особі Фонду право власності на </w:t>
      </w:r>
      <w:proofErr w:type="spellStart"/>
      <w:r w:rsidRPr="00A464FF">
        <w:rPr>
          <w:rFonts w:eastAsia="Times New Roman" w:cs="Times New Roman"/>
          <w:szCs w:val="28"/>
          <w:lang w:eastAsia="ru-RU"/>
        </w:rPr>
        <w:t>Шполянський</w:t>
      </w:r>
      <w:proofErr w:type="spellEnd"/>
      <w:r w:rsidRPr="00A464FF">
        <w:rPr>
          <w:rFonts w:eastAsia="Times New Roman" w:cs="Times New Roman"/>
          <w:szCs w:val="28"/>
          <w:lang w:eastAsia="ru-RU"/>
        </w:rPr>
        <w:t xml:space="preserve"> завод запасних частин. Згідно з відомостями Державного реєстру прав на нерухоме майно за державою в особі Фонду зареєстровано право власності на </w:t>
      </w:r>
      <w:proofErr w:type="spellStart"/>
      <w:r w:rsidRPr="00A464FF">
        <w:rPr>
          <w:rFonts w:eastAsia="Times New Roman" w:cs="Times New Roman"/>
          <w:szCs w:val="28"/>
          <w:lang w:eastAsia="ru-RU"/>
        </w:rPr>
        <w:t>Шполянський</w:t>
      </w:r>
      <w:proofErr w:type="spellEnd"/>
      <w:r w:rsidRPr="00A464FF">
        <w:rPr>
          <w:rFonts w:eastAsia="Times New Roman" w:cs="Times New Roman"/>
          <w:szCs w:val="28"/>
          <w:lang w:eastAsia="ru-RU"/>
        </w:rPr>
        <w:t xml:space="preserve"> завод запасних частин.</w:t>
      </w:r>
    </w:p>
    <w:p w:rsidR="00A464FF" w:rsidRPr="00A464FF" w:rsidRDefault="00A464FF" w:rsidP="00A464FF">
      <w:pPr>
        <w:widowControl/>
        <w:numPr>
          <w:ilvl w:val="0"/>
          <w:numId w:val="33"/>
        </w:numPr>
        <w:tabs>
          <w:tab w:val="num" w:pos="1080"/>
        </w:tabs>
        <w:ind w:left="0" w:firstLine="720"/>
        <w:jc w:val="both"/>
        <w:rPr>
          <w:rFonts w:eastAsia="Times New Roman" w:cs="Times New Roman"/>
          <w:szCs w:val="28"/>
          <w:lang w:eastAsia="ru-RU"/>
        </w:rPr>
      </w:pPr>
      <w:r w:rsidRPr="00A464FF">
        <w:rPr>
          <w:rFonts w:eastAsia="Times New Roman" w:cs="Times New Roman"/>
          <w:szCs w:val="28"/>
          <w:lang w:eastAsia="ru-RU"/>
        </w:rPr>
        <w:t>За позовом Фонду до ПАТ «</w:t>
      </w:r>
      <w:proofErr w:type="spellStart"/>
      <w:r w:rsidRPr="00A464FF">
        <w:rPr>
          <w:rFonts w:eastAsia="Times New Roman" w:cs="Times New Roman"/>
          <w:szCs w:val="28"/>
          <w:lang w:eastAsia="ru-RU"/>
        </w:rPr>
        <w:t>Ініціатор+</w:t>
      </w:r>
      <w:proofErr w:type="spellEnd"/>
      <w:r w:rsidRPr="00A464FF">
        <w:rPr>
          <w:rFonts w:eastAsia="Times New Roman" w:cs="Times New Roman"/>
          <w:szCs w:val="28"/>
          <w:lang w:eastAsia="ru-RU"/>
        </w:rPr>
        <w:t>» щодо розірвання договору купівлі-продажу та повернення пакета акцій ПАТ «</w:t>
      </w:r>
      <w:proofErr w:type="spellStart"/>
      <w:r w:rsidRPr="00A464FF">
        <w:rPr>
          <w:rFonts w:eastAsia="Times New Roman" w:cs="Times New Roman"/>
          <w:szCs w:val="28"/>
          <w:lang w:eastAsia="ru-RU"/>
        </w:rPr>
        <w:t>РІТМ</w:t>
      </w:r>
      <w:proofErr w:type="spellEnd"/>
      <w:r w:rsidRPr="00A464FF">
        <w:rPr>
          <w:rFonts w:eastAsia="Times New Roman" w:cs="Times New Roman"/>
          <w:szCs w:val="28"/>
          <w:lang w:eastAsia="ru-RU"/>
        </w:rPr>
        <w:t xml:space="preserve">» у власність держави. Рішенням Господарського суду м. Києва </w:t>
      </w:r>
      <w:r w:rsidRPr="00A464FF">
        <w:rPr>
          <w:rFonts w:eastAsia="Times New Roman" w:cs="Times New Roman"/>
          <w:bCs/>
          <w:szCs w:val="28"/>
          <w:lang w:eastAsia="ru-RU"/>
        </w:rPr>
        <w:t xml:space="preserve">від 10.09.2012 у справі № 5011-48/8433-2012 </w:t>
      </w:r>
      <w:r w:rsidRPr="00A464FF">
        <w:rPr>
          <w:rFonts w:eastAsia="Times New Roman" w:cs="Times New Roman"/>
          <w:szCs w:val="28"/>
          <w:lang w:eastAsia="ru-RU"/>
        </w:rPr>
        <w:t xml:space="preserve">позовні вимоги задоволено повністю – розірвано укладений між </w:t>
      </w:r>
      <w:r w:rsidRPr="00A464FF">
        <w:rPr>
          <w:rFonts w:eastAsia="Times New Roman" w:cs="Times New Roman"/>
          <w:szCs w:val="28"/>
          <w:lang w:eastAsia="ru-RU"/>
        </w:rPr>
        <w:lastRenderedPageBreak/>
        <w:t>Фондом та відповідачем договір купівлі-продажу пакета акцій ПАТ «</w:t>
      </w:r>
      <w:proofErr w:type="spellStart"/>
      <w:r w:rsidRPr="00A464FF">
        <w:rPr>
          <w:rFonts w:eastAsia="Times New Roman" w:cs="Times New Roman"/>
          <w:szCs w:val="28"/>
          <w:lang w:eastAsia="ru-RU"/>
        </w:rPr>
        <w:t>РІТМ</w:t>
      </w:r>
      <w:proofErr w:type="spellEnd"/>
      <w:r w:rsidRPr="00A464FF">
        <w:rPr>
          <w:rFonts w:eastAsia="Times New Roman" w:cs="Times New Roman"/>
          <w:szCs w:val="28"/>
          <w:lang w:eastAsia="ru-RU"/>
        </w:rPr>
        <w:t xml:space="preserve">», покупця зобов’язано повернути зазначений пакет акцій (51,199 % статутного капіталу) державі на рахунок Фонду у цінних паперах. Акції емітента </w:t>
      </w:r>
      <w:proofErr w:type="spellStart"/>
      <w:r w:rsidRPr="00A464FF">
        <w:rPr>
          <w:rFonts w:eastAsia="Times New Roman" w:cs="Times New Roman"/>
          <w:szCs w:val="28"/>
          <w:lang w:eastAsia="ru-RU"/>
        </w:rPr>
        <w:t>ПрАТ</w:t>
      </w:r>
      <w:proofErr w:type="spellEnd"/>
      <w:r w:rsidRPr="00A464FF">
        <w:rPr>
          <w:rFonts w:eastAsia="Times New Roman" w:cs="Times New Roman"/>
          <w:szCs w:val="28"/>
          <w:lang w:eastAsia="ru-RU"/>
        </w:rPr>
        <w:t xml:space="preserve"> «</w:t>
      </w:r>
      <w:proofErr w:type="spellStart"/>
      <w:r w:rsidRPr="00A464FF">
        <w:rPr>
          <w:rFonts w:eastAsia="Times New Roman" w:cs="Times New Roman"/>
          <w:szCs w:val="28"/>
          <w:lang w:eastAsia="ru-RU"/>
        </w:rPr>
        <w:t>РІТМ</w:t>
      </w:r>
      <w:proofErr w:type="spellEnd"/>
      <w:r w:rsidRPr="00A464FF">
        <w:rPr>
          <w:rFonts w:eastAsia="Times New Roman" w:cs="Times New Roman"/>
          <w:szCs w:val="28"/>
          <w:lang w:eastAsia="ru-RU"/>
        </w:rPr>
        <w:t>» було зараховано на рахунок у цінних паперах держави Україна.</w:t>
      </w:r>
    </w:p>
    <w:p w:rsidR="00A464FF" w:rsidRPr="00A464FF" w:rsidRDefault="00A464FF" w:rsidP="00A464FF">
      <w:pPr>
        <w:widowControl/>
        <w:numPr>
          <w:ilvl w:val="0"/>
          <w:numId w:val="33"/>
        </w:numPr>
        <w:tabs>
          <w:tab w:val="num" w:pos="1080"/>
        </w:tabs>
        <w:ind w:left="0" w:firstLine="720"/>
        <w:jc w:val="both"/>
        <w:rPr>
          <w:rFonts w:eastAsia="Times New Roman" w:cs="Times New Roman"/>
          <w:szCs w:val="28"/>
          <w:lang w:eastAsia="ru-RU"/>
        </w:rPr>
      </w:pPr>
      <w:r w:rsidRPr="00A464FF">
        <w:rPr>
          <w:rFonts w:eastAsia="Times New Roman" w:cs="Times New Roman"/>
          <w:szCs w:val="28"/>
          <w:lang w:eastAsia="ru-RU"/>
        </w:rPr>
        <w:t>За заявою компанії «</w:t>
      </w:r>
      <w:proofErr w:type="spellStart"/>
      <w:r w:rsidRPr="00A464FF">
        <w:rPr>
          <w:rFonts w:eastAsia="Times New Roman" w:cs="Times New Roman"/>
          <w:szCs w:val="28"/>
          <w:lang w:eastAsia="ru-RU"/>
        </w:rPr>
        <w:t>VELBAY</w:t>
      </w:r>
      <w:proofErr w:type="spellEnd"/>
      <w:r w:rsidRPr="00A464FF">
        <w:rPr>
          <w:rFonts w:eastAsia="Times New Roman" w:cs="Times New Roman"/>
          <w:szCs w:val="28"/>
          <w:lang w:eastAsia="ru-RU"/>
        </w:rPr>
        <w:t xml:space="preserve"> </w:t>
      </w:r>
      <w:proofErr w:type="spellStart"/>
      <w:r w:rsidRPr="00A464FF">
        <w:rPr>
          <w:rFonts w:eastAsia="Times New Roman" w:cs="Times New Roman"/>
          <w:szCs w:val="28"/>
          <w:lang w:eastAsia="ru-RU"/>
        </w:rPr>
        <w:t>HOLDINGS</w:t>
      </w:r>
      <w:proofErr w:type="spellEnd"/>
      <w:r w:rsidRPr="00A464FF">
        <w:rPr>
          <w:rFonts w:eastAsia="Times New Roman" w:cs="Times New Roman"/>
          <w:szCs w:val="28"/>
          <w:lang w:eastAsia="ru-RU"/>
        </w:rPr>
        <w:t xml:space="preserve"> </w:t>
      </w:r>
      <w:proofErr w:type="spellStart"/>
      <w:r w:rsidRPr="00A464FF">
        <w:rPr>
          <w:rFonts w:eastAsia="Times New Roman" w:cs="Times New Roman"/>
          <w:szCs w:val="28"/>
          <w:lang w:eastAsia="ru-RU"/>
        </w:rPr>
        <w:t>LIMITED</w:t>
      </w:r>
      <w:proofErr w:type="spellEnd"/>
      <w:r w:rsidRPr="00A464FF">
        <w:rPr>
          <w:rFonts w:eastAsia="Times New Roman" w:cs="Times New Roman"/>
          <w:szCs w:val="28"/>
          <w:lang w:eastAsia="ru-RU"/>
        </w:rPr>
        <w:t xml:space="preserve">» про перегляд за </w:t>
      </w:r>
      <w:proofErr w:type="spellStart"/>
      <w:r w:rsidRPr="00A464FF">
        <w:rPr>
          <w:rFonts w:eastAsia="Times New Roman" w:cs="Times New Roman"/>
          <w:szCs w:val="28"/>
          <w:lang w:eastAsia="ru-RU"/>
        </w:rPr>
        <w:t>нововиявленими</w:t>
      </w:r>
      <w:proofErr w:type="spellEnd"/>
      <w:r w:rsidRPr="00A464FF">
        <w:rPr>
          <w:rFonts w:eastAsia="Times New Roman" w:cs="Times New Roman"/>
          <w:szCs w:val="28"/>
          <w:lang w:eastAsia="ru-RU"/>
        </w:rPr>
        <w:t xml:space="preserve"> обставинами рішення Господарського суду міста Києва у справі за позовом заступника Генерального прокурора України в інтересах держави в особі Фонду до ЗАТ «</w:t>
      </w:r>
      <w:proofErr w:type="spellStart"/>
      <w:r w:rsidRPr="00A464FF">
        <w:rPr>
          <w:rFonts w:eastAsia="Times New Roman" w:cs="Times New Roman"/>
          <w:szCs w:val="28"/>
          <w:lang w:eastAsia="ru-RU"/>
        </w:rPr>
        <w:t>АвтоВАЗ-інвест</w:t>
      </w:r>
      <w:proofErr w:type="spellEnd"/>
      <w:r w:rsidRPr="00A464FF">
        <w:rPr>
          <w:rFonts w:eastAsia="Times New Roman" w:cs="Times New Roman"/>
          <w:szCs w:val="28"/>
          <w:lang w:eastAsia="ru-RU"/>
        </w:rPr>
        <w:t>», компанії «</w:t>
      </w:r>
      <w:proofErr w:type="spellStart"/>
      <w:r w:rsidRPr="00A464FF">
        <w:rPr>
          <w:rFonts w:eastAsia="Times New Roman" w:cs="Times New Roman"/>
          <w:szCs w:val="28"/>
          <w:lang w:eastAsia="ru-RU"/>
        </w:rPr>
        <w:t>VELBAY</w:t>
      </w:r>
      <w:proofErr w:type="spellEnd"/>
      <w:r w:rsidRPr="00A464FF">
        <w:rPr>
          <w:rFonts w:eastAsia="Times New Roman" w:cs="Times New Roman"/>
          <w:szCs w:val="28"/>
          <w:lang w:eastAsia="ru-RU"/>
        </w:rPr>
        <w:t xml:space="preserve"> </w:t>
      </w:r>
      <w:proofErr w:type="spellStart"/>
      <w:r w:rsidRPr="00A464FF">
        <w:rPr>
          <w:rFonts w:eastAsia="Times New Roman" w:cs="Times New Roman"/>
          <w:szCs w:val="28"/>
          <w:lang w:eastAsia="ru-RU"/>
        </w:rPr>
        <w:t>HOLDINGS</w:t>
      </w:r>
      <w:proofErr w:type="spellEnd"/>
      <w:r w:rsidRPr="00A464FF">
        <w:rPr>
          <w:rFonts w:eastAsia="Times New Roman" w:cs="Times New Roman"/>
          <w:szCs w:val="28"/>
          <w:lang w:eastAsia="ru-RU"/>
        </w:rPr>
        <w:t xml:space="preserve"> </w:t>
      </w:r>
      <w:proofErr w:type="spellStart"/>
      <w:r w:rsidRPr="00A464FF">
        <w:rPr>
          <w:rFonts w:eastAsia="Times New Roman" w:cs="Times New Roman"/>
          <w:szCs w:val="28"/>
          <w:lang w:eastAsia="ru-RU"/>
        </w:rPr>
        <w:t>LIMITED</w:t>
      </w:r>
      <w:proofErr w:type="spellEnd"/>
      <w:r w:rsidRPr="00A464FF">
        <w:rPr>
          <w:rFonts w:eastAsia="Times New Roman" w:cs="Times New Roman"/>
          <w:szCs w:val="28"/>
          <w:lang w:eastAsia="ru-RU"/>
        </w:rPr>
        <w:t xml:space="preserve">», </w:t>
      </w:r>
      <w:proofErr w:type="spellStart"/>
      <w:r w:rsidRPr="00A464FF">
        <w:rPr>
          <w:rFonts w:eastAsia="Times New Roman" w:cs="Times New Roman"/>
          <w:szCs w:val="28"/>
          <w:lang w:eastAsia="ru-RU"/>
        </w:rPr>
        <w:t>АКБ</w:t>
      </w:r>
      <w:proofErr w:type="spellEnd"/>
      <w:r w:rsidRPr="00A464FF">
        <w:rPr>
          <w:rFonts w:eastAsia="Times New Roman" w:cs="Times New Roman"/>
          <w:szCs w:val="28"/>
          <w:lang w:eastAsia="ru-RU"/>
        </w:rPr>
        <w:t xml:space="preserve"> соціального розвитку «Укрсоцбанк», АБ «</w:t>
      </w:r>
      <w:proofErr w:type="spellStart"/>
      <w:r w:rsidRPr="00A464FF">
        <w:rPr>
          <w:rFonts w:eastAsia="Times New Roman" w:cs="Times New Roman"/>
          <w:szCs w:val="28"/>
          <w:lang w:eastAsia="ru-RU"/>
        </w:rPr>
        <w:t>ІНГ</w:t>
      </w:r>
      <w:proofErr w:type="spellEnd"/>
      <w:r w:rsidRPr="00A464FF">
        <w:rPr>
          <w:rFonts w:eastAsia="Times New Roman" w:cs="Times New Roman"/>
          <w:szCs w:val="28"/>
          <w:lang w:eastAsia="ru-RU"/>
        </w:rPr>
        <w:t xml:space="preserve"> Банк Україна» про розірвання договорів купівлі-продажу пакетів акцій ВАТ «Запорізький виробничий алюмінієвий комбінат» та зобов’язання перерахувати відповідну кількість акцій на рахунок у цінних паперах Фонду. Ухвалою Господарського суду м. Києва від 17.08.2015 у справі № 48/448-13/364 відмовлено компанії «</w:t>
      </w:r>
      <w:proofErr w:type="spellStart"/>
      <w:r w:rsidRPr="00A464FF">
        <w:rPr>
          <w:rFonts w:eastAsia="Times New Roman" w:cs="Times New Roman"/>
          <w:szCs w:val="28"/>
          <w:lang w:eastAsia="ru-RU"/>
        </w:rPr>
        <w:t>VELBAY</w:t>
      </w:r>
      <w:proofErr w:type="spellEnd"/>
      <w:r w:rsidRPr="00A464FF">
        <w:rPr>
          <w:rFonts w:eastAsia="Times New Roman" w:cs="Times New Roman"/>
          <w:szCs w:val="28"/>
          <w:lang w:eastAsia="ru-RU"/>
        </w:rPr>
        <w:t xml:space="preserve"> </w:t>
      </w:r>
      <w:proofErr w:type="spellStart"/>
      <w:r w:rsidRPr="00A464FF">
        <w:rPr>
          <w:rFonts w:eastAsia="Times New Roman" w:cs="Times New Roman"/>
          <w:szCs w:val="28"/>
          <w:lang w:eastAsia="ru-RU"/>
        </w:rPr>
        <w:t>HOLDINGS</w:t>
      </w:r>
      <w:proofErr w:type="spellEnd"/>
      <w:r w:rsidRPr="00A464FF">
        <w:rPr>
          <w:rFonts w:eastAsia="Times New Roman" w:cs="Times New Roman"/>
          <w:szCs w:val="28"/>
          <w:lang w:eastAsia="ru-RU"/>
        </w:rPr>
        <w:t xml:space="preserve"> </w:t>
      </w:r>
      <w:proofErr w:type="spellStart"/>
      <w:r w:rsidRPr="00A464FF">
        <w:rPr>
          <w:rFonts w:eastAsia="Times New Roman" w:cs="Times New Roman"/>
          <w:szCs w:val="28"/>
          <w:lang w:eastAsia="ru-RU"/>
        </w:rPr>
        <w:t>LIMITED</w:t>
      </w:r>
      <w:proofErr w:type="spellEnd"/>
      <w:r w:rsidRPr="00A464FF">
        <w:rPr>
          <w:rFonts w:eastAsia="Times New Roman" w:cs="Times New Roman"/>
          <w:szCs w:val="28"/>
          <w:lang w:eastAsia="ru-RU"/>
        </w:rPr>
        <w:t xml:space="preserve">» у задоволенні заяви про перегляд рішення Господарського суду міста Києва від 22.03.2012 у справі № 48/448-13/364 за </w:t>
      </w:r>
      <w:proofErr w:type="spellStart"/>
      <w:r w:rsidRPr="00A464FF">
        <w:rPr>
          <w:rFonts w:eastAsia="Times New Roman" w:cs="Times New Roman"/>
          <w:szCs w:val="28"/>
          <w:lang w:eastAsia="ru-RU"/>
        </w:rPr>
        <w:t>нововиявленими</w:t>
      </w:r>
      <w:proofErr w:type="spellEnd"/>
      <w:r w:rsidRPr="00A464FF">
        <w:rPr>
          <w:rFonts w:eastAsia="Times New Roman" w:cs="Times New Roman"/>
          <w:szCs w:val="28"/>
          <w:lang w:eastAsia="ru-RU"/>
        </w:rPr>
        <w:t xml:space="preserve"> обставинами. Вказана ухвала залишена без змін постановою Київського апеляційного господарського суду від 19.07.2016 та постановою Вищого господарського суду України від 27.09.2016. Таким чином, суд підтвердив правомірність повернення пакета акцій ВАТ «</w:t>
      </w:r>
      <w:proofErr w:type="spellStart"/>
      <w:r w:rsidRPr="00A464FF">
        <w:rPr>
          <w:rFonts w:eastAsia="Times New Roman" w:cs="Times New Roman"/>
          <w:szCs w:val="28"/>
          <w:lang w:eastAsia="ru-RU"/>
        </w:rPr>
        <w:t>ЗАлК</w:t>
      </w:r>
      <w:proofErr w:type="spellEnd"/>
      <w:r w:rsidRPr="00A464FF">
        <w:rPr>
          <w:rFonts w:eastAsia="Times New Roman" w:cs="Times New Roman"/>
          <w:szCs w:val="28"/>
          <w:lang w:eastAsia="ru-RU"/>
        </w:rPr>
        <w:t>» у розмірі 68,01 % статутного капіталу товариства у державну власність.</w:t>
      </w:r>
    </w:p>
    <w:p w:rsidR="00A464FF" w:rsidRPr="00A464FF" w:rsidRDefault="00A464FF" w:rsidP="00A464FF">
      <w:pPr>
        <w:widowControl/>
        <w:numPr>
          <w:ilvl w:val="0"/>
          <w:numId w:val="33"/>
        </w:numPr>
        <w:tabs>
          <w:tab w:val="num" w:pos="1080"/>
        </w:tabs>
        <w:ind w:left="0" w:firstLine="720"/>
        <w:jc w:val="both"/>
        <w:rPr>
          <w:rFonts w:eastAsia="Times New Roman" w:cs="Times New Roman"/>
          <w:szCs w:val="28"/>
          <w:lang w:eastAsia="ru-RU"/>
        </w:rPr>
      </w:pPr>
      <w:r w:rsidRPr="00A464FF">
        <w:rPr>
          <w:rFonts w:eastAsia="Times New Roman" w:cs="Times New Roman"/>
          <w:szCs w:val="28"/>
          <w:lang w:eastAsia="ru-RU"/>
        </w:rPr>
        <w:t>За позовом Фонду до ПАТ «</w:t>
      </w:r>
      <w:proofErr w:type="spellStart"/>
      <w:r w:rsidRPr="00A464FF">
        <w:rPr>
          <w:rFonts w:eastAsia="Times New Roman" w:cs="Times New Roman"/>
          <w:szCs w:val="28"/>
          <w:lang w:eastAsia="ru-RU"/>
        </w:rPr>
        <w:t>Укргеолбудм</w:t>
      </w:r>
      <w:proofErr w:type="spellEnd"/>
      <w:r w:rsidRPr="00A464FF">
        <w:rPr>
          <w:rFonts w:eastAsia="Times New Roman" w:cs="Times New Roman"/>
          <w:szCs w:val="28"/>
          <w:lang w:eastAsia="ru-RU"/>
        </w:rPr>
        <w:t>» щодо стягнення орендної плати та неустойки. Рішенням Господарського суду міста Києва від 28.04.2016 у справі № 910/6760/16 позовні вимоги задоволено повністю – стягнено 652,342</w:t>
      </w:r>
      <w:r w:rsidR="00C67F11">
        <w:rPr>
          <w:rFonts w:eastAsia="Times New Roman" w:cs="Times New Roman"/>
          <w:szCs w:val="28"/>
          <w:lang w:eastAsia="ru-RU"/>
        </w:rPr>
        <w:t> </w:t>
      </w:r>
      <w:r w:rsidRPr="00A464FF">
        <w:rPr>
          <w:rFonts w:eastAsia="Times New Roman" w:cs="Times New Roman"/>
          <w:szCs w:val="28"/>
          <w:lang w:eastAsia="ru-RU"/>
        </w:rPr>
        <w:t xml:space="preserve">тис. </w:t>
      </w:r>
      <w:proofErr w:type="spellStart"/>
      <w:r w:rsidRPr="00A464FF">
        <w:rPr>
          <w:rFonts w:eastAsia="Times New Roman" w:cs="Times New Roman"/>
          <w:szCs w:val="28"/>
          <w:lang w:eastAsia="ru-RU"/>
        </w:rPr>
        <w:t>грн</w:t>
      </w:r>
      <w:proofErr w:type="spellEnd"/>
      <w:r w:rsidRPr="00A464FF">
        <w:rPr>
          <w:rFonts w:eastAsia="Times New Roman" w:cs="Times New Roman"/>
          <w:szCs w:val="28"/>
          <w:lang w:eastAsia="ru-RU"/>
        </w:rPr>
        <w:t xml:space="preserve"> заборгованості з орендної плати, пені та неустойки за користування об’єктом оренди. Фондом подано органам державної виконавчої служби заяву про відкриття виконавчого провадження. Наразі постанова про відкриття виконавчого провадження до Фонду не надходила. </w:t>
      </w:r>
    </w:p>
    <w:p w:rsidR="00A464FF" w:rsidRPr="00A464FF" w:rsidRDefault="00A464FF" w:rsidP="00A464FF">
      <w:pPr>
        <w:widowControl/>
        <w:numPr>
          <w:ilvl w:val="0"/>
          <w:numId w:val="33"/>
        </w:numPr>
        <w:tabs>
          <w:tab w:val="num" w:pos="1080"/>
        </w:tabs>
        <w:ind w:left="0" w:firstLine="720"/>
        <w:jc w:val="both"/>
        <w:rPr>
          <w:rFonts w:eastAsia="Times New Roman" w:cs="Times New Roman"/>
          <w:szCs w:val="28"/>
          <w:lang w:eastAsia="ru-RU"/>
        </w:rPr>
      </w:pPr>
      <w:r w:rsidRPr="00A464FF">
        <w:rPr>
          <w:rFonts w:eastAsia="Times New Roman" w:cs="Times New Roman"/>
          <w:szCs w:val="28"/>
          <w:lang w:eastAsia="ru-RU"/>
        </w:rPr>
        <w:t xml:space="preserve">За позовом Фонду до ПАТ «Авіакомпанія «Міжнародні авіалінії України» щодо стягнення неустойки в розмірі 944 094,72 </w:t>
      </w:r>
      <w:proofErr w:type="spellStart"/>
      <w:r w:rsidRPr="00A464FF">
        <w:rPr>
          <w:rFonts w:eastAsia="Times New Roman" w:cs="Times New Roman"/>
          <w:szCs w:val="28"/>
          <w:lang w:eastAsia="ru-RU"/>
        </w:rPr>
        <w:t>грн</w:t>
      </w:r>
      <w:proofErr w:type="spellEnd"/>
      <w:r w:rsidRPr="00A464FF">
        <w:rPr>
          <w:rFonts w:eastAsia="Times New Roman" w:cs="Times New Roman"/>
          <w:szCs w:val="28"/>
          <w:lang w:eastAsia="ru-RU"/>
        </w:rPr>
        <w:t xml:space="preserve"> за період з 01.03.2015 по 21.10.2015. Постановою Київського апеляційного господарського суду від 19.09.2016 у справі № 910/30224/16 позовні вимоги задоволено частково – з відповідача стягнено неустойку в розмірі 549 655,16 </w:t>
      </w:r>
      <w:proofErr w:type="spellStart"/>
      <w:r w:rsidRPr="00A464FF">
        <w:rPr>
          <w:rFonts w:eastAsia="Times New Roman" w:cs="Times New Roman"/>
          <w:szCs w:val="28"/>
          <w:lang w:eastAsia="ru-RU"/>
        </w:rPr>
        <w:t>грн</w:t>
      </w:r>
      <w:proofErr w:type="spellEnd"/>
      <w:r w:rsidRPr="00A464FF">
        <w:rPr>
          <w:rFonts w:eastAsia="Times New Roman" w:cs="Times New Roman"/>
          <w:szCs w:val="28"/>
          <w:lang w:eastAsia="ru-RU"/>
        </w:rPr>
        <w:t xml:space="preserve"> за вказаний період. Постановою Вищого господарського суду України касаційні скарги Фонду та ПАТ «Авіакомпанія «Міжнародні авіалінії України» залишено без задоволення, постанову Київського апеляційного господарського суду – без змін.</w:t>
      </w:r>
    </w:p>
    <w:p w:rsidR="00A464FF" w:rsidRPr="00A464FF" w:rsidRDefault="00A464FF" w:rsidP="00A464FF">
      <w:pPr>
        <w:widowControl/>
        <w:numPr>
          <w:ilvl w:val="0"/>
          <w:numId w:val="33"/>
        </w:numPr>
        <w:tabs>
          <w:tab w:val="num" w:pos="1080"/>
        </w:tabs>
        <w:ind w:left="0" w:firstLine="720"/>
        <w:jc w:val="both"/>
        <w:rPr>
          <w:rFonts w:eastAsia="Times New Roman" w:cs="Times New Roman"/>
          <w:szCs w:val="28"/>
          <w:lang w:eastAsia="ru-RU"/>
        </w:rPr>
      </w:pPr>
      <w:r w:rsidRPr="00A464FF">
        <w:rPr>
          <w:rFonts w:eastAsia="Times New Roman" w:cs="Times New Roman"/>
          <w:szCs w:val="28"/>
          <w:lang w:eastAsia="ru-RU"/>
        </w:rPr>
        <w:t xml:space="preserve">За позовом Фонду до </w:t>
      </w:r>
      <w:proofErr w:type="spellStart"/>
      <w:r w:rsidRPr="00A464FF">
        <w:rPr>
          <w:rFonts w:eastAsia="Times New Roman" w:cs="Times New Roman"/>
          <w:szCs w:val="28"/>
          <w:lang w:eastAsia="ru-RU"/>
        </w:rPr>
        <w:t>ПрАТ</w:t>
      </w:r>
      <w:proofErr w:type="spellEnd"/>
      <w:r w:rsidRPr="00A464FF">
        <w:rPr>
          <w:rFonts w:eastAsia="Times New Roman" w:cs="Times New Roman"/>
          <w:szCs w:val="28"/>
          <w:lang w:eastAsia="ru-RU"/>
        </w:rPr>
        <w:t xml:space="preserve"> «Ділові партнери» про розірвання договору купівлі-продажу пакета акцій ВАТ «Чисті метали» та зобов’язання перерахувати відповідну кількість акцій на рахунок у цінних паперах Фонду. Рішенням Господарського суду м. Києва </w:t>
      </w:r>
      <w:r w:rsidRPr="00A464FF">
        <w:rPr>
          <w:rFonts w:eastAsia="Times New Roman" w:cs="Times New Roman"/>
          <w:bCs/>
          <w:szCs w:val="28"/>
          <w:lang w:eastAsia="ru-RU"/>
        </w:rPr>
        <w:t xml:space="preserve">від 05.10.2016 у справі № 910/32396/15, яке залишено без змін постановою Київського апеляційного господарського суду від 14.11.2016 та постановою Вищого господарського суду України від </w:t>
      </w:r>
      <w:r w:rsidRPr="00A464FF">
        <w:rPr>
          <w:rFonts w:eastAsia="Times New Roman" w:cs="Times New Roman"/>
          <w:szCs w:val="28"/>
          <w:lang w:eastAsia="ru-RU"/>
        </w:rPr>
        <w:t xml:space="preserve">08.02.2017, позовні вимоги Фонду задоволено. </w:t>
      </w:r>
    </w:p>
    <w:p w:rsidR="00A464FF" w:rsidRPr="00A464FF" w:rsidRDefault="00A464FF" w:rsidP="00A464FF">
      <w:pPr>
        <w:widowControl/>
        <w:contextualSpacing/>
        <w:jc w:val="both"/>
        <w:rPr>
          <w:rFonts w:eastAsia="Calibri" w:cs="Times New Roman"/>
          <w:szCs w:val="28"/>
        </w:rPr>
      </w:pPr>
      <w:r w:rsidRPr="00B2765A">
        <w:rPr>
          <w:rFonts w:eastAsia="Calibri" w:cs="Times New Roman"/>
          <w:szCs w:val="28"/>
        </w:rPr>
        <w:t xml:space="preserve">Крім того, Фондом проводиться робота щодо стягнення заборгованості зі сплати дивідендів. Так, у звітному періоді у справі </w:t>
      </w:r>
      <w:r w:rsidRPr="00B2765A">
        <w:rPr>
          <w:rFonts w:eastAsia="Calibri" w:cs="Times New Roman"/>
          <w:szCs w:val="28"/>
          <w:lang w:val="ru-RU"/>
        </w:rPr>
        <w:t>№ </w:t>
      </w:r>
      <w:r w:rsidRPr="00B2765A">
        <w:rPr>
          <w:lang w:val="ru-RU"/>
        </w:rPr>
        <w:t>905/3526/15</w:t>
      </w:r>
      <w:r w:rsidRPr="00B2765A">
        <w:rPr>
          <w:rFonts w:eastAsia="Calibri" w:cs="Times New Roman"/>
          <w:szCs w:val="28"/>
        </w:rPr>
        <w:t xml:space="preserve"> за позовом </w:t>
      </w:r>
      <w:r w:rsidRPr="00B2765A">
        <w:rPr>
          <w:rFonts w:eastAsia="Calibri" w:cs="Times New Roman"/>
          <w:szCs w:val="28"/>
        </w:rPr>
        <w:lastRenderedPageBreak/>
        <w:t>Фонду до ПАТ «</w:t>
      </w:r>
      <w:proofErr w:type="spellStart"/>
      <w:r w:rsidRPr="00B2765A">
        <w:rPr>
          <w:rFonts w:eastAsia="Calibri" w:cs="Times New Roman"/>
          <w:szCs w:val="28"/>
        </w:rPr>
        <w:t>Азовмаш</w:t>
      </w:r>
      <w:proofErr w:type="spellEnd"/>
      <w:r w:rsidRPr="00B2765A">
        <w:rPr>
          <w:rFonts w:eastAsia="Calibri" w:cs="Times New Roman"/>
          <w:szCs w:val="28"/>
        </w:rPr>
        <w:t xml:space="preserve">» про стягнення пені за несвоєчасно виплачені дивіденди, рішенням Господарського суду Донецької області від 26.04.2016, залишеним без змін постановою Вищого господарського суду України від 08.11.2016, позовні вимоги задоволено судом у повному обсязі та стягнено на користь держави 114,11 тис. </w:t>
      </w:r>
      <w:proofErr w:type="spellStart"/>
      <w:r w:rsidRPr="00B2765A">
        <w:rPr>
          <w:rFonts w:eastAsia="Calibri" w:cs="Times New Roman"/>
          <w:szCs w:val="28"/>
        </w:rPr>
        <w:t>грн</w:t>
      </w:r>
      <w:proofErr w:type="spellEnd"/>
      <w:r w:rsidRPr="00B2765A">
        <w:rPr>
          <w:rFonts w:eastAsia="Calibri" w:cs="Times New Roman"/>
          <w:szCs w:val="28"/>
        </w:rPr>
        <w:t xml:space="preserve"> пені.</w:t>
      </w:r>
      <w:r w:rsidRPr="00A464FF">
        <w:rPr>
          <w:rFonts w:eastAsia="Calibri" w:cs="Times New Roman"/>
          <w:szCs w:val="28"/>
        </w:rPr>
        <w:t xml:space="preserve"> </w:t>
      </w:r>
    </w:p>
    <w:p w:rsidR="00A464FF" w:rsidRPr="00A464FF" w:rsidRDefault="00A464FF" w:rsidP="00A464FF">
      <w:pPr>
        <w:jc w:val="both"/>
        <w:rPr>
          <w:rFonts w:eastAsia="Times New Roman" w:cs="Times New Roman"/>
          <w:szCs w:val="28"/>
          <w:lang w:eastAsia="ru-RU"/>
        </w:rPr>
      </w:pPr>
      <w:r w:rsidRPr="00A464FF">
        <w:rPr>
          <w:rFonts w:eastAsia="Times New Roman" w:cs="Times New Roman"/>
          <w:szCs w:val="28"/>
          <w:lang w:eastAsia="ru-RU"/>
        </w:rPr>
        <w:t xml:space="preserve">Загалом протягом 2016 року у справах за участю Фонду та його регіональних відділень прийнято 927 судових рішень, </w:t>
      </w:r>
      <w:r w:rsidRPr="00A464FF">
        <w:rPr>
          <w:rFonts w:eastAsia="Times New Roman" w:cs="Times New Roman"/>
          <w:b/>
          <w:szCs w:val="28"/>
          <w:lang w:eastAsia="ru-RU"/>
        </w:rPr>
        <w:t>795</w:t>
      </w:r>
      <w:r w:rsidRPr="00A464FF">
        <w:rPr>
          <w:rFonts w:eastAsia="Times New Roman" w:cs="Times New Roman"/>
          <w:szCs w:val="28"/>
          <w:lang w:eastAsia="ru-RU"/>
        </w:rPr>
        <w:t xml:space="preserve"> з яких прийнято на користь держави. Зокрема, протягом звітного періоду прийнято </w:t>
      </w:r>
      <w:r w:rsidRPr="00A464FF">
        <w:rPr>
          <w:rFonts w:eastAsia="Times New Roman" w:cs="Times New Roman"/>
          <w:b/>
          <w:szCs w:val="28"/>
          <w:lang w:eastAsia="ru-RU"/>
        </w:rPr>
        <w:t>66</w:t>
      </w:r>
      <w:r w:rsidRPr="00A464FF">
        <w:rPr>
          <w:rFonts w:eastAsia="Times New Roman" w:cs="Times New Roman"/>
          <w:szCs w:val="28"/>
          <w:lang w:eastAsia="ru-RU"/>
        </w:rPr>
        <w:t xml:space="preserve"> судових рішень, відповідно до яких визнано право власності за державою в особі Фонду та його регіональних відділень.</w:t>
      </w:r>
    </w:p>
    <w:p w:rsidR="00A464FF" w:rsidRPr="00A464FF" w:rsidRDefault="00A464FF" w:rsidP="00A464FF">
      <w:pPr>
        <w:jc w:val="both"/>
        <w:rPr>
          <w:rFonts w:eastAsia="Times New Roman" w:cs="Times New Roman"/>
          <w:sz w:val="16"/>
          <w:szCs w:val="16"/>
          <w:lang w:eastAsia="ru-RU"/>
        </w:rPr>
      </w:pPr>
    </w:p>
    <w:p w:rsidR="00A464FF" w:rsidRPr="00A464FF" w:rsidRDefault="00A464FF" w:rsidP="00A464FF">
      <w:pPr>
        <w:jc w:val="both"/>
        <w:rPr>
          <w:rFonts w:eastAsia="Times New Roman" w:cs="Times New Roman"/>
          <w:szCs w:val="28"/>
          <w:lang w:eastAsia="ru-RU"/>
        </w:rPr>
      </w:pPr>
      <w:r w:rsidRPr="00A464FF">
        <w:rPr>
          <w:rFonts w:eastAsia="Times New Roman" w:cs="Times New Roman"/>
          <w:szCs w:val="28"/>
          <w:lang w:eastAsia="ru-RU"/>
        </w:rPr>
        <w:t>З метою поширення позитивного досвіду та недопущення помилок у правовій діяльності органів приватизації Юридичний департамент Фонду доводить до відома структурних підрозділів та регіональних відділень Фонду відповідну інформацію (у тому числі з надання правової допомоги) шляхом проведення нарад, надсилання інформаційних листів, роз’яснень.</w:t>
      </w:r>
    </w:p>
    <w:p w:rsidR="00A464FF" w:rsidRPr="00A464FF" w:rsidRDefault="00A464FF" w:rsidP="00A464FF">
      <w:pPr>
        <w:jc w:val="both"/>
        <w:rPr>
          <w:rFonts w:eastAsia="Times New Roman" w:cs="Times New Roman"/>
          <w:szCs w:val="28"/>
          <w:lang w:eastAsia="ru-RU"/>
        </w:rPr>
      </w:pPr>
      <w:r w:rsidRPr="00A464FF">
        <w:rPr>
          <w:rFonts w:eastAsia="Times New Roman" w:cs="Times New Roman"/>
          <w:szCs w:val="28"/>
          <w:lang w:eastAsia="ru-RU"/>
        </w:rPr>
        <w:t xml:space="preserve">Крім того, Юридичним департаментом Фонду організовуються і проводяться наради та </w:t>
      </w:r>
      <w:proofErr w:type="spellStart"/>
      <w:r w:rsidRPr="00A464FF">
        <w:rPr>
          <w:rFonts w:eastAsia="Times New Roman" w:cs="Times New Roman"/>
          <w:szCs w:val="28"/>
          <w:lang w:eastAsia="ru-RU"/>
        </w:rPr>
        <w:t>відеоконференції</w:t>
      </w:r>
      <w:proofErr w:type="spellEnd"/>
      <w:r w:rsidRPr="00A464FF">
        <w:rPr>
          <w:rFonts w:eastAsia="Times New Roman" w:cs="Times New Roman"/>
          <w:szCs w:val="28"/>
          <w:lang w:eastAsia="ru-RU"/>
        </w:rPr>
        <w:t xml:space="preserve"> з керівниками юридичних служб регіональних відділень з питань їх діяльності та стану претензійно-позовної роботи. Так, у 2016 році проведено 4 </w:t>
      </w:r>
      <w:proofErr w:type="spellStart"/>
      <w:r w:rsidRPr="00A464FF">
        <w:rPr>
          <w:rFonts w:eastAsia="Times New Roman" w:cs="Times New Roman"/>
          <w:szCs w:val="28"/>
          <w:lang w:eastAsia="ru-RU"/>
        </w:rPr>
        <w:t>відеоконференції</w:t>
      </w:r>
      <w:proofErr w:type="spellEnd"/>
      <w:r w:rsidRPr="00A464FF">
        <w:rPr>
          <w:rFonts w:eastAsia="Times New Roman" w:cs="Times New Roman"/>
          <w:szCs w:val="28"/>
          <w:lang w:eastAsia="ru-RU"/>
        </w:rPr>
        <w:t xml:space="preserve"> з керівниками юридичних служб регіональних відділень Фонду з питань, які стосуються роботи юридичних служб.</w:t>
      </w:r>
    </w:p>
    <w:p w:rsidR="00EA034B" w:rsidRPr="00242020" w:rsidRDefault="00EA034B" w:rsidP="00EA034B">
      <w:pPr>
        <w:widowControl/>
        <w:ind w:firstLine="0"/>
        <w:rPr>
          <w:rFonts w:eastAsia="Times New Roman" w:cs="Times New Roman"/>
          <w:sz w:val="24"/>
          <w:szCs w:val="24"/>
          <w:lang w:eastAsia="ru-RU"/>
        </w:rPr>
      </w:pPr>
    </w:p>
    <w:p w:rsidR="00D226C3" w:rsidRPr="00242020" w:rsidRDefault="00D226C3"/>
    <w:p w:rsidR="00805AB4" w:rsidRPr="00242020" w:rsidRDefault="00805AB4">
      <w:pPr>
        <w:sectPr w:rsidR="00805AB4" w:rsidRPr="00242020" w:rsidSect="00BE4231">
          <w:pgSz w:w="11906" w:h="16838"/>
          <w:pgMar w:top="1134" w:right="851" w:bottom="1134" w:left="1418" w:header="709" w:footer="709" w:gutter="0"/>
          <w:cols w:space="708"/>
          <w:docGrid w:linePitch="381"/>
        </w:sectPr>
      </w:pPr>
    </w:p>
    <w:p w:rsidR="00E427AD" w:rsidRPr="00242020" w:rsidRDefault="00E427AD" w:rsidP="00E427AD">
      <w:pPr>
        <w:pStyle w:val="1"/>
      </w:pPr>
      <w:r w:rsidRPr="00242020">
        <w:lastRenderedPageBreak/>
        <w:t>7. Законодавче забезпечення процесів приватизації та управління державною власністю</w:t>
      </w:r>
    </w:p>
    <w:p w:rsidR="004252F1" w:rsidRPr="00242020" w:rsidRDefault="004252F1" w:rsidP="004252F1">
      <w:pPr>
        <w:ind w:firstLine="720"/>
        <w:jc w:val="both"/>
        <w:rPr>
          <w:sz w:val="12"/>
          <w:szCs w:val="12"/>
        </w:rPr>
      </w:pPr>
    </w:p>
    <w:p w:rsidR="00A51F75" w:rsidRPr="00242020" w:rsidRDefault="00A51F75" w:rsidP="00A51F75">
      <w:pPr>
        <w:jc w:val="both"/>
        <w:rPr>
          <w:rFonts w:eastAsia="Times New Roman" w:cs="Times New Roman"/>
          <w:szCs w:val="28"/>
          <w:lang w:eastAsia="ru-RU"/>
        </w:rPr>
      </w:pPr>
      <w:r w:rsidRPr="00242020">
        <w:rPr>
          <w:rFonts w:eastAsia="Times New Roman" w:cs="Times New Roman"/>
          <w:szCs w:val="28"/>
          <w:lang w:eastAsia="ru-RU"/>
        </w:rPr>
        <w:t>Фонд постійно працює над удосконаленням законодавства України з метою подальшого розвитку процесу реформування відносин власності та управління об’єктами державної власності.</w:t>
      </w:r>
    </w:p>
    <w:p w:rsidR="00A51F75" w:rsidRPr="00242020" w:rsidRDefault="00A51F75" w:rsidP="002A1029">
      <w:pPr>
        <w:jc w:val="both"/>
        <w:rPr>
          <w:rFonts w:eastAsia="Times New Roman" w:cs="Times New Roman"/>
          <w:szCs w:val="28"/>
          <w:lang w:eastAsia="ru-RU"/>
        </w:rPr>
      </w:pPr>
      <w:r w:rsidRPr="00242020">
        <w:rPr>
          <w:rFonts w:eastAsia="Times New Roman" w:cs="Times New Roman"/>
          <w:szCs w:val="28"/>
          <w:lang w:eastAsia="ru-RU"/>
        </w:rPr>
        <w:t>Системна та комплексна робота з удосконалення законодавства спрямована на приведення його норм у відповідність з вимогами часу, пріоритетами та стратегією держави щодо розпорядження, управління та роздержавлення майна.</w:t>
      </w:r>
    </w:p>
    <w:p w:rsidR="00A51F75" w:rsidRPr="00242020" w:rsidRDefault="00A51F75" w:rsidP="002A1029">
      <w:pPr>
        <w:jc w:val="both"/>
        <w:rPr>
          <w:rFonts w:eastAsia="Times New Roman" w:cs="Times New Roman"/>
          <w:szCs w:val="28"/>
          <w:lang w:eastAsia="ru-RU"/>
        </w:rPr>
      </w:pPr>
      <w:r w:rsidRPr="00242020">
        <w:rPr>
          <w:rFonts w:eastAsia="Times New Roman" w:cs="Times New Roman"/>
          <w:szCs w:val="28"/>
          <w:lang w:eastAsia="ru-RU"/>
        </w:rPr>
        <w:t xml:space="preserve">Так, Верховною Радою України 16.02.2016 прийнято розроблений Фондом </w:t>
      </w:r>
      <w:r w:rsidRPr="00242020">
        <w:rPr>
          <w:rFonts w:eastAsia="Times New Roman" w:cs="Times New Roman"/>
          <w:b/>
          <w:szCs w:val="28"/>
          <w:lang w:eastAsia="ru-RU"/>
        </w:rPr>
        <w:t>Закон України «Про внесення змін до деяких законів України щодо вдосконалення процесу приватизації»</w:t>
      </w:r>
      <w:r w:rsidRPr="00242020">
        <w:rPr>
          <w:rFonts w:eastAsia="Times New Roman" w:cs="Times New Roman"/>
          <w:szCs w:val="28"/>
          <w:lang w:eastAsia="ru-RU"/>
        </w:rPr>
        <w:t xml:space="preserve"> за № 1005-VIII.</w:t>
      </w:r>
    </w:p>
    <w:p w:rsidR="00A51F75" w:rsidRPr="00242020" w:rsidRDefault="00A51F75" w:rsidP="002A1029">
      <w:pPr>
        <w:jc w:val="both"/>
        <w:rPr>
          <w:rFonts w:eastAsia="Times New Roman" w:cs="Times New Roman"/>
          <w:szCs w:val="28"/>
          <w:lang w:eastAsia="ru-RU"/>
        </w:rPr>
      </w:pPr>
      <w:r w:rsidRPr="00242020">
        <w:rPr>
          <w:rFonts w:eastAsia="Times New Roman" w:cs="Times New Roman"/>
          <w:szCs w:val="28"/>
          <w:lang w:eastAsia="ru-RU"/>
        </w:rPr>
        <w:t>Законом</w:t>
      </w:r>
      <w:r w:rsidRPr="00242020">
        <w:rPr>
          <w:rFonts w:eastAsia="Times New Roman" w:cs="Times New Roman"/>
          <w:bCs/>
          <w:szCs w:val="28"/>
          <w:lang w:eastAsia="ru-RU"/>
        </w:rPr>
        <w:t xml:space="preserve"> створено умови для розвитку конкурентних та прозорих правил та процедур приватизації, зокрема</w:t>
      </w:r>
      <w:r w:rsidRPr="00242020">
        <w:rPr>
          <w:rFonts w:eastAsia="Times New Roman" w:cs="Times New Roman"/>
          <w:szCs w:val="28"/>
          <w:lang w:eastAsia="ru-RU"/>
        </w:rPr>
        <w:t xml:space="preserve"> скасовано норму про обов’язковий продаж на фондових біржах пакетів акцій у розмірі 5-10 % статутного капіталу АТ до проведення конкурсу. Відповідно до закону до приватизації не допускаються покупці з країни-агресора, юридичні та фізичні особи разом з пов’язаними особами, до яких застосовано санкції, та сама країна-агресор. Законом визначено чіткі критерії відбору радників та їх основні завдання, знято обмеження на участь у приватизації іноземних компаній з іноземним державним капіталом. Законом передбачено можливість вирішення приватизаційних спорів у відповідності з Регламентом Арбітражного інституту Торгової палати м.</w:t>
      </w:r>
      <w:r w:rsidR="00EA7D3A">
        <w:rPr>
          <w:rFonts w:eastAsia="Times New Roman" w:cs="Times New Roman"/>
          <w:szCs w:val="28"/>
          <w:lang w:eastAsia="ru-RU"/>
        </w:rPr>
        <w:t> </w:t>
      </w:r>
      <w:r w:rsidRPr="00242020">
        <w:rPr>
          <w:rFonts w:eastAsia="Times New Roman" w:cs="Times New Roman"/>
          <w:szCs w:val="28"/>
          <w:lang w:eastAsia="ru-RU"/>
        </w:rPr>
        <w:t>Стокгольма.</w:t>
      </w:r>
    </w:p>
    <w:p w:rsidR="005977B1" w:rsidRDefault="005977B1" w:rsidP="002A1029">
      <w:pPr>
        <w:shd w:val="clear" w:color="auto" w:fill="FFFFFF"/>
        <w:jc w:val="both"/>
        <w:rPr>
          <w:rFonts w:eastAsia="Calibri" w:cs="Times New Roman"/>
          <w:szCs w:val="28"/>
        </w:rPr>
      </w:pPr>
      <w:r w:rsidRPr="002E6F78">
        <w:rPr>
          <w:rFonts w:eastAsia="Calibri" w:cs="Times New Roman"/>
          <w:szCs w:val="28"/>
        </w:rPr>
        <w:t>Для в</w:t>
      </w:r>
      <w:r w:rsidR="00EA7D3A">
        <w:rPr>
          <w:rFonts w:eastAsia="Calibri" w:cs="Times New Roman"/>
          <w:szCs w:val="28"/>
        </w:rPr>
        <w:t>изнач</w:t>
      </w:r>
      <w:r w:rsidRPr="002E6F78">
        <w:rPr>
          <w:rFonts w:eastAsia="Calibri" w:cs="Times New Roman"/>
          <w:szCs w:val="28"/>
        </w:rPr>
        <w:t xml:space="preserve">ення концептуальних підходів та </w:t>
      </w:r>
      <w:r w:rsidR="00EA7D3A">
        <w:rPr>
          <w:rFonts w:eastAsia="Calibri" w:cs="Times New Roman"/>
          <w:szCs w:val="28"/>
        </w:rPr>
        <w:t>підготовки</w:t>
      </w:r>
      <w:r w:rsidRPr="002E6F78">
        <w:rPr>
          <w:rFonts w:eastAsia="Calibri" w:cs="Times New Roman"/>
          <w:szCs w:val="28"/>
        </w:rPr>
        <w:t xml:space="preserve"> практичних рекомендацій щодо удосконалення законодавства з питань приватизації у Фонді наказом</w:t>
      </w:r>
      <w:r w:rsidR="007A3F84">
        <w:rPr>
          <w:szCs w:val="28"/>
        </w:rPr>
        <w:t xml:space="preserve"> </w:t>
      </w:r>
      <w:r w:rsidRPr="002E6F78">
        <w:rPr>
          <w:rFonts w:eastAsia="Calibri" w:cs="Times New Roman"/>
          <w:szCs w:val="28"/>
        </w:rPr>
        <w:t>від 29.04.2016 №</w:t>
      </w:r>
      <w:r w:rsidR="007A3F84">
        <w:rPr>
          <w:szCs w:val="28"/>
        </w:rPr>
        <w:t> </w:t>
      </w:r>
      <w:r w:rsidRPr="002E6F78">
        <w:rPr>
          <w:rFonts w:eastAsia="Calibri" w:cs="Times New Roman"/>
          <w:szCs w:val="28"/>
        </w:rPr>
        <w:t>923 (зі змінами) було створено робочу групу за участю міжнародних експертів, якою підготовлено нову редакцію Закону України «Про приватизацію державного майна» шляхом об’єднання інших законів, що регулюють питання приватизації, в один законодавчий акт.</w:t>
      </w:r>
    </w:p>
    <w:p w:rsidR="005977B1" w:rsidRPr="00B944FF" w:rsidRDefault="005977B1" w:rsidP="002A1029">
      <w:pPr>
        <w:shd w:val="clear" w:color="auto" w:fill="FFFFFF"/>
        <w:jc w:val="both"/>
        <w:rPr>
          <w:rFonts w:eastAsia="Calibri" w:cs="Times New Roman"/>
          <w:szCs w:val="28"/>
        </w:rPr>
      </w:pPr>
      <w:r w:rsidRPr="00B944FF">
        <w:rPr>
          <w:rFonts w:eastAsia="Calibri" w:cs="Times New Roman"/>
          <w:szCs w:val="28"/>
        </w:rPr>
        <w:t xml:space="preserve">Проект Закону України </w:t>
      </w:r>
      <w:r w:rsidRPr="00475A4B">
        <w:rPr>
          <w:rFonts w:eastAsia="Calibri" w:cs="Times New Roman"/>
          <w:b/>
          <w:szCs w:val="28"/>
        </w:rPr>
        <w:t>«Про внесення змін до деяких законодавчих актів України (щодо спрощення процесу приватизації)»</w:t>
      </w:r>
      <w:r w:rsidRPr="00B944FF">
        <w:rPr>
          <w:rFonts w:eastAsia="Calibri" w:cs="Times New Roman"/>
          <w:szCs w:val="28"/>
        </w:rPr>
        <w:t xml:space="preserve"> (далі – проект </w:t>
      </w:r>
      <w:r w:rsidR="00EA7D3A" w:rsidRPr="00B944FF">
        <w:rPr>
          <w:rFonts w:eastAsia="Calibri" w:cs="Times New Roman"/>
          <w:szCs w:val="28"/>
        </w:rPr>
        <w:t>з</w:t>
      </w:r>
      <w:r w:rsidRPr="00B944FF">
        <w:rPr>
          <w:rFonts w:eastAsia="Calibri" w:cs="Times New Roman"/>
          <w:szCs w:val="28"/>
        </w:rPr>
        <w:t>акону) спрямовано на вирішення пробле</w:t>
      </w:r>
      <w:r>
        <w:rPr>
          <w:szCs w:val="28"/>
        </w:rPr>
        <w:t xml:space="preserve">мних питань, які перешкоджають </w:t>
      </w:r>
      <w:r w:rsidRPr="00B944FF">
        <w:rPr>
          <w:rFonts w:eastAsia="Calibri" w:cs="Times New Roman"/>
          <w:szCs w:val="28"/>
        </w:rPr>
        <w:t xml:space="preserve">прискоренню процесів приватизації, спрощення процедури приватизації об’єктів державної власності та скорочення термінів її проведення, визначення ціни об’єктів приватизації платоспроможним попитом, посилення відповідальності за порушення законодавства про приватизацію, посилення захисту прав інвесторів. </w:t>
      </w:r>
    </w:p>
    <w:p w:rsidR="005977B1" w:rsidRDefault="005977B1" w:rsidP="002A1029">
      <w:pPr>
        <w:shd w:val="clear" w:color="auto" w:fill="FFFFFF"/>
        <w:jc w:val="both"/>
        <w:rPr>
          <w:rFonts w:eastAsia="Calibri" w:cs="Times New Roman"/>
          <w:szCs w:val="28"/>
        </w:rPr>
      </w:pPr>
      <w:r w:rsidRPr="00B944FF">
        <w:rPr>
          <w:rFonts w:eastAsia="Calibri" w:cs="Times New Roman"/>
          <w:szCs w:val="28"/>
        </w:rPr>
        <w:t xml:space="preserve">Проектом </w:t>
      </w:r>
      <w:r w:rsidR="00EA7D3A" w:rsidRPr="00B944FF">
        <w:rPr>
          <w:rFonts w:eastAsia="Calibri" w:cs="Times New Roman"/>
          <w:szCs w:val="28"/>
        </w:rPr>
        <w:t xml:space="preserve">закону </w:t>
      </w:r>
      <w:r w:rsidRPr="00B944FF">
        <w:rPr>
          <w:rFonts w:eastAsia="Calibri" w:cs="Times New Roman"/>
          <w:szCs w:val="28"/>
        </w:rPr>
        <w:t xml:space="preserve">встановлюється нова спрощена класифікація об’єктів приватизації: об’єкти малої приватизації та об’єкти великої приватизації, </w:t>
      </w:r>
      <w:r>
        <w:rPr>
          <w:rFonts w:eastAsia="Calibri" w:cs="Times New Roman"/>
          <w:szCs w:val="28"/>
        </w:rPr>
        <w:t>розширюється коло об’єктів, які буд</w:t>
      </w:r>
      <w:r w:rsidR="00EA7D3A">
        <w:rPr>
          <w:rFonts w:eastAsia="Calibri" w:cs="Times New Roman"/>
          <w:szCs w:val="28"/>
        </w:rPr>
        <w:t>е</w:t>
      </w:r>
      <w:r>
        <w:rPr>
          <w:rFonts w:eastAsia="Calibri" w:cs="Times New Roman"/>
          <w:szCs w:val="28"/>
        </w:rPr>
        <w:t xml:space="preserve"> залучен</w:t>
      </w:r>
      <w:r w:rsidR="00EA7D3A">
        <w:rPr>
          <w:rFonts w:eastAsia="Calibri" w:cs="Times New Roman"/>
          <w:szCs w:val="28"/>
        </w:rPr>
        <w:t>о</w:t>
      </w:r>
      <w:r>
        <w:rPr>
          <w:rFonts w:eastAsia="Calibri" w:cs="Times New Roman"/>
          <w:szCs w:val="28"/>
        </w:rPr>
        <w:t xml:space="preserve"> до приватизації, запроваджується можливість </w:t>
      </w:r>
      <w:r w:rsidRPr="00B944FF">
        <w:rPr>
          <w:rFonts w:eastAsia="Calibri" w:cs="Times New Roman"/>
          <w:szCs w:val="28"/>
        </w:rPr>
        <w:t xml:space="preserve">продажу об’єкта приватизації </w:t>
      </w:r>
      <w:r>
        <w:rPr>
          <w:rFonts w:eastAsia="Calibri" w:cs="Times New Roman"/>
          <w:szCs w:val="28"/>
        </w:rPr>
        <w:t xml:space="preserve">за допомогою системи електронних аукціонів, </w:t>
      </w:r>
      <w:r w:rsidRPr="00C329A6">
        <w:rPr>
          <w:rFonts w:eastAsia="Calibri" w:cs="Times New Roman"/>
          <w:szCs w:val="28"/>
        </w:rPr>
        <w:t>змін</w:t>
      </w:r>
      <w:r w:rsidR="00EA7D3A">
        <w:rPr>
          <w:rFonts w:eastAsia="Calibri" w:cs="Times New Roman"/>
          <w:szCs w:val="28"/>
        </w:rPr>
        <w:t>юються</w:t>
      </w:r>
      <w:r w:rsidRPr="00C329A6">
        <w:rPr>
          <w:rFonts w:eastAsia="Calibri" w:cs="Times New Roman"/>
          <w:szCs w:val="28"/>
        </w:rPr>
        <w:t xml:space="preserve"> підходи щодо визначення стартової ціни продажу об’єктів приватизації</w:t>
      </w:r>
      <w:r>
        <w:rPr>
          <w:rFonts w:eastAsia="Calibri" w:cs="Times New Roman"/>
          <w:szCs w:val="28"/>
        </w:rPr>
        <w:t xml:space="preserve"> тощо</w:t>
      </w:r>
      <w:r w:rsidRPr="00B944FF">
        <w:rPr>
          <w:rFonts w:eastAsia="Calibri" w:cs="Times New Roman"/>
          <w:szCs w:val="28"/>
        </w:rPr>
        <w:t>.</w:t>
      </w:r>
    </w:p>
    <w:p w:rsidR="005977B1" w:rsidRDefault="005977B1" w:rsidP="002A1029">
      <w:pPr>
        <w:shd w:val="clear" w:color="auto" w:fill="FFFFFF"/>
        <w:jc w:val="both"/>
        <w:rPr>
          <w:rFonts w:eastAsia="Calibri" w:cs="Times New Roman"/>
          <w:szCs w:val="28"/>
        </w:rPr>
      </w:pPr>
      <w:r w:rsidRPr="002B542A">
        <w:rPr>
          <w:rFonts w:eastAsia="Calibri" w:cs="Times New Roman"/>
          <w:szCs w:val="28"/>
        </w:rPr>
        <w:t>З метою комплексно</w:t>
      </w:r>
      <w:r w:rsidR="00EA7D3A">
        <w:rPr>
          <w:rFonts w:eastAsia="Calibri" w:cs="Times New Roman"/>
          <w:szCs w:val="28"/>
        </w:rPr>
        <w:t>го</w:t>
      </w:r>
      <w:r w:rsidRPr="002B542A">
        <w:rPr>
          <w:rFonts w:eastAsia="Calibri" w:cs="Times New Roman"/>
          <w:szCs w:val="28"/>
        </w:rPr>
        <w:t xml:space="preserve"> удосконалення приватизаційного законодавства, </w:t>
      </w:r>
      <w:r w:rsidRPr="002B542A">
        <w:rPr>
          <w:rFonts w:eastAsia="Calibri" w:cs="Times New Roman"/>
          <w:szCs w:val="28"/>
        </w:rPr>
        <w:lastRenderedPageBreak/>
        <w:t xml:space="preserve">його оптимізації, гармонізації та ліквідації норм, які втратили актуальність, </w:t>
      </w:r>
      <w:r w:rsidR="00EA7D3A">
        <w:rPr>
          <w:rFonts w:eastAsia="Calibri" w:cs="Times New Roman"/>
          <w:szCs w:val="28"/>
        </w:rPr>
        <w:t xml:space="preserve">проектом закону </w:t>
      </w:r>
      <w:r w:rsidRPr="002B542A">
        <w:rPr>
          <w:rFonts w:eastAsia="Calibri" w:cs="Times New Roman"/>
          <w:szCs w:val="28"/>
        </w:rPr>
        <w:t xml:space="preserve">пропонується визнати такими, що втратили чинність, </w:t>
      </w:r>
      <w:r w:rsidR="00EA7D3A" w:rsidRPr="002B542A">
        <w:rPr>
          <w:rFonts w:eastAsia="Calibri" w:cs="Times New Roman"/>
          <w:szCs w:val="28"/>
        </w:rPr>
        <w:t>з</w:t>
      </w:r>
      <w:r w:rsidRPr="002B542A">
        <w:rPr>
          <w:rFonts w:eastAsia="Calibri" w:cs="Times New Roman"/>
          <w:szCs w:val="28"/>
        </w:rPr>
        <w:t xml:space="preserve">акони України «Про Державну програму приватизації», «Про особливості приватизації об’єктів незавершеного будівництва», «Про особливості приватизації підприємств, що належать до сфери управління Міністерства оборони України», «Про приватизацію невеликих державних підприємств (малу приватизацію)», «Про особливості приватизації майна в агропромисловому комплексі», «Про призупинення приватизації підприємств нафтопереробної промисловості», а також внести зміни до </w:t>
      </w:r>
      <w:r>
        <w:rPr>
          <w:szCs w:val="28"/>
        </w:rPr>
        <w:t xml:space="preserve">низки кодексів та </w:t>
      </w:r>
      <w:r w:rsidRPr="002B542A">
        <w:rPr>
          <w:szCs w:val="28"/>
        </w:rPr>
        <w:t xml:space="preserve">законів </w:t>
      </w:r>
      <w:r w:rsidRPr="002B542A">
        <w:rPr>
          <w:rFonts w:eastAsia="Calibri" w:cs="Times New Roman"/>
          <w:szCs w:val="28"/>
        </w:rPr>
        <w:t>України.</w:t>
      </w:r>
    </w:p>
    <w:p w:rsidR="005977B1" w:rsidRDefault="005977B1" w:rsidP="002A1029">
      <w:pPr>
        <w:shd w:val="clear" w:color="auto" w:fill="FFFFFF"/>
        <w:jc w:val="both"/>
        <w:rPr>
          <w:rFonts w:eastAsia="Calibri" w:cs="Times New Roman"/>
          <w:bCs/>
          <w:szCs w:val="28"/>
        </w:rPr>
      </w:pPr>
      <w:r>
        <w:rPr>
          <w:rFonts w:eastAsia="Calibri" w:cs="Times New Roman"/>
          <w:szCs w:val="28"/>
        </w:rPr>
        <w:t>Р</w:t>
      </w:r>
      <w:r w:rsidRPr="00734921">
        <w:rPr>
          <w:rFonts w:eastAsia="Calibri" w:cs="Times New Roman"/>
          <w:szCs w:val="28"/>
        </w:rPr>
        <w:t xml:space="preserve">азом з проектом </w:t>
      </w:r>
      <w:r w:rsidR="00EA7D3A" w:rsidRPr="00734921">
        <w:rPr>
          <w:rFonts w:eastAsia="Calibri" w:cs="Times New Roman"/>
          <w:szCs w:val="28"/>
        </w:rPr>
        <w:t xml:space="preserve">закону </w:t>
      </w:r>
      <w:r>
        <w:rPr>
          <w:rFonts w:eastAsia="Calibri" w:cs="Times New Roman"/>
          <w:szCs w:val="28"/>
        </w:rPr>
        <w:t>з м</w:t>
      </w:r>
      <w:r w:rsidRPr="00734921">
        <w:rPr>
          <w:rFonts w:eastAsia="Calibri" w:cs="Times New Roman"/>
          <w:szCs w:val="28"/>
        </w:rPr>
        <w:t>етою забезпечення фінансування видатків на проведення приватизації державного майна з коштів, що надійшли від приватизації державного майна</w:t>
      </w:r>
      <w:r>
        <w:rPr>
          <w:rFonts w:eastAsia="Calibri" w:cs="Times New Roman"/>
          <w:szCs w:val="28"/>
        </w:rPr>
        <w:t>,</w:t>
      </w:r>
      <w:r w:rsidRPr="00734921">
        <w:rPr>
          <w:rFonts w:eastAsia="Calibri" w:cs="Times New Roman"/>
          <w:szCs w:val="28"/>
        </w:rPr>
        <w:t xml:space="preserve"> Фондом </w:t>
      </w:r>
      <w:r>
        <w:rPr>
          <w:rFonts w:eastAsia="Calibri" w:cs="Times New Roman"/>
          <w:szCs w:val="28"/>
        </w:rPr>
        <w:t xml:space="preserve">також </w:t>
      </w:r>
      <w:r w:rsidRPr="00734921">
        <w:rPr>
          <w:rFonts w:eastAsia="Calibri" w:cs="Times New Roman"/>
          <w:szCs w:val="28"/>
        </w:rPr>
        <w:t xml:space="preserve">розроблено </w:t>
      </w:r>
      <w:r w:rsidRPr="00EA7D3A">
        <w:rPr>
          <w:rFonts w:eastAsia="Calibri" w:cs="Times New Roman"/>
          <w:b/>
          <w:szCs w:val="28"/>
        </w:rPr>
        <w:t>проект Закону України</w:t>
      </w:r>
      <w:r w:rsidRPr="00734921">
        <w:rPr>
          <w:rFonts w:eastAsia="Calibri" w:cs="Times New Roman"/>
          <w:color w:val="000000"/>
          <w:spacing w:val="13"/>
          <w:szCs w:val="28"/>
        </w:rPr>
        <w:t xml:space="preserve"> </w:t>
      </w:r>
      <w:r w:rsidRPr="00EA7D3A">
        <w:rPr>
          <w:rFonts w:eastAsia="Calibri" w:cs="Times New Roman"/>
          <w:b/>
          <w:bCs/>
          <w:szCs w:val="28"/>
        </w:rPr>
        <w:t>«Про внесення змін до статті 15 Бюджетного кодексу України» (щодо фінансування спеціального фонду)</w:t>
      </w:r>
      <w:r>
        <w:rPr>
          <w:rFonts w:eastAsia="Calibri" w:cs="Times New Roman"/>
          <w:bCs/>
          <w:szCs w:val="28"/>
        </w:rPr>
        <w:t>.</w:t>
      </w:r>
    </w:p>
    <w:p w:rsidR="005977B1" w:rsidRPr="00734921" w:rsidRDefault="005977B1" w:rsidP="002A1029">
      <w:pPr>
        <w:shd w:val="clear" w:color="auto" w:fill="FFFFFF"/>
        <w:jc w:val="both"/>
        <w:rPr>
          <w:rFonts w:eastAsia="Calibri" w:cs="Times New Roman"/>
          <w:szCs w:val="28"/>
        </w:rPr>
      </w:pPr>
      <w:r>
        <w:rPr>
          <w:rFonts w:eastAsia="Calibri" w:cs="Times New Roman"/>
          <w:szCs w:val="28"/>
        </w:rPr>
        <w:t xml:space="preserve">Законопроекти було представлено на нараді </w:t>
      </w:r>
      <w:r w:rsidRPr="00125F29">
        <w:rPr>
          <w:rFonts w:eastAsia="Calibri" w:cs="Times New Roman"/>
          <w:szCs w:val="28"/>
        </w:rPr>
        <w:t>щодо питань забезпечення приватизації державного майна</w:t>
      </w:r>
      <w:r>
        <w:rPr>
          <w:rFonts w:eastAsia="Calibri" w:cs="Times New Roman"/>
          <w:szCs w:val="28"/>
        </w:rPr>
        <w:t>, яка</w:t>
      </w:r>
      <w:r w:rsidRPr="00125F29">
        <w:rPr>
          <w:rFonts w:eastAsia="Calibri" w:cs="Times New Roman"/>
          <w:szCs w:val="28"/>
        </w:rPr>
        <w:t xml:space="preserve"> </w:t>
      </w:r>
      <w:r>
        <w:rPr>
          <w:rFonts w:eastAsia="Calibri" w:cs="Times New Roman"/>
          <w:szCs w:val="28"/>
        </w:rPr>
        <w:t>відбулася</w:t>
      </w:r>
      <w:r w:rsidR="00EA7D3A">
        <w:rPr>
          <w:rFonts w:eastAsia="Calibri" w:cs="Times New Roman"/>
          <w:szCs w:val="28"/>
        </w:rPr>
        <w:t xml:space="preserve"> </w:t>
      </w:r>
      <w:r w:rsidRPr="00125F29">
        <w:rPr>
          <w:rFonts w:eastAsia="Calibri" w:cs="Times New Roman"/>
          <w:szCs w:val="28"/>
        </w:rPr>
        <w:t xml:space="preserve">13 березня 2017 року під головуванням Прем’єр-міністра України В. </w:t>
      </w:r>
      <w:proofErr w:type="spellStart"/>
      <w:r w:rsidRPr="00125F29">
        <w:rPr>
          <w:rFonts w:eastAsia="Calibri" w:cs="Times New Roman"/>
          <w:szCs w:val="28"/>
        </w:rPr>
        <w:t>Гройсмана</w:t>
      </w:r>
      <w:proofErr w:type="spellEnd"/>
      <w:r>
        <w:rPr>
          <w:rFonts w:eastAsia="Calibri" w:cs="Times New Roman"/>
          <w:szCs w:val="28"/>
        </w:rPr>
        <w:t>.</w:t>
      </w:r>
      <w:r w:rsidRPr="00125F29">
        <w:rPr>
          <w:rFonts w:eastAsia="Calibri" w:cs="Times New Roman"/>
          <w:szCs w:val="28"/>
        </w:rPr>
        <w:t xml:space="preserve"> </w:t>
      </w:r>
      <w:r>
        <w:rPr>
          <w:rFonts w:eastAsia="Calibri" w:cs="Times New Roman"/>
          <w:szCs w:val="28"/>
        </w:rPr>
        <w:t>За результатами наради законопроекти направлено на погодження заі</w:t>
      </w:r>
      <w:r w:rsidR="00EA7D3A">
        <w:rPr>
          <w:rFonts w:eastAsia="Calibri" w:cs="Times New Roman"/>
          <w:szCs w:val="28"/>
        </w:rPr>
        <w:t>нтересованими</w:t>
      </w:r>
      <w:r>
        <w:rPr>
          <w:rFonts w:eastAsia="Calibri" w:cs="Times New Roman"/>
          <w:szCs w:val="28"/>
        </w:rPr>
        <w:t xml:space="preserve"> органам влади.</w:t>
      </w:r>
    </w:p>
    <w:p w:rsidR="00A51F75" w:rsidRPr="00242020" w:rsidRDefault="00A51F75" w:rsidP="002A1029">
      <w:pPr>
        <w:jc w:val="both"/>
        <w:rPr>
          <w:rFonts w:eastAsia="Times New Roman" w:cs="Times New Roman"/>
          <w:szCs w:val="28"/>
          <w:lang w:eastAsia="ru-RU"/>
        </w:rPr>
      </w:pPr>
      <w:r w:rsidRPr="00242020">
        <w:rPr>
          <w:rFonts w:eastAsia="Times New Roman" w:cs="Times New Roman"/>
          <w:szCs w:val="28"/>
          <w:lang w:eastAsia="ru-RU"/>
        </w:rPr>
        <w:t xml:space="preserve">У рамках реформування державного сектору економіки відповідно до доручень Прем’єр-міністра України щодо вирішення питань ліквідації збиткових та непрацюючих державних підприємств Фондом підготовлено </w:t>
      </w:r>
      <w:r w:rsidRPr="00242020">
        <w:rPr>
          <w:rFonts w:eastAsia="Times New Roman" w:cs="Times New Roman"/>
          <w:b/>
          <w:szCs w:val="28"/>
          <w:lang w:eastAsia="ru-RU"/>
        </w:rPr>
        <w:t>проекти</w:t>
      </w:r>
      <w:r w:rsidRPr="00242020">
        <w:rPr>
          <w:rFonts w:eastAsia="Times New Roman" w:cs="Times New Roman"/>
          <w:szCs w:val="28"/>
          <w:lang w:eastAsia="ru-RU"/>
        </w:rPr>
        <w:t xml:space="preserve"> </w:t>
      </w:r>
      <w:r w:rsidRPr="00242020">
        <w:rPr>
          <w:rFonts w:eastAsia="Times New Roman" w:cs="Times New Roman"/>
          <w:b/>
          <w:szCs w:val="28"/>
          <w:lang w:eastAsia="ru-RU"/>
        </w:rPr>
        <w:t xml:space="preserve">законів України «Про внесення змін до Податкового кодексу України (щодо списання безнадійного податкового боргу </w:t>
      </w:r>
      <w:r w:rsidRPr="00242020">
        <w:rPr>
          <w:rFonts w:eastAsia="Times New Roman" w:cs="Times New Roman"/>
          <w:b/>
          <w:color w:val="000000"/>
          <w:lang w:eastAsia="ru-RU"/>
        </w:rPr>
        <w:t>державних підприємств</w:t>
      </w:r>
      <w:r w:rsidRPr="00242020">
        <w:rPr>
          <w:rFonts w:eastAsia="Times New Roman" w:cs="Times New Roman"/>
          <w:b/>
          <w:szCs w:val="28"/>
          <w:lang w:eastAsia="ru-RU"/>
        </w:rPr>
        <w:t xml:space="preserve">)» </w:t>
      </w:r>
      <w:r w:rsidRPr="00242020">
        <w:rPr>
          <w:rFonts w:eastAsia="Times New Roman" w:cs="Times New Roman"/>
          <w:szCs w:val="28"/>
          <w:lang w:eastAsia="ru-RU"/>
        </w:rPr>
        <w:t xml:space="preserve">та </w:t>
      </w:r>
      <w:r w:rsidRPr="00242020">
        <w:rPr>
          <w:rFonts w:eastAsia="Times New Roman" w:cs="Times New Roman"/>
          <w:b/>
          <w:szCs w:val="28"/>
          <w:lang w:eastAsia="ru-RU"/>
        </w:rPr>
        <w:t>«Про внесення змін до деяких законодавчих актів України (щодо спрощення порядку ліквідації державних підприємств)»</w:t>
      </w:r>
      <w:r w:rsidRPr="00242020">
        <w:rPr>
          <w:rFonts w:eastAsia="Times New Roman" w:cs="Times New Roman"/>
          <w:szCs w:val="28"/>
          <w:lang w:eastAsia="ru-RU"/>
        </w:rPr>
        <w:t xml:space="preserve">. Законопроекти розроблено з метою спрощення порядку ліквідації </w:t>
      </w:r>
      <w:r w:rsidRPr="00242020">
        <w:rPr>
          <w:rFonts w:eastAsia="Times-Roman" w:cs="Times New Roman"/>
          <w:szCs w:val="28"/>
        </w:rPr>
        <w:t xml:space="preserve">збиткових та непрацюючих </w:t>
      </w:r>
      <w:r w:rsidRPr="00242020">
        <w:rPr>
          <w:rFonts w:eastAsia="Times New Roman" w:cs="Times New Roman"/>
          <w:szCs w:val="28"/>
          <w:lang w:eastAsia="ru-RU"/>
        </w:rPr>
        <w:t>державних підприємств. На сьогодні законопроекти знаходяться на повторному погодженні відповідними органам виконавчої влади.</w:t>
      </w:r>
    </w:p>
    <w:p w:rsidR="007E35CE" w:rsidRDefault="007E35CE" w:rsidP="002A1029">
      <w:pPr>
        <w:jc w:val="both"/>
        <w:rPr>
          <w:szCs w:val="28"/>
        </w:rPr>
      </w:pPr>
      <w:r w:rsidRPr="005C693D">
        <w:t xml:space="preserve">З метою </w:t>
      </w:r>
      <w:r w:rsidRPr="005C693D">
        <w:rPr>
          <w:szCs w:val="28"/>
        </w:rPr>
        <w:t xml:space="preserve">вдосконалення порядку формування та ведення </w:t>
      </w:r>
      <w:r>
        <w:rPr>
          <w:szCs w:val="28"/>
        </w:rPr>
        <w:t>Єдиного р</w:t>
      </w:r>
      <w:r w:rsidRPr="005C693D">
        <w:rPr>
          <w:szCs w:val="28"/>
        </w:rPr>
        <w:t xml:space="preserve">еєстру </w:t>
      </w:r>
      <w:r>
        <w:rPr>
          <w:szCs w:val="28"/>
        </w:rPr>
        <w:t xml:space="preserve">об’єктів державної власності </w:t>
      </w:r>
      <w:r w:rsidRPr="005C693D">
        <w:rPr>
          <w:szCs w:val="28"/>
        </w:rPr>
        <w:t xml:space="preserve">Фондом розроблено </w:t>
      </w:r>
      <w:r w:rsidRPr="0015567A">
        <w:rPr>
          <w:b/>
          <w:szCs w:val="28"/>
        </w:rPr>
        <w:t>проект Закону України «Про внесення змін до деяких законів України щодо інформаційної взаємодії»</w:t>
      </w:r>
      <w:r>
        <w:rPr>
          <w:szCs w:val="28"/>
        </w:rPr>
        <w:t xml:space="preserve">, який спрямовано на </w:t>
      </w:r>
      <w:r w:rsidRPr="00CB78FB">
        <w:rPr>
          <w:szCs w:val="28"/>
        </w:rPr>
        <w:t xml:space="preserve">впровадження інформаційної взаємодії між Єдиним державним реєстром </w:t>
      </w:r>
      <w:r w:rsidRPr="007E35CE">
        <w:rPr>
          <w:rFonts w:eastAsia="Times New Roman" w:cs="Times New Roman"/>
          <w:szCs w:val="28"/>
          <w:lang w:eastAsia="ru-RU"/>
        </w:rPr>
        <w:t>юридичних</w:t>
      </w:r>
      <w:r w:rsidRPr="00CB78FB">
        <w:rPr>
          <w:szCs w:val="28"/>
        </w:rPr>
        <w:t xml:space="preserve"> осіб</w:t>
      </w:r>
      <w:r>
        <w:rPr>
          <w:szCs w:val="28"/>
        </w:rPr>
        <w:t>,</w:t>
      </w:r>
      <w:r w:rsidRPr="00CB78FB">
        <w:rPr>
          <w:szCs w:val="28"/>
        </w:rPr>
        <w:t xml:space="preserve"> фізичних осіб-підприємців</w:t>
      </w:r>
      <w:r>
        <w:rPr>
          <w:szCs w:val="28"/>
        </w:rPr>
        <w:t xml:space="preserve"> та громадських формувань та Єдиним реєстром об’єктів державної власності.</w:t>
      </w:r>
    </w:p>
    <w:p w:rsidR="007E35CE" w:rsidRPr="00CB78FB" w:rsidRDefault="007E35CE" w:rsidP="002A1029">
      <w:pPr>
        <w:jc w:val="both"/>
        <w:rPr>
          <w:szCs w:val="28"/>
        </w:rPr>
      </w:pPr>
      <w:r>
        <w:rPr>
          <w:szCs w:val="28"/>
        </w:rPr>
        <w:t xml:space="preserve">Законопроектом передбачено отримання Фондом в електронній формі від </w:t>
      </w:r>
      <w:r w:rsidRPr="00CB78FB">
        <w:rPr>
          <w:szCs w:val="28"/>
        </w:rPr>
        <w:t xml:space="preserve">технічного адміністратора Єдиного державного реєстру </w:t>
      </w:r>
      <w:r>
        <w:rPr>
          <w:szCs w:val="28"/>
        </w:rPr>
        <w:t xml:space="preserve">відомостей про проведення реєстраційних дій щодо державних органів як юридичних осіб, </w:t>
      </w:r>
      <w:r w:rsidRPr="00CB78FB">
        <w:rPr>
          <w:szCs w:val="28"/>
        </w:rPr>
        <w:t xml:space="preserve">державних підприємств, їх об’єднань, установ та організацій, інших </w:t>
      </w:r>
      <w:r w:rsidRPr="007E35CE">
        <w:rPr>
          <w:rFonts w:eastAsia="Times New Roman" w:cs="Times New Roman"/>
          <w:szCs w:val="28"/>
          <w:lang w:eastAsia="ru-RU"/>
        </w:rPr>
        <w:t>господарських</w:t>
      </w:r>
      <w:r w:rsidRPr="00CB78FB">
        <w:rPr>
          <w:szCs w:val="28"/>
        </w:rPr>
        <w:t xml:space="preserve"> організацій, </w:t>
      </w:r>
      <w:r>
        <w:rPr>
          <w:szCs w:val="28"/>
        </w:rPr>
        <w:t>у статутному капіталі яких є</w:t>
      </w:r>
      <w:r w:rsidRPr="00CB78FB">
        <w:rPr>
          <w:szCs w:val="28"/>
        </w:rPr>
        <w:t xml:space="preserve"> корпоративні права держави, та/або господарських організацій, на балансі яких перебуває державне майно</w:t>
      </w:r>
      <w:r>
        <w:rPr>
          <w:szCs w:val="28"/>
        </w:rPr>
        <w:t>, що належи</w:t>
      </w:r>
      <w:r w:rsidRPr="00CB78FB">
        <w:rPr>
          <w:szCs w:val="28"/>
        </w:rPr>
        <w:t>ть до сфери управління</w:t>
      </w:r>
      <w:r>
        <w:rPr>
          <w:szCs w:val="28"/>
        </w:rPr>
        <w:t xml:space="preserve"> суб’єктів управління об’єктами державної власності. </w:t>
      </w:r>
      <w:r w:rsidRPr="00CB78FB">
        <w:rPr>
          <w:szCs w:val="28"/>
        </w:rPr>
        <w:t xml:space="preserve">Законопроект зареєстровано у Верховній Раді України 10.11.2016 за № 5387. Комітетом Верховної Ради України з питань економічної політики рекомендовано парламенту прийняти його за основу і в цілому як </w:t>
      </w:r>
      <w:r w:rsidRPr="00CB78FB">
        <w:rPr>
          <w:szCs w:val="28"/>
        </w:rPr>
        <w:lastRenderedPageBreak/>
        <w:t>закон.</w:t>
      </w:r>
    </w:p>
    <w:p w:rsidR="00A51F75" w:rsidRPr="00242020" w:rsidRDefault="00A51F75" w:rsidP="002A1029">
      <w:pPr>
        <w:widowControl/>
        <w:jc w:val="both"/>
        <w:rPr>
          <w:rFonts w:eastAsia="Times New Roman" w:cs="Times New Roman"/>
          <w:color w:val="000000"/>
          <w:lang w:eastAsia="ru-RU"/>
        </w:rPr>
      </w:pPr>
      <w:r w:rsidRPr="00242020">
        <w:rPr>
          <w:rFonts w:eastAsia="Times New Roman" w:cs="Times New Roman"/>
          <w:szCs w:val="28"/>
          <w:lang w:eastAsia="ru-RU"/>
        </w:rPr>
        <w:t xml:space="preserve">З метою приведення у відповідність із пунктом 12 частини першої статті 85 Конституції України, дію якого відновлено Законом України «Про відновлення дії окремих положень Конституції України», Законом України «Про центральні органи виконавчої влади», Законом України «Про Кабінет Міністрів України», Законом України «Про державну службу» Фондом розроблено </w:t>
      </w:r>
      <w:r w:rsidRPr="00242020">
        <w:rPr>
          <w:rFonts w:eastAsia="Times New Roman" w:cs="Times New Roman"/>
          <w:b/>
          <w:szCs w:val="28"/>
          <w:lang w:eastAsia="ru-RU"/>
        </w:rPr>
        <w:t xml:space="preserve">проект Закону України </w:t>
      </w:r>
      <w:r w:rsidRPr="00242020">
        <w:rPr>
          <w:rFonts w:eastAsia="Times New Roman" w:cs="Times New Roman"/>
          <w:b/>
          <w:color w:val="000000"/>
          <w:lang w:eastAsia="ru-RU"/>
        </w:rPr>
        <w:t>«Про внесення змін до Закону України «Про Фонд державного майна України»</w:t>
      </w:r>
      <w:r w:rsidRPr="00242020">
        <w:rPr>
          <w:rFonts w:eastAsia="Times New Roman" w:cs="Times New Roman"/>
          <w:color w:val="000000"/>
          <w:lang w:eastAsia="ru-RU"/>
        </w:rPr>
        <w:t>.</w:t>
      </w:r>
    </w:p>
    <w:p w:rsidR="00A51F75" w:rsidRPr="00242020" w:rsidRDefault="00A51F75" w:rsidP="002A1029">
      <w:pPr>
        <w:widowControl/>
        <w:jc w:val="both"/>
        <w:rPr>
          <w:rFonts w:eastAsia="Times New Roman" w:cs="Times New Roman"/>
          <w:szCs w:val="28"/>
          <w:lang w:eastAsia="ru-RU"/>
        </w:rPr>
      </w:pPr>
      <w:r w:rsidRPr="00242020">
        <w:rPr>
          <w:rFonts w:eastAsia="Times New Roman" w:cs="Times New Roman"/>
          <w:color w:val="000000"/>
          <w:lang w:eastAsia="ru-RU"/>
        </w:rPr>
        <w:t xml:space="preserve">На сьогодні законопроект направлено на розгляд Кабінету Міністрів України. </w:t>
      </w:r>
    </w:p>
    <w:p w:rsidR="00A51F75" w:rsidRPr="00242020" w:rsidRDefault="00A51F75" w:rsidP="002A1029">
      <w:pPr>
        <w:jc w:val="both"/>
        <w:rPr>
          <w:rFonts w:eastAsia="Times New Roman" w:cs="Times New Roman"/>
          <w:szCs w:val="28"/>
          <w:lang w:eastAsia="ru-RU"/>
        </w:rPr>
      </w:pPr>
      <w:r w:rsidRPr="00242020">
        <w:rPr>
          <w:rFonts w:eastAsia="Times New Roman" w:cs="Times New Roman"/>
          <w:szCs w:val="28"/>
          <w:lang w:eastAsia="ru-RU"/>
        </w:rPr>
        <w:t xml:space="preserve">Урядом 31 серпня 2016 року прийнято розроблену Фондом </w:t>
      </w:r>
      <w:r w:rsidRPr="00242020">
        <w:rPr>
          <w:rFonts w:eastAsia="Times New Roman" w:cs="Times New Roman"/>
          <w:b/>
          <w:szCs w:val="28"/>
          <w:lang w:eastAsia="ru-RU"/>
        </w:rPr>
        <w:t>постанову № 588</w:t>
      </w:r>
      <w:r w:rsidRPr="00242020">
        <w:rPr>
          <w:rFonts w:eastAsia="Times New Roman" w:cs="Times New Roman"/>
          <w:szCs w:val="28"/>
          <w:lang w:eastAsia="ru-RU"/>
        </w:rPr>
        <w:t xml:space="preserve"> </w:t>
      </w:r>
      <w:r w:rsidRPr="00242020">
        <w:rPr>
          <w:rFonts w:eastAsia="Times New Roman" w:cs="Times New Roman"/>
          <w:b/>
          <w:szCs w:val="28"/>
          <w:lang w:eastAsia="ru-RU"/>
        </w:rPr>
        <w:t>«Про внесення змін до постанови Кабінету Міністрів України від 12 травня 2015 року № 271»</w:t>
      </w:r>
      <w:r w:rsidRPr="00242020">
        <w:rPr>
          <w:rFonts w:eastAsia="Times New Roman" w:cs="Times New Roman"/>
          <w:szCs w:val="28"/>
          <w:lang w:eastAsia="ru-RU"/>
        </w:rPr>
        <w:t>, якою розширено переліки об’єктів державної власності, що підлягають приватизації у 2016-2017 роках, та об’єктів державної власності, що підлягають приватизації у 2016-2017 роках після їх виключення із Закону України «Про перелік об’єктів державної власності, що не підлягають приватизації».</w:t>
      </w:r>
    </w:p>
    <w:p w:rsidR="00A51F75" w:rsidRPr="00242020" w:rsidRDefault="00A51F75" w:rsidP="00A51F75">
      <w:pPr>
        <w:jc w:val="both"/>
        <w:rPr>
          <w:rFonts w:eastAsia="Times New Roman" w:cs="Times New Roman"/>
          <w:szCs w:val="28"/>
          <w:lang w:eastAsia="ru-RU"/>
        </w:rPr>
      </w:pPr>
      <w:r w:rsidRPr="00242020">
        <w:rPr>
          <w:rFonts w:eastAsia="Times New Roman" w:cs="Times New Roman"/>
          <w:szCs w:val="28"/>
          <w:lang w:eastAsia="ru-RU"/>
        </w:rPr>
        <w:t xml:space="preserve">Урядом 30 листопада 2016 року прийнято розроблену Фондом з метою конкретизації процедури залучення та визначення на конкурсних засадах радників для підготовки до приватизації та продажу об’єктів державної власності, забезпечення дотримання принципів </w:t>
      </w:r>
      <w:proofErr w:type="spellStart"/>
      <w:r w:rsidRPr="00242020">
        <w:rPr>
          <w:rFonts w:eastAsia="Times New Roman" w:cs="Times New Roman"/>
          <w:szCs w:val="28"/>
          <w:lang w:eastAsia="ru-RU"/>
        </w:rPr>
        <w:t>конкурентності</w:t>
      </w:r>
      <w:proofErr w:type="spellEnd"/>
      <w:r w:rsidRPr="00242020">
        <w:rPr>
          <w:rFonts w:eastAsia="Times New Roman" w:cs="Times New Roman"/>
          <w:szCs w:val="28"/>
          <w:lang w:eastAsia="ru-RU"/>
        </w:rPr>
        <w:t xml:space="preserve">, рівноправності, загальнодоступності, гласності та прозорості під час відбору радників </w:t>
      </w:r>
      <w:r w:rsidRPr="00242020">
        <w:rPr>
          <w:rFonts w:eastAsia="Times New Roman" w:cs="Times New Roman"/>
          <w:b/>
          <w:szCs w:val="28"/>
          <w:lang w:eastAsia="ru-RU"/>
        </w:rPr>
        <w:t>постанову № 878 «Про затвердження Порядку залучення та визначення радників у процесі приватизації об’єктів державної власності»</w:t>
      </w:r>
      <w:r w:rsidRPr="00242020">
        <w:rPr>
          <w:rFonts w:eastAsia="Times New Roman" w:cs="Times New Roman"/>
          <w:szCs w:val="28"/>
          <w:lang w:eastAsia="ru-RU"/>
        </w:rPr>
        <w:t>. Порядок визначає правовий статус радників, їх завдання, джерела, строки та порядок оплати їх послуг, що здійснюється за рішенням Кабінету Міністрів за рахунок коштів державного бюджету та/або міжнародних організацій; кваліфікаційні критерії, за якими здійснюється конкурсний відбір радників; перелік документів, що подаються для участі у конкурсі.</w:t>
      </w:r>
    </w:p>
    <w:p w:rsidR="00A51F75" w:rsidRPr="00242020" w:rsidRDefault="00A51F75" w:rsidP="00A51F75">
      <w:pPr>
        <w:jc w:val="both"/>
        <w:rPr>
          <w:rFonts w:eastAsia="Times New Roman" w:cs="Times New Roman"/>
          <w:b/>
          <w:szCs w:val="28"/>
          <w:lang w:eastAsia="ru-RU"/>
        </w:rPr>
      </w:pPr>
      <w:r w:rsidRPr="00242020">
        <w:rPr>
          <w:rFonts w:eastAsia="Times New Roman" w:cs="Times New Roman"/>
          <w:szCs w:val="28"/>
          <w:lang w:eastAsia="ru-RU"/>
        </w:rPr>
        <w:t xml:space="preserve">Урядом 30 березня 2016 року за № 250-р прийнято розроблене Фондом з метою забезпечення продажу пакетів акцій АТ, які перебувають в управлінні Фонду, розпорядження </w:t>
      </w:r>
      <w:r w:rsidRPr="00242020">
        <w:rPr>
          <w:rFonts w:eastAsia="Times New Roman" w:cs="Times New Roman"/>
          <w:b/>
          <w:szCs w:val="28"/>
          <w:lang w:eastAsia="ru-RU"/>
        </w:rPr>
        <w:t>«Про затвердження переліку акціонерних товариств, державні пакети акцій яких можуть бути запропоновані до продажу на аукціоні без оголошення ціни».</w:t>
      </w:r>
    </w:p>
    <w:p w:rsidR="00D226C3" w:rsidRDefault="00A51F75" w:rsidP="005977B1">
      <w:pPr>
        <w:widowControl/>
        <w:jc w:val="both"/>
        <w:rPr>
          <w:rFonts w:eastAsia="Times New Roman" w:cs="Times New Roman"/>
          <w:szCs w:val="28"/>
          <w:lang w:eastAsia="ru-RU"/>
        </w:rPr>
      </w:pPr>
      <w:r w:rsidRPr="00242020">
        <w:rPr>
          <w:rFonts w:eastAsia="Times New Roman" w:cs="Times New Roman"/>
          <w:szCs w:val="28"/>
          <w:lang w:eastAsia="ru-RU"/>
        </w:rPr>
        <w:t>Крім того, протягом 2016 року Фондом розроблено 2 386 проектів організаційно-розпорядчих та нормативно-правових актів, з яких 23 проекти подано на державну реєстрацію до Міністерства юстиції України (пройшло державну реєстрацію 22 акти), розроблено 11 законопроектів та 72 проекти актів Уряду. Також опрацьовано 395 проектів нормативно-правових актів з питань компетенції Фонду, розроблених іншими органами влади, проведено експертизу 3 законів України, прийнятих Верховною Радою України, що надійшли на підпис Президентові України.</w:t>
      </w:r>
    </w:p>
    <w:p w:rsidR="00EA7D3A" w:rsidRDefault="00EA7D3A" w:rsidP="005977B1">
      <w:pPr>
        <w:widowControl/>
        <w:jc w:val="both"/>
        <w:rPr>
          <w:rFonts w:eastAsia="Times New Roman" w:cs="Times New Roman"/>
          <w:szCs w:val="28"/>
          <w:lang w:eastAsia="ru-RU"/>
        </w:rPr>
      </w:pPr>
    </w:p>
    <w:p w:rsidR="00EA7D3A" w:rsidRPr="00242020" w:rsidRDefault="00EA7D3A" w:rsidP="005977B1">
      <w:pPr>
        <w:widowControl/>
        <w:jc w:val="both"/>
      </w:pPr>
    </w:p>
    <w:p w:rsidR="00E427AD" w:rsidRPr="00242020" w:rsidRDefault="00E427AD">
      <w:pPr>
        <w:sectPr w:rsidR="00E427AD" w:rsidRPr="00242020" w:rsidSect="00BE4231">
          <w:pgSz w:w="11906" w:h="16838"/>
          <w:pgMar w:top="1134" w:right="851" w:bottom="1134" w:left="1418" w:header="709" w:footer="709" w:gutter="0"/>
          <w:cols w:space="708"/>
          <w:docGrid w:linePitch="381"/>
        </w:sectPr>
      </w:pPr>
    </w:p>
    <w:p w:rsidR="00E427AD" w:rsidRPr="00242020" w:rsidRDefault="00E427AD" w:rsidP="00E427AD">
      <w:pPr>
        <w:pStyle w:val="1"/>
      </w:pPr>
      <w:r w:rsidRPr="00242020">
        <w:lastRenderedPageBreak/>
        <w:t>8. Взаємодія Фонду з Верховною Радою України</w:t>
      </w:r>
    </w:p>
    <w:p w:rsidR="004252F1" w:rsidRPr="00242020" w:rsidRDefault="004252F1" w:rsidP="004252F1">
      <w:pPr>
        <w:ind w:firstLine="720"/>
        <w:jc w:val="both"/>
        <w:rPr>
          <w:sz w:val="12"/>
          <w:szCs w:val="12"/>
        </w:rPr>
      </w:pPr>
    </w:p>
    <w:p w:rsidR="00245F99" w:rsidRPr="00242020" w:rsidRDefault="00245F99" w:rsidP="00245F99">
      <w:pPr>
        <w:jc w:val="both"/>
        <w:rPr>
          <w:rFonts w:eastAsia="Calibri" w:cs="Times New Roman"/>
          <w:szCs w:val="28"/>
        </w:rPr>
      </w:pPr>
      <w:r w:rsidRPr="00242020">
        <w:rPr>
          <w:rFonts w:eastAsia="Calibri" w:cs="Times New Roman"/>
          <w:szCs w:val="28"/>
        </w:rPr>
        <w:t>Організація роботи Фонду з Верховною Радою України полягає в конструктивній співпраці з комітетами Верховної Ради України, депутатськими фракціями, окремими народними депутатами України з метою якісної підготовки законодавчих актів з питань, що належать до компетенції Фонду, прискорення їх розгляду та прийняття парламентом.</w:t>
      </w:r>
    </w:p>
    <w:p w:rsidR="00245F99" w:rsidRPr="00242020" w:rsidRDefault="00245F99" w:rsidP="00245F99">
      <w:pPr>
        <w:jc w:val="both"/>
        <w:rPr>
          <w:rFonts w:eastAsia="Calibri" w:cs="Times New Roman"/>
          <w:szCs w:val="28"/>
        </w:rPr>
      </w:pPr>
      <w:r w:rsidRPr="00242020">
        <w:rPr>
          <w:rFonts w:eastAsia="Calibri" w:cs="Times New Roman"/>
          <w:szCs w:val="28"/>
        </w:rPr>
        <w:t>Фондом постійно забезпечується супроводження розгляду в депутатських фракціях (групах), у комітетах Верховної Ради України та на її пленарних засіданнях законопроектів, розробником яких є Фонд, а також інших законопроектів, які належать до його компетенції. Напередодні кожного пленарного тижня здійснюється аналіз таких законопроектів та вживаються заходи щодо забезпечення врахування позиції Фонду під час їх розгляду у парламенті.</w:t>
      </w:r>
    </w:p>
    <w:p w:rsidR="00245F99" w:rsidRPr="00242020" w:rsidRDefault="00245F99" w:rsidP="00245F99">
      <w:pPr>
        <w:jc w:val="both"/>
        <w:rPr>
          <w:rStyle w:val="ab"/>
          <w:rFonts w:eastAsia="Calibri" w:cs="Times New Roman"/>
          <w:b w:val="0"/>
        </w:rPr>
      </w:pPr>
      <w:r w:rsidRPr="00242020">
        <w:rPr>
          <w:rStyle w:val="ab"/>
          <w:rFonts w:eastAsia="Calibri" w:cs="Times New Roman"/>
          <w:b w:val="0"/>
        </w:rPr>
        <w:t xml:space="preserve">Протягом 2016 року керівництво Фонду взяло участь в 11 пленарних засіданнях Верховної Ради України та 22 засіданнях комітетів Верховної Ради України, на яких було розглянуто 21 законопроект з питань, що належать до компетенції Фонду. </w:t>
      </w:r>
    </w:p>
    <w:p w:rsidR="00245F99" w:rsidRPr="00242020" w:rsidRDefault="00245F99" w:rsidP="00245F99">
      <w:pPr>
        <w:jc w:val="both"/>
        <w:rPr>
          <w:rFonts w:eastAsia="Calibri" w:cs="Times New Roman"/>
          <w:szCs w:val="28"/>
        </w:rPr>
      </w:pPr>
      <w:r w:rsidRPr="00242020">
        <w:rPr>
          <w:rFonts w:eastAsia="Calibri" w:cs="Times New Roman"/>
          <w:szCs w:val="28"/>
        </w:rPr>
        <w:t xml:space="preserve">На пленарних засіданнях Верховної Ради України було розглянуто законопроекти, які стосуються сфери діяльності Фонду, з яких </w:t>
      </w:r>
      <w:r w:rsidRPr="00242020">
        <w:rPr>
          <w:rFonts w:eastAsia="Calibri" w:cs="Times New Roman"/>
          <w:b/>
          <w:szCs w:val="28"/>
        </w:rPr>
        <w:t>прийнято</w:t>
      </w:r>
      <w:r w:rsidRPr="00242020">
        <w:rPr>
          <w:rFonts w:eastAsia="Calibri" w:cs="Times New Roman"/>
          <w:szCs w:val="28"/>
        </w:rPr>
        <w:t xml:space="preserve"> підготовлений Фондом та доопрацьований Комітетом Верховної Ради України з питань економічної політики Закон України від 16 лютого 2016 року № 1005-VIII «Про внесення змін до деяких законів України щодо вдосконалення процесу приватизації». </w:t>
      </w:r>
    </w:p>
    <w:p w:rsidR="00245F99" w:rsidRPr="00242020" w:rsidRDefault="00245F99" w:rsidP="00245F99">
      <w:pPr>
        <w:jc w:val="both"/>
        <w:rPr>
          <w:rFonts w:eastAsia="Calibri" w:cs="Times New Roman"/>
          <w:szCs w:val="28"/>
        </w:rPr>
      </w:pPr>
      <w:r w:rsidRPr="00242020">
        <w:rPr>
          <w:rFonts w:eastAsia="Calibri" w:cs="Times New Roman"/>
          <w:szCs w:val="28"/>
        </w:rPr>
        <w:t xml:space="preserve">У звітному періоді керівництво Фонду взяло участь у </w:t>
      </w:r>
      <w:r w:rsidRPr="00242020">
        <w:rPr>
          <w:rFonts w:eastAsia="Calibri" w:cs="Times New Roman"/>
          <w:b/>
          <w:szCs w:val="28"/>
        </w:rPr>
        <w:t>12</w:t>
      </w:r>
      <w:r w:rsidRPr="00242020">
        <w:rPr>
          <w:rFonts w:eastAsia="Calibri" w:cs="Times New Roman"/>
          <w:szCs w:val="28"/>
        </w:rPr>
        <w:t xml:space="preserve"> </w:t>
      </w:r>
      <w:r w:rsidRPr="00242020">
        <w:rPr>
          <w:rFonts w:eastAsia="Calibri" w:cs="Times New Roman"/>
        </w:rPr>
        <w:t xml:space="preserve">засіданнях Спеціальної контрольної комісії Верховної Ради України з питань приватизації (у тому числі одному виїзному засіданні), на яких було </w:t>
      </w:r>
      <w:r w:rsidRPr="00242020">
        <w:rPr>
          <w:rFonts w:eastAsia="Calibri" w:cs="Times New Roman"/>
          <w:szCs w:val="28"/>
        </w:rPr>
        <w:t>розглянуто питання щодо:</w:t>
      </w:r>
    </w:p>
    <w:p w:rsidR="00245F99" w:rsidRPr="00242020" w:rsidRDefault="00245F99" w:rsidP="00245F99">
      <w:pPr>
        <w:pStyle w:val="af0"/>
        <w:numPr>
          <w:ilvl w:val="0"/>
          <w:numId w:val="28"/>
        </w:numPr>
        <w:tabs>
          <w:tab w:val="left" w:pos="1080"/>
          <w:tab w:val="num" w:pos="1260"/>
        </w:tabs>
        <w:autoSpaceDE/>
        <w:autoSpaceDN/>
        <w:adjustRightInd/>
        <w:spacing w:after="0"/>
        <w:ind w:left="0" w:firstLine="720"/>
        <w:jc w:val="both"/>
        <w:rPr>
          <w:szCs w:val="28"/>
          <w:lang w:val="uk-UA"/>
        </w:rPr>
      </w:pPr>
      <w:r w:rsidRPr="00242020">
        <w:rPr>
          <w:szCs w:val="28"/>
          <w:lang w:val="uk-UA"/>
        </w:rPr>
        <w:t xml:space="preserve">вжиття заходів з повернення у державну власність майна радянської загальносоюзної організації </w:t>
      </w:r>
      <w:proofErr w:type="spellStart"/>
      <w:r w:rsidRPr="00242020">
        <w:rPr>
          <w:szCs w:val="28"/>
          <w:lang w:val="uk-UA"/>
        </w:rPr>
        <w:t>ДТСААФ</w:t>
      </w:r>
      <w:proofErr w:type="spellEnd"/>
      <w:r w:rsidRPr="00242020">
        <w:rPr>
          <w:szCs w:val="28"/>
          <w:lang w:val="uk-UA"/>
        </w:rPr>
        <w:t xml:space="preserve"> та Міністерства оборони СРСР, переданого навчальним організаціям </w:t>
      </w:r>
      <w:proofErr w:type="spellStart"/>
      <w:r w:rsidRPr="00242020">
        <w:rPr>
          <w:szCs w:val="28"/>
          <w:lang w:val="uk-UA"/>
        </w:rPr>
        <w:t>ДТСААФ</w:t>
      </w:r>
      <w:proofErr w:type="spellEnd"/>
      <w:r w:rsidRPr="00242020">
        <w:rPr>
          <w:szCs w:val="28"/>
          <w:lang w:val="uk-UA"/>
        </w:rPr>
        <w:t>, на території України</w:t>
      </w:r>
      <w:r w:rsidRPr="00242020">
        <w:rPr>
          <w:lang w:val="uk-UA"/>
        </w:rPr>
        <w:t>;</w:t>
      </w:r>
    </w:p>
    <w:p w:rsidR="00245F99" w:rsidRPr="00242020" w:rsidRDefault="00245F99" w:rsidP="00245F99">
      <w:pPr>
        <w:pStyle w:val="af0"/>
        <w:numPr>
          <w:ilvl w:val="0"/>
          <w:numId w:val="28"/>
        </w:numPr>
        <w:tabs>
          <w:tab w:val="left" w:pos="1080"/>
          <w:tab w:val="num" w:pos="1260"/>
        </w:tabs>
        <w:autoSpaceDE/>
        <w:autoSpaceDN/>
        <w:adjustRightInd/>
        <w:spacing w:after="0"/>
        <w:ind w:left="0" w:firstLine="720"/>
        <w:jc w:val="both"/>
        <w:rPr>
          <w:szCs w:val="28"/>
          <w:lang w:val="uk-UA"/>
        </w:rPr>
      </w:pPr>
      <w:r w:rsidRPr="00242020">
        <w:rPr>
          <w:szCs w:val="28"/>
          <w:lang w:val="uk-UA"/>
        </w:rPr>
        <w:t>виконання умов договору купівлі-продажу пакета акцій ПАТ «</w:t>
      </w:r>
      <w:proofErr w:type="spellStart"/>
      <w:r w:rsidRPr="00242020">
        <w:rPr>
          <w:szCs w:val="28"/>
          <w:lang w:val="uk-UA"/>
        </w:rPr>
        <w:t>Укртелеком</w:t>
      </w:r>
      <w:proofErr w:type="spellEnd"/>
      <w:r w:rsidRPr="00242020">
        <w:rPr>
          <w:szCs w:val="28"/>
          <w:lang w:val="uk-UA"/>
        </w:rPr>
        <w:t>», у тому числі щодо створення та передачі у державну власність телекомунікаційної мережі спеціального призначення;</w:t>
      </w:r>
    </w:p>
    <w:p w:rsidR="00245F99" w:rsidRPr="00242020" w:rsidRDefault="00245F99" w:rsidP="00245F99">
      <w:pPr>
        <w:pStyle w:val="af0"/>
        <w:numPr>
          <w:ilvl w:val="0"/>
          <w:numId w:val="28"/>
        </w:numPr>
        <w:tabs>
          <w:tab w:val="left" w:pos="1080"/>
          <w:tab w:val="num" w:pos="1260"/>
        </w:tabs>
        <w:autoSpaceDE/>
        <w:autoSpaceDN/>
        <w:adjustRightInd/>
        <w:spacing w:after="0"/>
        <w:ind w:left="0" w:firstLine="720"/>
        <w:jc w:val="both"/>
        <w:rPr>
          <w:lang w:val="uk-UA"/>
        </w:rPr>
      </w:pPr>
      <w:r w:rsidRPr="00242020">
        <w:rPr>
          <w:szCs w:val="28"/>
          <w:lang w:val="uk-UA"/>
        </w:rPr>
        <w:t xml:space="preserve">схвалення рекомендацій «круглого столу» на тему «Перспективи та особливості приватизації </w:t>
      </w:r>
      <w:proofErr w:type="spellStart"/>
      <w:r w:rsidRPr="00242020">
        <w:rPr>
          <w:szCs w:val="28"/>
          <w:lang w:val="uk-UA"/>
        </w:rPr>
        <w:t>ДП</w:t>
      </w:r>
      <w:proofErr w:type="spellEnd"/>
      <w:r w:rsidRPr="00242020">
        <w:rPr>
          <w:szCs w:val="28"/>
          <w:lang w:val="uk-UA"/>
        </w:rPr>
        <w:t xml:space="preserve"> «Укрспирт», який відбувся 18.02.2016;</w:t>
      </w:r>
    </w:p>
    <w:p w:rsidR="00245F99" w:rsidRPr="00242020" w:rsidRDefault="00245F99" w:rsidP="00245F99">
      <w:pPr>
        <w:pStyle w:val="af0"/>
        <w:numPr>
          <w:ilvl w:val="0"/>
          <w:numId w:val="28"/>
        </w:numPr>
        <w:tabs>
          <w:tab w:val="left" w:pos="1080"/>
          <w:tab w:val="num" w:pos="1260"/>
        </w:tabs>
        <w:autoSpaceDE/>
        <w:autoSpaceDN/>
        <w:adjustRightInd/>
        <w:spacing w:after="0"/>
        <w:ind w:left="0" w:firstLine="720"/>
        <w:jc w:val="both"/>
        <w:rPr>
          <w:lang w:val="uk-UA"/>
        </w:rPr>
      </w:pPr>
      <w:r w:rsidRPr="00242020">
        <w:rPr>
          <w:szCs w:val="28"/>
          <w:lang w:val="uk-UA"/>
        </w:rPr>
        <w:t xml:space="preserve">дотримання законодавства під час підготовки до приватизації </w:t>
      </w:r>
      <w:proofErr w:type="spellStart"/>
      <w:r w:rsidRPr="00242020">
        <w:rPr>
          <w:szCs w:val="28"/>
          <w:lang w:val="uk-UA"/>
        </w:rPr>
        <w:t>ДП</w:t>
      </w:r>
      <w:proofErr w:type="spellEnd"/>
      <w:r w:rsidRPr="00242020">
        <w:rPr>
          <w:szCs w:val="28"/>
          <w:lang w:val="uk-UA"/>
        </w:rPr>
        <w:t> «</w:t>
      </w:r>
      <w:proofErr w:type="spellStart"/>
      <w:r w:rsidRPr="00242020">
        <w:rPr>
          <w:szCs w:val="28"/>
          <w:lang w:val="uk-UA"/>
        </w:rPr>
        <w:t>Київпассервіс</w:t>
      </w:r>
      <w:proofErr w:type="spellEnd"/>
      <w:r w:rsidRPr="00242020">
        <w:rPr>
          <w:szCs w:val="28"/>
          <w:lang w:val="uk-UA"/>
        </w:rPr>
        <w:t>»;</w:t>
      </w:r>
    </w:p>
    <w:p w:rsidR="00245F99" w:rsidRPr="00242020" w:rsidRDefault="00245F99" w:rsidP="00245F99">
      <w:pPr>
        <w:pStyle w:val="af0"/>
        <w:numPr>
          <w:ilvl w:val="0"/>
          <w:numId w:val="28"/>
        </w:numPr>
        <w:tabs>
          <w:tab w:val="left" w:pos="1080"/>
          <w:tab w:val="num" w:pos="1260"/>
        </w:tabs>
        <w:autoSpaceDE/>
        <w:autoSpaceDN/>
        <w:adjustRightInd/>
        <w:spacing w:after="0"/>
        <w:ind w:left="0" w:firstLine="720"/>
        <w:jc w:val="both"/>
        <w:rPr>
          <w:lang w:val="uk-UA"/>
        </w:rPr>
      </w:pPr>
      <w:r w:rsidRPr="00242020">
        <w:rPr>
          <w:szCs w:val="28"/>
          <w:lang w:val="uk-UA"/>
        </w:rPr>
        <w:t>приватизації орендного підприємства – санаторію «Червона калина»;</w:t>
      </w:r>
    </w:p>
    <w:p w:rsidR="00245F99" w:rsidRPr="00242020" w:rsidRDefault="00245F99" w:rsidP="00245F99">
      <w:pPr>
        <w:pStyle w:val="af0"/>
        <w:numPr>
          <w:ilvl w:val="0"/>
          <w:numId w:val="28"/>
        </w:numPr>
        <w:tabs>
          <w:tab w:val="left" w:pos="1080"/>
          <w:tab w:val="num" w:pos="1260"/>
        </w:tabs>
        <w:autoSpaceDE/>
        <w:autoSpaceDN/>
        <w:adjustRightInd/>
        <w:spacing w:after="0"/>
        <w:ind w:left="0" w:firstLine="720"/>
        <w:jc w:val="both"/>
        <w:rPr>
          <w:lang w:val="uk-UA"/>
        </w:rPr>
      </w:pPr>
      <w:r w:rsidRPr="00242020">
        <w:rPr>
          <w:szCs w:val="28"/>
          <w:lang w:val="uk-UA"/>
        </w:rPr>
        <w:t>внесення змін до Порядку списання об’єктів державної власності в частині погодження списання таких об’єктів;</w:t>
      </w:r>
    </w:p>
    <w:p w:rsidR="00245F99" w:rsidRPr="00242020" w:rsidRDefault="00245F99" w:rsidP="00245F99">
      <w:pPr>
        <w:pStyle w:val="af0"/>
        <w:numPr>
          <w:ilvl w:val="0"/>
          <w:numId w:val="28"/>
        </w:numPr>
        <w:tabs>
          <w:tab w:val="left" w:pos="1080"/>
          <w:tab w:val="num" w:pos="1260"/>
        </w:tabs>
        <w:autoSpaceDE/>
        <w:autoSpaceDN/>
        <w:adjustRightInd/>
        <w:spacing w:after="0"/>
        <w:ind w:left="0" w:firstLine="720"/>
        <w:jc w:val="both"/>
        <w:rPr>
          <w:lang w:val="uk-UA"/>
        </w:rPr>
      </w:pPr>
      <w:r w:rsidRPr="00242020">
        <w:rPr>
          <w:szCs w:val="28"/>
          <w:lang w:val="uk-UA"/>
        </w:rPr>
        <w:t xml:space="preserve">стану справ стосовно повернення нерухомого майна </w:t>
      </w:r>
      <w:proofErr w:type="spellStart"/>
      <w:r w:rsidRPr="00242020">
        <w:rPr>
          <w:szCs w:val="28"/>
          <w:lang w:val="uk-UA"/>
        </w:rPr>
        <w:t>ДП</w:t>
      </w:r>
      <w:proofErr w:type="spellEnd"/>
      <w:r w:rsidRPr="00242020">
        <w:rPr>
          <w:szCs w:val="28"/>
          <w:lang w:val="uk-UA"/>
        </w:rPr>
        <w:t> «</w:t>
      </w:r>
      <w:proofErr w:type="spellStart"/>
      <w:r w:rsidRPr="00242020">
        <w:rPr>
          <w:szCs w:val="28"/>
          <w:lang w:val="uk-UA"/>
        </w:rPr>
        <w:t>Радіопередавальний</w:t>
      </w:r>
      <w:proofErr w:type="spellEnd"/>
      <w:r w:rsidRPr="00242020">
        <w:rPr>
          <w:szCs w:val="28"/>
          <w:lang w:val="uk-UA"/>
        </w:rPr>
        <w:t xml:space="preserve"> центр» у державну власність (м. Бровари);</w:t>
      </w:r>
    </w:p>
    <w:p w:rsidR="00245F99" w:rsidRPr="00242020" w:rsidRDefault="00245F99" w:rsidP="00245F99">
      <w:pPr>
        <w:pStyle w:val="af0"/>
        <w:numPr>
          <w:ilvl w:val="0"/>
          <w:numId w:val="28"/>
        </w:numPr>
        <w:tabs>
          <w:tab w:val="left" w:pos="1080"/>
          <w:tab w:val="num" w:pos="1260"/>
        </w:tabs>
        <w:autoSpaceDE/>
        <w:autoSpaceDN/>
        <w:adjustRightInd/>
        <w:spacing w:after="0"/>
        <w:ind w:left="0" w:firstLine="720"/>
        <w:jc w:val="both"/>
        <w:rPr>
          <w:lang w:val="uk-UA"/>
        </w:rPr>
      </w:pPr>
      <w:r w:rsidRPr="00242020">
        <w:rPr>
          <w:lang w:val="uk-UA"/>
        </w:rPr>
        <w:t>конкурсу з приватизації ПАТ «Одеський припортовий завод»;</w:t>
      </w:r>
    </w:p>
    <w:p w:rsidR="00245F99" w:rsidRPr="00242020" w:rsidRDefault="00245F99" w:rsidP="00245F99">
      <w:pPr>
        <w:pStyle w:val="af0"/>
        <w:numPr>
          <w:ilvl w:val="0"/>
          <w:numId w:val="28"/>
        </w:numPr>
        <w:tabs>
          <w:tab w:val="left" w:pos="1080"/>
          <w:tab w:val="num" w:pos="1260"/>
        </w:tabs>
        <w:autoSpaceDE/>
        <w:autoSpaceDN/>
        <w:adjustRightInd/>
        <w:spacing w:after="0"/>
        <w:ind w:left="0" w:firstLine="720"/>
        <w:jc w:val="both"/>
        <w:rPr>
          <w:lang w:val="uk-UA"/>
        </w:rPr>
      </w:pPr>
      <w:r w:rsidRPr="00242020">
        <w:rPr>
          <w:lang w:val="uk-UA"/>
        </w:rPr>
        <w:lastRenderedPageBreak/>
        <w:t>Звіту про роботу Фонду державного майна України, хід та результати виконання Державної програми приватизації у 2015 році;</w:t>
      </w:r>
    </w:p>
    <w:p w:rsidR="00245F99" w:rsidRPr="00242020" w:rsidRDefault="00245F99" w:rsidP="00245F99">
      <w:pPr>
        <w:pStyle w:val="af0"/>
        <w:numPr>
          <w:ilvl w:val="0"/>
          <w:numId w:val="28"/>
        </w:numPr>
        <w:tabs>
          <w:tab w:val="left" w:pos="1080"/>
          <w:tab w:val="num" w:pos="1260"/>
        </w:tabs>
        <w:autoSpaceDE/>
        <w:autoSpaceDN/>
        <w:adjustRightInd/>
        <w:spacing w:after="0"/>
        <w:ind w:left="0" w:firstLine="720"/>
        <w:jc w:val="both"/>
        <w:rPr>
          <w:lang w:val="uk-UA"/>
        </w:rPr>
      </w:pPr>
      <w:r w:rsidRPr="00242020">
        <w:rPr>
          <w:lang w:val="uk-UA"/>
        </w:rPr>
        <w:t xml:space="preserve">дотримання законності при ініціюванні приватизації </w:t>
      </w:r>
      <w:proofErr w:type="spellStart"/>
      <w:r w:rsidRPr="00242020">
        <w:rPr>
          <w:szCs w:val="28"/>
          <w:lang w:val="uk-UA"/>
        </w:rPr>
        <w:t>ДП</w:t>
      </w:r>
      <w:proofErr w:type="spellEnd"/>
      <w:r w:rsidRPr="00242020">
        <w:rPr>
          <w:szCs w:val="28"/>
          <w:lang w:val="uk-UA"/>
        </w:rPr>
        <w:t xml:space="preserve"> </w:t>
      </w:r>
      <w:r w:rsidRPr="00242020">
        <w:rPr>
          <w:lang w:val="uk-UA"/>
        </w:rPr>
        <w:t>«Конярство України»;</w:t>
      </w:r>
    </w:p>
    <w:p w:rsidR="00245F99" w:rsidRPr="00242020" w:rsidRDefault="00245F99" w:rsidP="00245F99">
      <w:pPr>
        <w:widowControl/>
        <w:numPr>
          <w:ilvl w:val="0"/>
          <w:numId w:val="28"/>
        </w:numPr>
        <w:ind w:left="0" w:firstLine="720"/>
        <w:jc w:val="both"/>
        <w:rPr>
          <w:rFonts w:eastAsia="Calibri" w:cs="Times New Roman"/>
          <w:szCs w:val="28"/>
        </w:rPr>
      </w:pPr>
      <w:r w:rsidRPr="00242020">
        <w:rPr>
          <w:rFonts w:eastAsia="Calibri" w:cs="Times New Roman"/>
          <w:szCs w:val="28"/>
        </w:rPr>
        <w:t>затвердження рекомендацій слухань від 21 вересня 2016 року «Про ситуацію з приватизацією Одеського припортового заводу»;</w:t>
      </w:r>
    </w:p>
    <w:p w:rsidR="00245F99" w:rsidRPr="00242020" w:rsidRDefault="00245F99" w:rsidP="00245F99">
      <w:pPr>
        <w:pStyle w:val="af0"/>
        <w:numPr>
          <w:ilvl w:val="0"/>
          <w:numId w:val="28"/>
        </w:numPr>
        <w:tabs>
          <w:tab w:val="left" w:pos="1080"/>
          <w:tab w:val="num" w:pos="1260"/>
        </w:tabs>
        <w:autoSpaceDE/>
        <w:autoSpaceDN/>
        <w:adjustRightInd/>
        <w:spacing w:after="0"/>
        <w:ind w:left="0" w:firstLine="720"/>
        <w:jc w:val="both"/>
        <w:rPr>
          <w:lang w:val="uk-UA"/>
        </w:rPr>
      </w:pPr>
      <w:r w:rsidRPr="00242020">
        <w:rPr>
          <w:szCs w:val="28"/>
          <w:lang w:val="uk-UA"/>
        </w:rPr>
        <w:t xml:space="preserve">управління державною часткою майна у статутному капіталі ТОВ «Запорізький </w:t>
      </w:r>
      <w:proofErr w:type="spellStart"/>
      <w:r w:rsidRPr="00242020">
        <w:rPr>
          <w:szCs w:val="28"/>
          <w:lang w:val="uk-UA"/>
        </w:rPr>
        <w:t>титано-магнієвий</w:t>
      </w:r>
      <w:proofErr w:type="spellEnd"/>
      <w:r w:rsidRPr="00242020">
        <w:rPr>
          <w:szCs w:val="28"/>
          <w:lang w:val="uk-UA"/>
        </w:rPr>
        <w:t xml:space="preserve"> комбінат» та стану підготовки до її приватизації;</w:t>
      </w:r>
    </w:p>
    <w:p w:rsidR="00245F99" w:rsidRPr="00242020" w:rsidRDefault="00245F99" w:rsidP="00245F99">
      <w:pPr>
        <w:widowControl/>
        <w:numPr>
          <w:ilvl w:val="0"/>
          <w:numId w:val="28"/>
        </w:numPr>
        <w:ind w:left="0" w:firstLine="720"/>
        <w:jc w:val="both"/>
        <w:rPr>
          <w:rFonts w:eastAsia="Calibri" w:cs="Times New Roman"/>
          <w:szCs w:val="28"/>
        </w:rPr>
      </w:pPr>
      <w:r w:rsidRPr="00242020">
        <w:rPr>
          <w:rFonts w:eastAsia="Calibri" w:cs="Times New Roman"/>
        </w:rPr>
        <w:t>інформації Фонду державного майна України та Міністерства аграрної політики та продовольства України про стан підготовки до приватизації публічних акціонерних товариств «Аграрний фонд» та «Державна продовольчо-зернова корпорація України».</w:t>
      </w:r>
    </w:p>
    <w:p w:rsidR="00245F99" w:rsidRPr="00242020" w:rsidRDefault="00245F99" w:rsidP="00245F99">
      <w:pPr>
        <w:rPr>
          <w:rFonts w:eastAsia="Calibri" w:cs="Times New Roman"/>
          <w:szCs w:val="28"/>
        </w:rPr>
      </w:pPr>
      <w:r w:rsidRPr="00242020">
        <w:rPr>
          <w:rFonts w:eastAsia="Calibri" w:cs="Times New Roman"/>
          <w:szCs w:val="28"/>
        </w:rPr>
        <w:t xml:space="preserve">У звітному періоді керівництво та фахівці Фонду взяли участь у роботі </w:t>
      </w:r>
      <w:r w:rsidRPr="00242020">
        <w:rPr>
          <w:rFonts w:eastAsia="Calibri" w:cs="Times New Roman"/>
          <w:b/>
          <w:szCs w:val="28"/>
        </w:rPr>
        <w:t>«круглих столів»</w:t>
      </w:r>
      <w:r w:rsidRPr="00242020">
        <w:rPr>
          <w:rFonts w:eastAsia="Calibri" w:cs="Times New Roman"/>
          <w:szCs w:val="28"/>
        </w:rPr>
        <w:t xml:space="preserve"> на теми: </w:t>
      </w:r>
    </w:p>
    <w:p w:rsidR="00245F99" w:rsidRPr="00242020" w:rsidRDefault="00245F99" w:rsidP="00245F99">
      <w:pPr>
        <w:numPr>
          <w:ilvl w:val="3"/>
          <w:numId w:val="28"/>
        </w:numPr>
        <w:tabs>
          <w:tab w:val="left" w:pos="1080"/>
        </w:tabs>
        <w:ind w:left="0" w:firstLine="720"/>
        <w:jc w:val="both"/>
        <w:rPr>
          <w:rFonts w:eastAsia="Calibri" w:cs="Times New Roman"/>
          <w:szCs w:val="28"/>
        </w:rPr>
      </w:pPr>
      <w:r w:rsidRPr="00242020">
        <w:rPr>
          <w:rFonts w:eastAsia="Calibri" w:cs="Times New Roman"/>
          <w:szCs w:val="28"/>
        </w:rPr>
        <w:t>«Щодо умов передачі газорозподільних систем, що перебувають у державній власності, у користування операторам газорозподільних систем», організованого Комітетом Верховної Ради України з питань паливно-енергетичного комплексу, ядерної політики та ядерної безпеки;</w:t>
      </w:r>
    </w:p>
    <w:p w:rsidR="00245F99" w:rsidRPr="00242020" w:rsidRDefault="00245F99" w:rsidP="00245F99">
      <w:pPr>
        <w:numPr>
          <w:ilvl w:val="3"/>
          <w:numId w:val="28"/>
        </w:numPr>
        <w:tabs>
          <w:tab w:val="left" w:pos="1080"/>
        </w:tabs>
        <w:ind w:left="0" w:firstLine="720"/>
        <w:jc w:val="both"/>
        <w:rPr>
          <w:rFonts w:eastAsia="Calibri" w:cs="Times New Roman"/>
          <w:color w:val="000000"/>
          <w:szCs w:val="28"/>
        </w:rPr>
      </w:pPr>
      <w:r w:rsidRPr="00242020">
        <w:rPr>
          <w:rFonts w:eastAsia="Calibri" w:cs="Times New Roman"/>
          <w:szCs w:val="28"/>
        </w:rPr>
        <w:t xml:space="preserve">«Перспективи та особливості приватизації </w:t>
      </w:r>
      <w:proofErr w:type="spellStart"/>
      <w:r w:rsidRPr="00242020">
        <w:rPr>
          <w:rFonts w:eastAsia="Calibri" w:cs="Times New Roman"/>
          <w:szCs w:val="28"/>
        </w:rPr>
        <w:t>ДП</w:t>
      </w:r>
      <w:proofErr w:type="spellEnd"/>
      <w:r w:rsidRPr="00242020">
        <w:rPr>
          <w:rFonts w:eastAsia="Calibri" w:cs="Times New Roman"/>
          <w:szCs w:val="28"/>
        </w:rPr>
        <w:t xml:space="preserve"> «Укрспирт», організованого Спеціальною контрольною комісією Верховної Ради України з питань приватизації;</w:t>
      </w:r>
    </w:p>
    <w:p w:rsidR="00245F99" w:rsidRPr="00242020" w:rsidRDefault="00245F99" w:rsidP="00245F99">
      <w:pPr>
        <w:numPr>
          <w:ilvl w:val="3"/>
          <w:numId w:val="28"/>
        </w:numPr>
        <w:tabs>
          <w:tab w:val="left" w:pos="1080"/>
        </w:tabs>
        <w:ind w:left="0" w:firstLine="720"/>
        <w:jc w:val="both"/>
        <w:rPr>
          <w:rFonts w:eastAsia="Calibri" w:cs="Times New Roman"/>
          <w:szCs w:val="28"/>
        </w:rPr>
      </w:pPr>
      <w:r w:rsidRPr="00242020">
        <w:rPr>
          <w:rFonts w:eastAsia="Calibri" w:cs="Times New Roman"/>
          <w:szCs w:val="28"/>
        </w:rPr>
        <w:t>«Реформа корпоративного управління і відокремлення функцій із транспортування та постачання природного газу НАК «</w:t>
      </w:r>
      <w:proofErr w:type="spellStart"/>
      <w:r w:rsidRPr="00242020">
        <w:rPr>
          <w:rFonts w:eastAsia="Calibri" w:cs="Times New Roman"/>
          <w:szCs w:val="28"/>
        </w:rPr>
        <w:t>Нафтогаз</w:t>
      </w:r>
      <w:proofErr w:type="spellEnd"/>
      <w:r w:rsidRPr="00242020">
        <w:rPr>
          <w:rFonts w:eastAsia="Calibri" w:cs="Times New Roman"/>
          <w:szCs w:val="28"/>
        </w:rPr>
        <w:t xml:space="preserve"> України», організованого Комітетом Верховної Ради України з питань паливно-енергетичного комплексу, ядерної політики та ядерної безпеки;</w:t>
      </w:r>
    </w:p>
    <w:p w:rsidR="00245F99" w:rsidRPr="00242020" w:rsidRDefault="00245F99" w:rsidP="00245F99">
      <w:pPr>
        <w:numPr>
          <w:ilvl w:val="3"/>
          <w:numId w:val="28"/>
        </w:numPr>
        <w:tabs>
          <w:tab w:val="left" w:pos="1080"/>
        </w:tabs>
        <w:ind w:left="0" w:firstLine="720"/>
        <w:jc w:val="both"/>
        <w:rPr>
          <w:rFonts w:eastAsia="Calibri" w:cs="Times New Roman"/>
          <w:szCs w:val="28"/>
        </w:rPr>
      </w:pPr>
      <w:r w:rsidRPr="00242020">
        <w:rPr>
          <w:rFonts w:eastAsia="Calibri" w:cs="Times New Roman"/>
          <w:szCs w:val="28"/>
        </w:rPr>
        <w:t>обговорення проекту Закону України «Про залізничний транспорт» (реєстр. №</w:t>
      </w:r>
      <w:r w:rsidR="00DE193C" w:rsidRPr="00242020">
        <w:rPr>
          <w:szCs w:val="28"/>
        </w:rPr>
        <w:t> </w:t>
      </w:r>
      <w:r w:rsidRPr="00242020">
        <w:rPr>
          <w:rFonts w:eastAsia="Calibri" w:cs="Times New Roman"/>
          <w:szCs w:val="28"/>
        </w:rPr>
        <w:t>3650 від 14.12.2015, внесеного Кабінетом Міністрів України), організованого Комітетом Верховної Ради України з питань транспорту;</w:t>
      </w:r>
    </w:p>
    <w:p w:rsidR="00245F99" w:rsidRPr="00242020" w:rsidRDefault="00245F99" w:rsidP="00245F99">
      <w:pPr>
        <w:numPr>
          <w:ilvl w:val="3"/>
          <w:numId w:val="28"/>
        </w:numPr>
        <w:tabs>
          <w:tab w:val="left" w:pos="1080"/>
        </w:tabs>
        <w:ind w:left="0" w:firstLine="720"/>
        <w:jc w:val="both"/>
        <w:rPr>
          <w:rFonts w:eastAsia="Calibri" w:cs="Times New Roman"/>
          <w:szCs w:val="28"/>
        </w:rPr>
      </w:pPr>
      <w:r w:rsidRPr="00242020">
        <w:rPr>
          <w:rFonts w:eastAsia="Calibri" w:cs="Times New Roman"/>
          <w:szCs w:val="28"/>
        </w:rPr>
        <w:t xml:space="preserve">«Приватизація державних </w:t>
      </w:r>
      <w:proofErr w:type="spellStart"/>
      <w:r w:rsidRPr="00242020">
        <w:rPr>
          <w:rFonts w:eastAsia="Calibri" w:cs="Times New Roman"/>
          <w:szCs w:val="28"/>
        </w:rPr>
        <w:t>стивідорних</w:t>
      </w:r>
      <w:proofErr w:type="spellEnd"/>
      <w:r w:rsidRPr="00242020">
        <w:rPr>
          <w:rFonts w:eastAsia="Calibri" w:cs="Times New Roman"/>
          <w:szCs w:val="28"/>
        </w:rPr>
        <w:t xml:space="preserve"> компаній. Шляхи залучення міжнародних та українських інвесторів в портову інфраструктуру»,</w:t>
      </w:r>
      <w:r w:rsidRPr="00242020">
        <w:rPr>
          <w:rFonts w:eastAsia="Calibri" w:cs="Times New Roman"/>
          <w:bCs/>
          <w:kern w:val="36"/>
          <w:szCs w:val="28"/>
        </w:rPr>
        <w:t xml:space="preserve"> </w:t>
      </w:r>
      <w:r w:rsidRPr="006129B8">
        <w:rPr>
          <w:rFonts w:eastAsia="Calibri" w:cs="Times New Roman"/>
          <w:bCs/>
          <w:kern w:val="36"/>
          <w:szCs w:val="28"/>
        </w:rPr>
        <w:t xml:space="preserve">організованого </w:t>
      </w:r>
      <w:proofErr w:type="spellStart"/>
      <w:r w:rsidRPr="006129B8">
        <w:rPr>
          <w:rFonts w:eastAsia="Calibri" w:cs="Times New Roman"/>
          <w:bCs/>
          <w:kern w:val="36"/>
          <w:szCs w:val="28"/>
        </w:rPr>
        <w:t>Мінекономрозвитку</w:t>
      </w:r>
      <w:proofErr w:type="spellEnd"/>
      <w:r w:rsidRPr="00242020">
        <w:rPr>
          <w:rFonts w:eastAsia="Calibri" w:cs="Times New Roman"/>
          <w:bCs/>
          <w:kern w:val="36"/>
          <w:szCs w:val="28"/>
        </w:rPr>
        <w:t>;</w:t>
      </w:r>
    </w:p>
    <w:p w:rsidR="00245F99" w:rsidRPr="00242020" w:rsidRDefault="00245F99" w:rsidP="00245F99">
      <w:pPr>
        <w:numPr>
          <w:ilvl w:val="3"/>
          <w:numId w:val="28"/>
        </w:numPr>
        <w:tabs>
          <w:tab w:val="left" w:pos="1080"/>
        </w:tabs>
        <w:ind w:left="0" w:firstLine="720"/>
        <w:jc w:val="both"/>
        <w:rPr>
          <w:rFonts w:eastAsia="Calibri" w:cs="Times New Roman"/>
          <w:szCs w:val="28"/>
        </w:rPr>
      </w:pPr>
      <w:r w:rsidRPr="00242020">
        <w:rPr>
          <w:rFonts w:eastAsia="Calibri" w:cs="Times New Roman"/>
          <w:szCs w:val="28"/>
        </w:rPr>
        <w:t>«Приватизація підприємств нафтопереробної промисловості України: наслідки і проблеми», організованого Спеціальною контрольною комісією Верховної Ради України з питань приватизації;</w:t>
      </w:r>
    </w:p>
    <w:p w:rsidR="00245F99" w:rsidRPr="00242020" w:rsidRDefault="00245F99" w:rsidP="00245F99">
      <w:pPr>
        <w:numPr>
          <w:ilvl w:val="3"/>
          <w:numId w:val="28"/>
        </w:numPr>
        <w:tabs>
          <w:tab w:val="left" w:pos="1080"/>
        </w:tabs>
        <w:ind w:left="0" w:firstLine="720"/>
        <w:jc w:val="both"/>
        <w:rPr>
          <w:rFonts w:eastAsia="Calibri" w:cs="Times New Roman"/>
          <w:szCs w:val="28"/>
        </w:rPr>
      </w:pPr>
      <w:r w:rsidRPr="00242020">
        <w:rPr>
          <w:rFonts w:eastAsia="Calibri" w:cs="Times New Roman"/>
          <w:szCs w:val="28"/>
        </w:rPr>
        <w:t>«Основні виклики для нового ринку електричної енергії», організованого Комітетом Верховної Ради України з питань паливно-енергетичного комплексу, ядерної політики та ядерної безпеки;</w:t>
      </w:r>
    </w:p>
    <w:p w:rsidR="00245F99" w:rsidRPr="00242020" w:rsidRDefault="00245F99" w:rsidP="00245F99">
      <w:pPr>
        <w:numPr>
          <w:ilvl w:val="3"/>
          <w:numId w:val="28"/>
        </w:numPr>
        <w:tabs>
          <w:tab w:val="left" w:pos="1080"/>
        </w:tabs>
        <w:ind w:left="0" w:firstLine="720"/>
        <w:jc w:val="both"/>
        <w:rPr>
          <w:rFonts w:eastAsia="Calibri" w:cs="Times New Roman"/>
          <w:szCs w:val="28"/>
        </w:rPr>
      </w:pPr>
      <w:r w:rsidRPr="00242020">
        <w:rPr>
          <w:rFonts w:eastAsia="Calibri" w:cs="Times New Roman"/>
          <w:szCs w:val="28"/>
        </w:rPr>
        <w:t>«Передумови для приватизації: реалії та очікування», організованого Комітетом Верховної Ради України з питань паливно-енергетичного комплексу, ядерної політики та ядерної безпеки.</w:t>
      </w:r>
    </w:p>
    <w:p w:rsidR="00245F99" w:rsidRPr="00242020" w:rsidRDefault="00245F99" w:rsidP="00245F99">
      <w:pPr>
        <w:jc w:val="both"/>
        <w:rPr>
          <w:rFonts w:eastAsia="Calibri" w:cs="Times New Roman"/>
          <w:szCs w:val="28"/>
        </w:rPr>
      </w:pPr>
      <w:r w:rsidRPr="00242020">
        <w:rPr>
          <w:rFonts w:eastAsia="Calibri" w:cs="Times New Roman"/>
          <w:bCs/>
          <w:kern w:val="36"/>
          <w:szCs w:val="28"/>
        </w:rPr>
        <w:t xml:space="preserve">У звітному періоді представники Фонду взяли участь у </w:t>
      </w:r>
      <w:r w:rsidRPr="00242020">
        <w:rPr>
          <w:rFonts w:eastAsia="Calibri" w:cs="Times New Roman"/>
          <w:b/>
          <w:bCs/>
          <w:kern w:val="36"/>
          <w:szCs w:val="28"/>
        </w:rPr>
        <w:t>комітетських</w:t>
      </w:r>
      <w:r w:rsidRPr="00242020">
        <w:rPr>
          <w:rFonts w:eastAsia="Calibri" w:cs="Times New Roman"/>
          <w:bCs/>
          <w:kern w:val="36"/>
          <w:szCs w:val="28"/>
        </w:rPr>
        <w:t xml:space="preserve"> </w:t>
      </w:r>
      <w:r w:rsidRPr="00242020">
        <w:rPr>
          <w:rFonts w:eastAsia="Calibri" w:cs="Times New Roman"/>
          <w:b/>
          <w:szCs w:val="28"/>
        </w:rPr>
        <w:t xml:space="preserve">слуханнях </w:t>
      </w:r>
      <w:r w:rsidRPr="00242020">
        <w:rPr>
          <w:rFonts w:eastAsia="Calibri" w:cs="Times New Roman"/>
          <w:szCs w:val="28"/>
        </w:rPr>
        <w:t xml:space="preserve">на тему «Про ситуацію з приватизацією Одеського припортового заводу», організованих Спеціальною контрольною комісією Верховної Ради </w:t>
      </w:r>
      <w:r w:rsidRPr="00242020">
        <w:rPr>
          <w:rFonts w:eastAsia="Calibri" w:cs="Times New Roman"/>
          <w:szCs w:val="28"/>
        </w:rPr>
        <w:lastRenderedPageBreak/>
        <w:t xml:space="preserve">України з питань приватизації; «Шляхи вдосконалення процесу приватизації та залучення приватного капіталу до об’єктів паливно-енергетичного комплексу України», </w:t>
      </w:r>
      <w:r w:rsidRPr="00242020">
        <w:rPr>
          <w:rFonts w:eastAsia="Calibri" w:cs="Times New Roman"/>
          <w:color w:val="000000"/>
          <w:szCs w:val="28"/>
        </w:rPr>
        <w:t xml:space="preserve">організованих Комітетом Верховної Ради України </w:t>
      </w:r>
      <w:r w:rsidRPr="00242020">
        <w:rPr>
          <w:rFonts w:eastAsia="Calibri" w:cs="Times New Roman"/>
          <w:szCs w:val="28"/>
        </w:rPr>
        <w:t xml:space="preserve">з питань паливно-енергетичного комплексу, ядерної політики та ядерної безпеки, та у </w:t>
      </w:r>
      <w:r w:rsidRPr="00242020">
        <w:rPr>
          <w:rFonts w:eastAsia="Calibri" w:cs="Times New Roman"/>
          <w:b/>
          <w:szCs w:val="28"/>
        </w:rPr>
        <w:t>парламентських слуханнях</w:t>
      </w:r>
      <w:r w:rsidRPr="00242020">
        <w:rPr>
          <w:rFonts w:eastAsia="Calibri" w:cs="Times New Roman"/>
          <w:szCs w:val="28"/>
        </w:rPr>
        <w:t xml:space="preserve"> на тему «Реформи галузі інформаційно-комунікаційних технологій та розвиток інформаційного простору України», організованих Комітетом Верховної Ради України з питань інформатизації та зв’язку; «Про стан та проблеми фінансування освіти і науки в Україні», організованих Комітетом Верховної Ради України з питань науки і освіти; «Регулювання обігу земель сільськогосподарського призначення: пошук української моделі», організованих Комітетом Верховної Ради України з питань аграрної політики та земельних відносин.</w:t>
      </w:r>
    </w:p>
    <w:p w:rsidR="00245F99" w:rsidRPr="00242020" w:rsidRDefault="00245F99" w:rsidP="00245F99">
      <w:pPr>
        <w:rPr>
          <w:rFonts w:eastAsia="Calibri" w:cs="Times New Roman"/>
          <w:szCs w:val="28"/>
        </w:rPr>
      </w:pPr>
      <w:r w:rsidRPr="00242020">
        <w:rPr>
          <w:rFonts w:eastAsia="Calibri" w:cs="Times New Roman"/>
          <w:szCs w:val="28"/>
        </w:rPr>
        <w:t xml:space="preserve">Крім того, </w:t>
      </w:r>
      <w:r w:rsidRPr="00242020">
        <w:rPr>
          <w:rFonts w:eastAsia="Calibri" w:cs="Times New Roman"/>
          <w:bCs/>
          <w:kern w:val="36"/>
          <w:szCs w:val="28"/>
        </w:rPr>
        <w:t>представники</w:t>
      </w:r>
      <w:r w:rsidRPr="00242020">
        <w:rPr>
          <w:rFonts w:eastAsia="Calibri" w:cs="Times New Roman"/>
          <w:szCs w:val="28"/>
        </w:rPr>
        <w:t xml:space="preserve"> Фонду брали участь у </w:t>
      </w:r>
      <w:r w:rsidRPr="00242020">
        <w:rPr>
          <w:rFonts w:eastAsia="Calibri" w:cs="Times New Roman"/>
          <w:b/>
          <w:szCs w:val="28"/>
        </w:rPr>
        <w:t>робочих нарадах</w:t>
      </w:r>
      <w:r w:rsidRPr="00242020">
        <w:rPr>
          <w:rFonts w:eastAsia="Calibri" w:cs="Times New Roman"/>
          <w:szCs w:val="28"/>
        </w:rPr>
        <w:t xml:space="preserve"> на теми: </w:t>
      </w:r>
    </w:p>
    <w:p w:rsidR="00245F99" w:rsidRPr="00242020" w:rsidRDefault="00245F99" w:rsidP="00245F99">
      <w:pPr>
        <w:numPr>
          <w:ilvl w:val="3"/>
          <w:numId w:val="28"/>
        </w:numPr>
        <w:tabs>
          <w:tab w:val="left" w:pos="1080"/>
        </w:tabs>
        <w:ind w:left="0" w:firstLine="720"/>
        <w:jc w:val="both"/>
        <w:rPr>
          <w:rFonts w:eastAsia="Calibri" w:cs="Times New Roman"/>
          <w:szCs w:val="28"/>
        </w:rPr>
      </w:pPr>
      <w:r w:rsidRPr="00242020">
        <w:rPr>
          <w:rFonts w:eastAsia="Calibri" w:cs="Times New Roman"/>
          <w:szCs w:val="28"/>
        </w:rPr>
        <w:t>«Щодо особливостей розгляду законопроекту України «Про внесення змін до деяких законодавчих актів України щодо забезпечення умов функціонування ринку природного газу» (реєстр. № 3325 від 15.10.2015)», організованій Комітетом Верховної Ради України з питань паливно-енергетичного комплексу, ядерної політики та ядерної безпеки;</w:t>
      </w:r>
    </w:p>
    <w:p w:rsidR="00245F99" w:rsidRPr="00242020" w:rsidRDefault="00245F99" w:rsidP="00245F99">
      <w:pPr>
        <w:numPr>
          <w:ilvl w:val="3"/>
          <w:numId w:val="28"/>
        </w:numPr>
        <w:tabs>
          <w:tab w:val="left" w:pos="1080"/>
        </w:tabs>
        <w:ind w:left="0" w:firstLine="720"/>
        <w:jc w:val="both"/>
        <w:rPr>
          <w:rFonts w:eastAsia="Calibri" w:cs="Times New Roman"/>
          <w:szCs w:val="28"/>
        </w:rPr>
      </w:pPr>
      <w:r w:rsidRPr="00242020">
        <w:rPr>
          <w:rFonts w:eastAsia="Calibri" w:cs="Times New Roman"/>
          <w:szCs w:val="28"/>
        </w:rPr>
        <w:t xml:space="preserve">«Обговорення питань вдосконалення законотворчої роботи та взаємодії з ВРУ» під головуванням Міністра Кабінету Міністрів України Ганни </w:t>
      </w:r>
      <w:proofErr w:type="spellStart"/>
      <w:r w:rsidRPr="00242020">
        <w:rPr>
          <w:rFonts w:eastAsia="Calibri" w:cs="Times New Roman"/>
          <w:szCs w:val="28"/>
        </w:rPr>
        <w:t>Оніщенко</w:t>
      </w:r>
      <w:proofErr w:type="spellEnd"/>
      <w:r w:rsidRPr="00242020">
        <w:rPr>
          <w:rFonts w:eastAsia="Calibri" w:cs="Times New Roman"/>
          <w:szCs w:val="28"/>
        </w:rPr>
        <w:t>.</w:t>
      </w:r>
    </w:p>
    <w:p w:rsidR="00245F99" w:rsidRPr="00242020" w:rsidRDefault="00245F99" w:rsidP="00245F99">
      <w:pPr>
        <w:ind w:firstLine="708"/>
        <w:jc w:val="both"/>
        <w:rPr>
          <w:rFonts w:eastAsia="Calibri" w:cs="Times New Roman"/>
          <w:szCs w:val="28"/>
        </w:rPr>
      </w:pPr>
      <w:r w:rsidRPr="00242020">
        <w:rPr>
          <w:rFonts w:eastAsia="Calibri" w:cs="Times New Roman"/>
          <w:szCs w:val="28"/>
        </w:rPr>
        <w:t xml:space="preserve">Також протягом 2016 року Фонд забезпечив участь своїх представників у засіданнях </w:t>
      </w:r>
      <w:r w:rsidRPr="00242020">
        <w:rPr>
          <w:rFonts w:eastAsia="Calibri" w:cs="Times New Roman"/>
          <w:b/>
          <w:szCs w:val="28"/>
        </w:rPr>
        <w:t>робочих груп</w:t>
      </w:r>
      <w:r w:rsidRPr="00242020">
        <w:rPr>
          <w:rFonts w:eastAsia="Calibri" w:cs="Times New Roman"/>
          <w:szCs w:val="28"/>
        </w:rPr>
        <w:t xml:space="preserve"> на теми: </w:t>
      </w:r>
    </w:p>
    <w:p w:rsidR="00245F99" w:rsidRPr="00242020" w:rsidRDefault="00245F99" w:rsidP="00245F99">
      <w:pPr>
        <w:numPr>
          <w:ilvl w:val="3"/>
          <w:numId w:val="28"/>
        </w:numPr>
        <w:tabs>
          <w:tab w:val="left" w:pos="1080"/>
        </w:tabs>
        <w:ind w:left="0" w:firstLine="720"/>
        <w:jc w:val="both"/>
        <w:rPr>
          <w:rFonts w:eastAsia="Calibri" w:cs="Times New Roman"/>
          <w:szCs w:val="28"/>
        </w:rPr>
      </w:pPr>
      <w:r w:rsidRPr="00242020">
        <w:rPr>
          <w:rFonts w:eastAsia="Calibri" w:cs="Times New Roman"/>
          <w:szCs w:val="28"/>
        </w:rPr>
        <w:t>«Вдосконалення законодавства України у сфері меліорації земель», організованому Комітетом Верховної Ради України з питань аграрної політики та земельних відносин;</w:t>
      </w:r>
    </w:p>
    <w:p w:rsidR="00245F99" w:rsidRPr="00242020" w:rsidRDefault="00245F99" w:rsidP="00245F99">
      <w:pPr>
        <w:numPr>
          <w:ilvl w:val="3"/>
          <w:numId w:val="28"/>
        </w:numPr>
        <w:tabs>
          <w:tab w:val="left" w:pos="1080"/>
        </w:tabs>
        <w:ind w:left="0" w:firstLine="720"/>
        <w:jc w:val="both"/>
        <w:rPr>
          <w:rFonts w:eastAsia="Calibri" w:cs="Times New Roman"/>
          <w:szCs w:val="28"/>
        </w:rPr>
      </w:pPr>
      <w:r w:rsidRPr="00242020">
        <w:rPr>
          <w:rFonts w:eastAsia="Calibri" w:cs="Times New Roman"/>
          <w:szCs w:val="28"/>
        </w:rPr>
        <w:t>«Щодо приватизації державного підприємства «Таврійське» та «Про приватизацію орендного підприємства – санаторію «Червона калина», організованому Спеціальною контрольною комісією Верховної Ради України з питань приватизації;</w:t>
      </w:r>
    </w:p>
    <w:p w:rsidR="00245F99" w:rsidRPr="00242020" w:rsidRDefault="00245F99" w:rsidP="00245F99">
      <w:pPr>
        <w:numPr>
          <w:ilvl w:val="3"/>
          <w:numId w:val="28"/>
        </w:numPr>
        <w:tabs>
          <w:tab w:val="left" w:pos="1080"/>
        </w:tabs>
        <w:ind w:left="0" w:firstLine="720"/>
        <w:jc w:val="both"/>
        <w:rPr>
          <w:rFonts w:eastAsia="Calibri" w:cs="Times New Roman"/>
          <w:szCs w:val="28"/>
        </w:rPr>
      </w:pPr>
      <w:r w:rsidRPr="00242020">
        <w:rPr>
          <w:rFonts w:eastAsia="Calibri" w:cs="Times New Roman"/>
          <w:szCs w:val="28"/>
        </w:rPr>
        <w:t>«Опрацювання проекту Закону України «Про роздержавлення підприємств спиртової та лікеро-горілчаної промисловості», організованому Спеціальною контрольною комісією Верховної Ради України з питань приватизації.</w:t>
      </w:r>
    </w:p>
    <w:p w:rsidR="00245F99" w:rsidRPr="00242020" w:rsidRDefault="00245F99" w:rsidP="00245F99">
      <w:pPr>
        <w:jc w:val="both"/>
        <w:rPr>
          <w:rFonts w:eastAsia="Calibri" w:cs="Times New Roman"/>
        </w:rPr>
      </w:pPr>
      <w:r w:rsidRPr="00242020">
        <w:rPr>
          <w:rFonts w:eastAsia="Calibri" w:cs="Times New Roman"/>
          <w:szCs w:val="28"/>
        </w:rPr>
        <w:t>Протягом звітного періоду здійснювався постійний моніторинг розгляду законопроектів з питань компетенції Фонду у Верховній Раді України. Станом на 31 грудня 2016 року до зазначеного моніторингу включено 59 проектів законодавчих актів.</w:t>
      </w:r>
    </w:p>
    <w:p w:rsidR="00D226C3" w:rsidRPr="00242020" w:rsidRDefault="00D226C3"/>
    <w:p w:rsidR="00D226C3" w:rsidRPr="00242020" w:rsidRDefault="00D226C3"/>
    <w:p w:rsidR="00E427AD" w:rsidRPr="00242020" w:rsidRDefault="00E427AD">
      <w:pPr>
        <w:sectPr w:rsidR="00E427AD" w:rsidRPr="00242020" w:rsidSect="00BE4231">
          <w:pgSz w:w="11906" w:h="16838"/>
          <w:pgMar w:top="1134" w:right="851" w:bottom="1134" w:left="1418" w:header="709" w:footer="709" w:gutter="0"/>
          <w:cols w:space="708"/>
          <w:docGrid w:linePitch="381"/>
        </w:sectPr>
      </w:pPr>
    </w:p>
    <w:p w:rsidR="00E427AD" w:rsidRPr="00242020" w:rsidRDefault="00E427AD" w:rsidP="00E427AD">
      <w:pPr>
        <w:pStyle w:val="1"/>
      </w:pPr>
      <w:r w:rsidRPr="00242020">
        <w:lastRenderedPageBreak/>
        <w:t>9. Інформаційно-комунікаційне забезпечення діяльності Фонду</w:t>
      </w:r>
    </w:p>
    <w:p w:rsidR="004252F1" w:rsidRPr="00242020" w:rsidRDefault="004252F1" w:rsidP="004252F1">
      <w:pPr>
        <w:ind w:firstLine="720"/>
        <w:jc w:val="both"/>
        <w:rPr>
          <w:sz w:val="12"/>
          <w:szCs w:val="12"/>
        </w:rPr>
      </w:pPr>
    </w:p>
    <w:p w:rsidR="00E427AD" w:rsidRPr="00242020" w:rsidRDefault="00E427AD" w:rsidP="00E427AD">
      <w:pPr>
        <w:pStyle w:val="2"/>
      </w:pPr>
      <w:r w:rsidRPr="00242020">
        <w:t>9.1. Висвітлення діяльності Фонду в засобах масової інформації та робота із зверненнями громадян</w:t>
      </w:r>
    </w:p>
    <w:p w:rsidR="004252F1" w:rsidRPr="00242020" w:rsidRDefault="004252F1" w:rsidP="004252F1">
      <w:pPr>
        <w:ind w:firstLine="720"/>
        <w:jc w:val="both"/>
        <w:rPr>
          <w:sz w:val="12"/>
          <w:szCs w:val="12"/>
        </w:rPr>
      </w:pPr>
    </w:p>
    <w:p w:rsidR="00DE193C" w:rsidRPr="00242020" w:rsidRDefault="00DE193C" w:rsidP="005A5D40">
      <w:pPr>
        <w:jc w:val="both"/>
        <w:rPr>
          <w:szCs w:val="28"/>
        </w:rPr>
      </w:pPr>
      <w:r w:rsidRPr="00242020">
        <w:rPr>
          <w:szCs w:val="28"/>
        </w:rPr>
        <w:t>З метою широкого інформування громадськості, органів державної влади, представників ділових кіл в Україні та за кордоном Фонд тісно співпрацює з друкованими та електронними засобами масової інформації.</w:t>
      </w:r>
    </w:p>
    <w:p w:rsidR="00DE193C" w:rsidRPr="00242020" w:rsidRDefault="00DE193C" w:rsidP="005A5D40">
      <w:pPr>
        <w:jc w:val="both"/>
        <w:rPr>
          <w:szCs w:val="28"/>
        </w:rPr>
      </w:pPr>
      <w:r w:rsidRPr="00242020">
        <w:rPr>
          <w:szCs w:val="28"/>
        </w:rPr>
        <w:t xml:space="preserve">Діяльність Фонду висвітлюється через офіційний </w:t>
      </w:r>
      <w:proofErr w:type="spellStart"/>
      <w:r w:rsidRPr="00242020">
        <w:rPr>
          <w:szCs w:val="28"/>
        </w:rPr>
        <w:t>веб-сайт</w:t>
      </w:r>
      <w:proofErr w:type="spellEnd"/>
      <w:r w:rsidRPr="00242020">
        <w:rPr>
          <w:szCs w:val="28"/>
        </w:rPr>
        <w:t xml:space="preserve">, який розташований у мережі Інтернет за адресою </w:t>
      </w:r>
      <w:proofErr w:type="spellStart"/>
      <w:r w:rsidRPr="00242020">
        <w:rPr>
          <w:szCs w:val="28"/>
        </w:rPr>
        <w:t>www.spfu.gov.ua</w:t>
      </w:r>
      <w:proofErr w:type="spellEnd"/>
      <w:r w:rsidRPr="00242020">
        <w:rPr>
          <w:szCs w:val="28"/>
        </w:rPr>
        <w:t xml:space="preserve">. </w:t>
      </w:r>
      <w:r w:rsidRPr="00242020">
        <w:rPr>
          <w:color w:val="000000"/>
          <w:szCs w:val="28"/>
          <w:shd w:val="clear" w:color="auto" w:fill="FFFFFF"/>
        </w:rPr>
        <w:t xml:space="preserve">На сайті </w:t>
      </w:r>
      <w:r w:rsidRPr="00242020">
        <w:rPr>
          <w:szCs w:val="28"/>
          <w:shd w:val="clear" w:color="auto" w:fill="FFFFFF"/>
        </w:rPr>
        <w:t>створено каталоги об</w:t>
      </w:r>
      <w:r w:rsidRPr="00242020">
        <w:rPr>
          <w:szCs w:val="28"/>
        </w:rPr>
        <w:t>’</w:t>
      </w:r>
      <w:r w:rsidRPr="00242020">
        <w:rPr>
          <w:szCs w:val="28"/>
          <w:shd w:val="clear" w:color="auto" w:fill="FFFFFF"/>
        </w:rPr>
        <w:t>єктів малої приватизації, об’єктів оренди, окремо каталог об’єктів великої приватизації, які постійно доповнюються новими об’єктами.</w:t>
      </w:r>
      <w:r w:rsidRPr="00242020">
        <w:t xml:space="preserve"> У середньому щотижня на офіційному </w:t>
      </w:r>
      <w:proofErr w:type="spellStart"/>
      <w:r w:rsidRPr="00242020">
        <w:t>веб-сайті</w:t>
      </w:r>
      <w:proofErr w:type="spellEnd"/>
      <w:r w:rsidRPr="00242020">
        <w:t xml:space="preserve"> Фонду розміщується до 30 новин.</w:t>
      </w:r>
    </w:p>
    <w:p w:rsidR="00DE193C" w:rsidRPr="00242020" w:rsidRDefault="00DE193C" w:rsidP="005A5D40">
      <w:pPr>
        <w:pStyle w:val="af3"/>
        <w:widowControl w:val="0"/>
        <w:spacing w:after="0"/>
        <w:ind w:left="0" w:firstLine="709"/>
        <w:jc w:val="both"/>
        <w:rPr>
          <w:sz w:val="28"/>
          <w:szCs w:val="28"/>
          <w:shd w:val="clear" w:color="auto" w:fill="FFFFFF"/>
        </w:rPr>
      </w:pPr>
      <w:r w:rsidRPr="00242020">
        <w:rPr>
          <w:sz w:val="28"/>
          <w:szCs w:val="28"/>
        </w:rPr>
        <w:t xml:space="preserve">Також на </w:t>
      </w:r>
      <w:proofErr w:type="spellStart"/>
      <w:r w:rsidRPr="00242020">
        <w:rPr>
          <w:sz w:val="28"/>
          <w:szCs w:val="20"/>
        </w:rPr>
        <w:t>веб-сайті</w:t>
      </w:r>
      <w:proofErr w:type="spellEnd"/>
      <w:r w:rsidRPr="00242020">
        <w:rPr>
          <w:sz w:val="28"/>
          <w:szCs w:val="28"/>
        </w:rPr>
        <w:t xml:space="preserve"> створено </w:t>
      </w:r>
      <w:r w:rsidRPr="00242020">
        <w:rPr>
          <w:sz w:val="28"/>
          <w:szCs w:val="28"/>
          <w:shd w:val="clear" w:color="auto" w:fill="FFFFFF"/>
        </w:rPr>
        <w:t>принципово нову громадську платформу, на якій відкрито доступ громадськості до 7 реєстрів та баз даних, що є в розпорядженні Фонду, а також передбачено зворотний зв’язок одночасно за кількома напрямами діяльності Фонду. На сьогодні сайт Фонду адаптований</w:t>
      </w:r>
      <w:r w:rsidR="001763DC" w:rsidRPr="00242020">
        <w:rPr>
          <w:sz w:val="28"/>
          <w:szCs w:val="28"/>
          <w:shd w:val="clear" w:color="auto" w:fill="FFFFFF"/>
        </w:rPr>
        <w:t xml:space="preserve"> </w:t>
      </w:r>
      <w:r w:rsidRPr="00242020">
        <w:rPr>
          <w:sz w:val="28"/>
          <w:szCs w:val="28"/>
          <w:shd w:val="clear" w:color="auto" w:fill="FFFFFF"/>
        </w:rPr>
        <w:t xml:space="preserve">для сприймання особами з ураженням органів зору та слуху. Також сайт Фонду відтепер доступний для планшетів і </w:t>
      </w:r>
      <w:proofErr w:type="spellStart"/>
      <w:r w:rsidRPr="00242020">
        <w:rPr>
          <w:sz w:val="28"/>
          <w:szCs w:val="28"/>
          <w:shd w:val="clear" w:color="auto" w:fill="FFFFFF"/>
        </w:rPr>
        <w:t>смартфонів</w:t>
      </w:r>
      <w:proofErr w:type="spellEnd"/>
      <w:r w:rsidRPr="00242020">
        <w:rPr>
          <w:sz w:val="28"/>
          <w:szCs w:val="28"/>
          <w:shd w:val="clear" w:color="auto" w:fill="FFFFFF"/>
        </w:rPr>
        <w:t>.</w:t>
      </w:r>
    </w:p>
    <w:p w:rsidR="00DE193C" w:rsidRPr="00242020" w:rsidRDefault="00DE193C" w:rsidP="005A5D40">
      <w:pPr>
        <w:pStyle w:val="af3"/>
        <w:widowControl w:val="0"/>
        <w:spacing w:after="0"/>
        <w:ind w:left="0" w:firstLine="709"/>
        <w:jc w:val="both"/>
        <w:rPr>
          <w:sz w:val="28"/>
          <w:szCs w:val="28"/>
        </w:rPr>
      </w:pPr>
      <w:r w:rsidRPr="00242020">
        <w:rPr>
          <w:sz w:val="28"/>
          <w:szCs w:val="20"/>
        </w:rPr>
        <w:t xml:space="preserve">З метою забезпечення спрощеного доступу до інформації про приватизацію Фондом розроблено та введено в дію спеціальну </w:t>
      </w:r>
      <w:proofErr w:type="spellStart"/>
      <w:r w:rsidRPr="00242020">
        <w:rPr>
          <w:sz w:val="28"/>
          <w:szCs w:val="20"/>
        </w:rPr>
        <w:t>лендінгову</w:t>
      </w:r>
      <w:proofErr w:type="spellEnd"/>
      <w:r w:rsidRPr="00242020">
        <w:rPr>
          <w:sz w:val="28"/>
          <w:szCs w:val="20"/>
        </w:rPr>
        <w:t xml:space="preserve"> </w:t>
      </w:r>
      <w:proofErr w:type="spellStart"/>
      <w:r w:rsidRPr="00242020">
        <w:rPr>
          <w:sz w:val="28"/>
          <w:szCs w:val="20"/>
        </w:rPr>
        <w:t>веб-сторінку</w:t>
      </w:r>
      <w:proofErr w:type="spellEnd"/>
      <w:r w:rsidRPr="00242020">
        <w:rPr>
          <w:sz w:val="28"/>
          <w:szCs w:val="20"/>
        </w:rPr>
        <w:t xml:space="preserve"> </w:t>
      </w:r>
      <w:hyperlink r:id="rId19" w:history="1">
        <w:r w:rsidRPr="00242020">
          <w:rPr>
            <w:rStyle w:val="afb"/>
            <w:rFonts w:eastAsiaTheme="majorEastAsia"/>
            <w:sz w:val="28"/>
            <w:szCs w:val="20"/>
          </w:rPr>
          <w:t>http://www.privatization.gov.ua</w:t>
        </w:r>
      </w:hyperlink>
      <w:r w:rsidRPr="00242020">
        <w:rPr>
          <w:sz w:val="28"/>
          <w:szCs w:val="20"/>
        </w:rPr>
        <w:t>, н</w:t>
      </w:r>
      <w:r w:rsidRPr="00242020">
        <w:rPr>
          <w:sz w:val="28"/>
          <w:szCs w:val="28"/>
        </w:rPr>
        <w:t xml:space="preserve">а якій у вигляді «one-stop-shop» трьома мовами представлено всі об’єкти, які держава пропонує до приватизації, – з таймером строків продажу об’єктів, переходом на електронні майданчики для їх придбання та пошуком за регіонами і типами об’єктів. </w:t>
      </w:r>
    </w:p>
    <w:p w:rsidR="00DE193C" w:rsidRPr="00242020" w:rsidRDefault="00DE193C" w:rsidP="005A5D40">
      <w:pPr>
        <w:ind w:firstLine="708"/>
        <w:jc w:val="both"/>
        <w:rPr>
          <w:szCs w:val="28"/>
        </w:rPr>
      </w:pPr>
      <w:r w:rsidRPr="00242020">
        <w:rPr>
          <w:szCs w:val="28"/>
        </w:rPr>
        <w:t xml:space="preserve">У Фонді розпочала роботу нова спеціалізована «гаряча лінія» з питань приватизації 0 800 50 56 46. Дзвінок є безкоштовним з будь-якого українського номера, стаціонарного чи мобільного. На цю лінію можуть звернутися всі бажаючі та отримати кваліфіковану інформацію спеціаліста про об’єкти приватизації, які готуються до продажу. Безкоштовна «гаряча лінія» діє разом з уже традиційною 044 254 29 76. </w:t>
      </w:r>
    </w:p>
    <w:p w:rsidR="00DE193C" w:rsidRPr="00242020" w:rsidRDefault="00DE193C" w:rsidP="005A5D40">
      <w:pPr>
        <w:ind w:firstLine="708"/>
        <w:jc w:val="both"/>
        <w:rPr>
          <w:szCs w:val="28"/>
        </w:rPr>
      </w:pPr>
      <w:r w:rsidRPr="00242020">
        <w:rPr>
          <w:szCs w:val="28"/>
        </w:rPr>
        <w:t xml:space="preserve">За результатами моніторингу інформаційного наповнення офіційних </w:t>
      </w:r>
      <w:proofErr w:type="spellStart"/>
      <w:r w:rsidRPr="00242020">
        <w:rPr>
          <w:szCs w:val="28"/>
        </w:rPr>
        <w:t>веб-сайтів</w:t>
      </w:r>
      <w:proofErr w:type="spellEnd"/>
      <w:r w:rsidRPr="00242020">
        <w:rPr>
          <w:szCs w:val="28"/>
        </w:rPr>
        <w:t xml:space="preserve"> 57 центральних органів виконавчої влади та 24 обласних і Київської міської держадміністрацій за 2016 рік, яке здійснює Держкомтелерадіо, офіційний </w:t>
      </w:r>
      <w:proofErr w:type="spellStart"/>
      <w:r w:rsidRPr="00242020">
        <w:rPr>
          <w:szCs w:val="28"/>
        </w:rPr>
        <w:t>веб-сайт</w:t>
      </w:r>
      <w:proofErr w:type="spellEnd"/>
      <w:r w:rsidRPr="00242020">
        <w:rPr>
          <w:szCs w:val="28"/>
        </w:rPr>
        <w:t xml:space="preserve"> Фонду входить у трійку найкращих серед центральних органів виконавчої влади. </w:t>
      </w:r>
    </w:p>
    <w:p w:rsidR="00DE193C" w:rsidRPr="00242020" w:rsidRDefault="00DE193C" w:rsidP="005A5D40">
      <w:pPr>
        <w:pStyle w:val="af3"/>
        <w:widowControl w:val="0"/>
        <w:spacing w:after="0"/>
        <w:ind w:left="0" w:firstLine="709"/>
        <w:jc w:val="both"/>
        <w:rPr>
          <w:sz w:val="28"/>
          <w:szCs w:val="20"/>
        </w:rPr>
      </w:pPr>
      <w:r w:rsidRPr="00242020">
        <w:rPr>
          <w:sz w:val="28"/>
          <w:szCs w:val="28"/>
        </w:rPr>
        <w:t xml:space="preserve">Щоденно Фондом надається в середньому 4-5 роз’яснень та коментарів на запити засобів масової інформації. </w:t>
      </w:r>
      <w:r w:rsidRPr="00242020">
        <w:rPr>
          <w:sz w:val="28"/>
          <w:szCs w:val="20"/>
        </w:rPr>
        <w:t xml:space="preserve">У соціальній мережі </w:t>
      </w:r>
      <w:proofErr w:type="spellStart"/>
      <w:r w:rsidRPr="00242020">
        <w:rPr>
          <w:sz w:val="28"/>
          <w:szCs w:val="20"/>
        </w:rPr>
        <w:t>Facebook</w:t>
      </w:r>
      <w:proofErr w:type="spellEnd"/>
      <w:r w:rsidRPr="00242020">
        <w:rPr>
          <w:sz w:val="28"/>
          <w:szCs w:val="20"/>
        </w:rPr>
        <w:t xml:space="preserve"> функціонує сторінка Фонду, на якій оприлюднюється актуальна інформація про його діяльність.</w:t>
      </w:r>
    </w:p>
    <w:p w:rsidR="00DE193C" w:rsidRPr="00242020" w:rsidRDefault="00DE193C" w:rsidP="005A5D40">
      <w:pPr>
        <w:ind w:firstLine="708"/>
        <w:jc w:val="both"/>
        <w:rPr>
          <w:szCs w:val="28"/>
        </w:rPr>
      </w:pPr>
      <w:r w:rsidRPr="00242020">
        <w:rPr>
          <w:szCs w:val="28"/>
        </w:rPr>
        <w:t xml:space="preserve">Для вивчення громадської думки щодо приватизації об’єктів групи Г Фондом здійснюється проведення громадських слухань. У 2016 році на громадській платформі у рубриці «Громадські слухання» Фондом було розміщено повідомлення про проведення громадських слухань щодо об’єктів </w:t>
      </w:r>
      <w:r w:rsidRPr="00242020">
        <w:rPr>
          <w:szCs w:val="28"/>
        </w:rPr>
        <w:lastRenderedPageBreak/>
        <w:t xml:space="preserve">групи Г, які підлягають приватизації, а саме: ПАТ «Одеський припортовий завод», </w:t>
      </w:r>
      <w:proofErr w:type="spellStart"/>
      <w:r w:rsidRPr="00242020">
        <w:rPr>
          <w:szCs w:val="28"/>
        </w:rPr>
        <w:t>ПрАТ</w:t>
      </w:r>
      <w:proofErr w:type="spellEnd"/>
      <w:r w:rsidRPr="00242020">
        <w:rPr>
          <w:szCs w:val="28"/>
        </w:rPr>
        <w:t xml:space="preserve"> «Івано-Франківський локомотиворемонтний завод», Державний концерн «Укрторф», </w:t>
      </w:r>
      <w:proofErr w:type="spellStart"/>
      <w:r w:rsidRPr="00242020">
        <w:rPr>
          <w:szCs w:val="28"/>
        </w:rPr>
        <w:t>ДП</w:t>
      </w:r>
      <w:proofErr w:type="spellEnd"/>
      <w:r w:rsidRPr="00242020">
        <w:rPr>
          <w:szCs w:val="28"/>
        </w:rPr>
        <w:t xml:space="preserve"> «</w:t>
      </w:r>
      <w:proofErr w:type="spellStart"/>
      <w:r w:rsidRPr="00242020">
        <w:rPr>
          <w:szCs w:val="28"/>
        </w:rPr>
        <w:t>НПК</w:t>
      </w:r>
      <w:proofErr w:type="spellEnd"/>
      <w:r w:rsidRPr="00242020">
        <w:rPr>
          <w:szCs w:val="28"/>
        </w:rPr>
        <w:t xml:space="preserve"> «Електровозобудування», </w:t>
      </w:r>
      <w:proofErr w:type="spellStart"/>
      <w:r w:rsidRPr="00242020">
        <w:rPr>
          <w:szCs w:val="28"/>
        </w:rPr>
        <w:t>ДП</w:t>
      </w:r>
      <w:proofErr w:type="spellEnd"/>
      <w:r w:rsidRPr="00242020">
        <w:rPr>
          <w:szCs w:val="28"/>
        </w:rPr>
        <w:t xml:space="preserve"> «</w:t>
      </w:r>
      <w:proofErr w:type="spellStart"/>
      <w:r w:rsidRPr="00242020">
        <w:rPr>
          <w:szCs w:val="28"/>
        </w:rPr>
        <w:t>Новопокровський</w:t>
      </w:r>
      <w:proofErr w:type="spellEnd"/>
      <w:r w:rsidRPr="00242020">
        <w:rPr>
          <w:szCs w:val="28"/>
        </w:rPr>
        <w:t xml:space="preserve"> комбінат хлібопродуктів».</w:t>
      </w:r>
    </w:p>
    <w:p w:rsidR="00DE193C" w:rsidRPr="00242020" w:rsidRDefault="00DE193C" w:rsidP="005A5D40">
      <w:pPr>
        <w:pStyle w:val="af3"/>
        <w:widowControl w:val="0"/>
        <w:spacing w:after="0"/>
        <w:ind w:left="0" w:firstLine="709"/>
        <w:jc w:val="both"/>
        <w:rPr>
          <w:sz w:val="28"/>
          <w:szCs w:val="28"/>
        </w:rPr>
      </w:pPr>
      <w:r w:rsidRPr="00242020">
        <w:rPr>
          <w:sz w:val="28"/>
          <w:szCs w:val="28"/>
        </w:rPr>
        <w:t>Відповідно до законодавства України інформація щодо проведення процедур, пов’язаних з процесами приватизації та управління державним майном, друкується в щоквартальному офіційному виданні Фонду – «Державному інформаційному бюлетені про приватизацію» (далі – Бюлетень) та двічі на тиждень в його оперативній частині – газеті «Відомості приватизації». У 2016 році вийшло 4 номери Бюлетеня та 104 номери газети «Відомості приватизації».</w:t>
      </w:r>
    </w:p>
    <w:p w:rsidR="00DE193C" w:rsidRPr="00242020" w:rsidRDefault="00DE193C" w:rsidP="005A5D40">
      <w:pPr>
        <w:pStyle w:val="ad"/>
        <w:spacing w:before="0" w:beforeAutospacing="0" w:after="0" w:afterAutospacing="0"/>
        <w:ind w:firstLine="709"/>
        <w:jc w:val="both"/>
        <w:rPr>
          <w:rFonts w:eastAsia="MS Mincho"/>
          <w:sz w:val="28"/>
          <w:szCs w:val="28"/>
          <w:lang w:eastAsia="ja-JP"/>
        </w:rPr>
      </w:pPr>
      <w:r w:rsidRPr="00242020">
        <w:rPr>
          <w:sz w:val="28"/>
          <w:szCs w:val="28"/>
        </w:rPr>
        <w:t xml:space="preserve">На сторінках газети публікуються, зокрема, повідомлення про проведення конкурсів та аукціонів у всіх сферах діяльності, що сприяє активізації процесу приватизації та оренди. Крім того, у звітному періоді </w:t>
      </w:r>
      <w:proofErr w:type="spellStart"/>
      <w:r w:rsidRPr="00242020">
        <w:rPr>
          <w:sz w:val="28"/>
          <w:szCs w:val="28"/>
        </w:rPr>
        <w:t>оприлюднено</w:t>
      </w:r>
      <w:proofErr w:type="spellEnd"/>
      <w:r w:rsidRPr="00242020">
        <w:rPr>
          <w:sz w:val="28"/>
          <w:szCs w:val="28"/>
        </w:rPr>
        <w:t xml:space="preserve"> низку розпорядчих документів Фонду, які дали змогу читачам орієнтуватися у планах Фонду щодо приватизації об’єктів, кількості та якості активів, які пропонуються до продажу, знайомитися з новими майданчиками продажу, перелік яких</w:t>
      </w:r>
      <w:r w:rsidR="001763DC" w:rsidRPr="00242020">
        <w:rPr>
          <w:sz w:val="28"/>
          <w:szCs w:val="28"/>
        </w:rPr>
        <w:t xml:space="preserve"> </w:t>
      </w:r>
      <w:r w:rsidRPr="00242020">
        <w:rPr>
          <w:sz w:val="28"/>
          <w:szCs w:val="28"/>
        </w:rPr>
        <w:t xml:space="preserve">постійно розширюється. Зокрема, були опубліковані переліки об’єктів приватизації та плани виставлення їх на продаж протягом року. </w:t>
      </w:r>
    </w:p>
    <w:p w:rsidR="00DE193C" w:rsidRPr="00242020" w:rsidRDefault="00DE193C" w:rsidP="005A5D40">
      <w:pPr>
        <w:jc w:val="both"/>
        <w:rPr>
          <w:rFonts w:eastAsia="Times-Roman"/>
          <w:szCs w:val="28"/>
        </w:rPr>
      </w:pPr>
      <w:r w:rsidRPr="00242020">
        <w:rPr>
          <w:szCs w:val="28"/>
        </w:rPr>
        <w:t xml:space="preserve">Електронні варіанти Бюлетеня розміщуються на офіційному </w:t>
      </w:r>
      <w:proofErr w:type="spellStart"/>
      <w:r w:rsidRPr="00242020">
        <w:rPr>
          <w:szCs w:val="28"/>
        </w:rPr>
        <w:t>веб-сайті</w:t>
      </w:r>
      <w:proofErr w:type="spellEnd"/>
      <w:r w:rsidRPr="00242020">
        <w:rPr>
          <w:szCs w:val="28"/>
        </w:rPr>
        <w:t xml:space="preserve"> Фонду, також поширюються через міжнародну мережу Інформаційного агентства «Українські новини» </w:t>
      </w:r>
      <w:r w:rsidRPr="00242020">
        <w:rPr>
          <w:rFonts w:eastAsia="Times-Roman"/>
          <w:szCs w:val="28"/>
        </w:rPr>
        <w:t>посольствам та консульствам інших держав.</w:t>
      </w:r>
      <w:r w:rsidRPr="00242020">
        <w:rPr>
          <w:szCs w:val="28"/>
        </w:rPr>
        <w:t xml:space="preserve"> З метою поширення інформації у бізнес-середовищі регіонів видання розсилаються </w:t>
      </w:r>
      <w:r w:rsidRPr="00242020">
        <w:rPr>
          <w:rFonts w:eastAsia="Times-Roman"/>
          <w:szCs w:val="28"/>
        </w:rPr>
        <w:t xml:space="preserve">на адреси обласних державних адміністрацій та рад. </w:t>
      </w:r>
    </w:p>
    <w:p w:rsidR="00DE193C" w:rsidRPr="00242020" w:rsidRDefault="00DE193C" w:rsidP="005A5D40">
      <w:pPr>
        <w:jc w:val="both"/>
        <w:rPr>
          <w:rFonts w:eastAsia="Times-Roman"/>
          <w:szCs w:val="28"/>
        </w:rPr>
      </w:pPr>
      <w:r w:rsidRPr="00242020">
        <w:rPr>
          <w:rFonts w:eastAsia="Times-Roman"/>
          <w:szCs w:val="28"/>
        </w:rPr>
        <w:t>Питання стосовно розгляду та підготовки відповідей на листи громадян перебувають на постійному контролі Фонду. Протягом 2016 року виконано значний обсяг з розгляду звернень громадян.</w:t>
      </w:r>
    </w:p>
    <w:p w:rsidR="00DE193C" w:rsidRPr="00242020" w:rsidRDefault="00DE193C" w:rsidP="005A5D40">
      <w:pPr>
        <w:jc w:val="both"/>
        <w:rPr>
          <w:szCs w:val="28"/>
        </w:rPr>
      </w:pPr>
      <w:r w:rsidRPr="00242020">
        <w:rPr>
          <w:szCs w:val="28"/>
        </w:rPr>
        <w:t>Так, Фондом опрацьовано 1 589 звернень громадян, які надійшли, зокрема, від:</w:t>
      </w:r>
    </w:p>
    <w:p w:rsidR="00DE193C" w:rsidRPr="00242020" w:rsidRDefault="00DE193C" w:rsidP="005A5D40">
      <w:pPr>
        <w:widowControl/>
        <w:numPr>
          <w:ilvl w:val="0"/>
          <w:numId w:val="29"/>
        </w:numPr>
        <w:jc w:val="both"/>
        <w:rPr>
          <w:b/>
          <w:bCs/>
          <w:szCs w:val="28"/>
        </w:rPr>
      </w:pPr>
      <w:r w:rsidRPr="00242020">
        <w:rPr>
          <w:szCs w:val="28"/>
        </w:rPr>
        <w:t>Кабінету Міністрів України – 111;</w:t>
      </w:r>
    </w:p>
    <w:p w:rsidR="00DE193C" w:rsidRPr="00242020" w:rsidRDefault="00DE193C" w:rsidP="005A5D40">
      <w:pPr>
        <w:widowControl/>
        <w:numPr>
          <w:ilvl w:val="0"/>
          <w:numId w:val="29"/>
        </w:numPr>
        <w:jc w:val="both"/>
        <w:rPr>
          <w:b/>
          <w:bCs/>
          <w:szCs w:val="28"/>
        </w:rPr>
      </w:pPr>
      <w:r w:rsidRPr="00242020">
        <w:rPr>
          <w:szCs w:val="28"/>
        </w:rPr>
        <w:t>центральних органів виконавчої влади – 131;</w:t>
      </w:r>
    </w:p>
    <w:p w:rsidR="00DE193C" w:rsidRPr="00242020" w:rsidRDefault="00DE193C" w:rsidP="005A5D40">
      <w:pPr>
        <w:widowControl/>
        <w:numPr>
          <w:ilvl w:val="0"/>
          <w:numId w:val="29"/>
        </w:numPr>
        <w:jc w:val="both"/>
        <w:rPr>
          <w:b/>
          <w:bCs/>
          <w:szCs w:val="28"/>
        </w:rPr>
      </w:pPr>
      <w:r w:rsidRPr="00242020">
        <w:rPr>
          <w:szCs w:val="28"/>
        </w:rPr>
        <w:t>інших органів, установ, організацій – 195;</w:t>
      </w:r>
    </w:p>
    <w:p w:rsidR="00DE193C" w:rsidRPr="00242020" w:rsidRDefault="00DE193C" w:rsidP="005A5D40">
      <w:pPr>
        <w:widowControl/>
        <w:numPr>
          <w:ilvl w:val="0"/>
          <w:numId w:val="29"/>
        </w:numPr>
        <w:jc w:val="both"/>
        <w:rPr>
          <w:b/>
          <w:bCs/>
          <w:szCs w:val="28"/>
        </w:rPr>
      </w:pPr>
      <w:r w:rsidRPr="00242020">
        <w:rPr>
          <w:szCs w:val="28"/>
        </w:rPr>
        <w:t>громадян через уповноважених осіб – 16;</w:t>
      </w:r>
    </w:p>
    <w:p w:rsidR="00DE193C" w:rsidRPr="00242020" w:rsidRDefault="00DE193C" w:rsidP="005A5D40">
      <w:pPr>
        <w:widowControl/>
        <w:numPr>
          <w:ilvl w:val="0"/>
          <w:numId w:val="29"/>
        </w:numPr>
        <w:jc w:val="both"/>
        <w:rPr>
          <w:b/>
          <w:bCs/>
          <w:szCs w:val="28"/>
        </w:rPr>
      </w:pPr>
      <w:r w:rsidRPr="00242020">
        <w:rPr>
          <w:szCs w:val="28"/>
        </w:rPr>
        <w:t>громадян поштою – 651.</w:t>
      </w:r>
    </w:p>
    <w:p w:rsidR="00DE193C" w:rsidRPr="00242020" w:rsidRDefault="00DE193C" w:rsidP="005A5D40">
      <w:pPr>
        <w:ind w:firstLine="720"/>
        <w:jc w:val="both"/>
        <w:rPr>
          <w:szCs w:val="28"/>
        </w:rPr>
      </w:pPr>
      <w:r w:rsidRPr="00242020">
        <w:rPr>
          <w:szCs w:val="28"/>
        </w:rPr>
        <w:t>За звітний період керівництвом Фонду проведено 485 особистих прийомів, під час яких звернулося 562 особи.</w:t>
      </w:r>
    </w:p>
    <w:p w:rsidR="00DE193C" w:rsidRPr="00242020" w:rsidRDefault="00DE193C" w:rsidP="005A5D40">
      <w:pPr>
        <w:jc w:val="both"/>
        <w:rPr>
          <w:szCs w:val="28"/>
        </w:rPr>
      </w:pPr>
      <w:r w:rsidRPr="00242020">
        <w:rPr>
          <w:szCs w:val="28"/>
        </w:rPr>
        <w:t>Серед звернень громадян, що надійшли до Фонду, кількість індивідуальних звернень становить 1</w:t>
      </w:r>
      <w:r w:rsidR="001D334D">
        <w:rPr>
          <w:szCs w:val="28"/>
        </w:rPr>
        <w:t> </w:t>
      </w:r>
      <w:r w:rsidRPr="00242020">
        <w:rPr>
          <w:szCs w:val="28"/>
        </w:rPr>
        <w:t>450, колективних – 139. Переважну більшість звернень становлять заяви (клопотання) – 1 241, решта – скарги (206) та пропозиції (142).</w:t>
      </w:r>
    </w:p>
    <w:p w:rsidR="00DE193C" w:rsidRPr="00242020" w:rsidRDefault="00DE193C" w:rsidP="005A5D40">
      <w:pPr>
        <w:jc w:val="both"/>
        <w:rPr>
          <w:szCs w:val="28"/>
        </w:rPr>
      </w:pPr>
      <w:r w:rsidRPr="00242020">
        <w:rPr>
          <w:szCs w:val="28"/>
        </w:rPr>
        <w:t>Загалом до Фонду з урахуванням колективних звернень протягом звітного періоду звернулося 2</w:t>
      </w:r>
      <w:r w:rsidR="002A1029">
        <w:rPr>
          <w:szCs w:val="28"/>
        </w:rPr>
        <w:t> </w:t>
      </w:r>
      <w:r w:rsidRPr="00242020">
        <w:rPr>
          <w:szCs w:val="28"/>
        </w:rPr>
        <w:t xml:space="preserve">878 осіб. Переважна більшість питань стосувалася виплати компенсації за невикористані приватизаційні майнові сертифікати, виплати дивідендів господарськими товариствами, забезпечення конституційного права на житло мешканців гуртожитків, націоналізації </w:t>
      </w:r>
      <w:r w:rsidRPr="00242020">
        <w:rPr>
          <w:szCs w:val="28"/>
        </w:rPr>
        <w:lastRenderedPageBreak/>
        <w:t>приватизованих підприємств. На «гарячу лінію» Фонду протягом 2016 року звернулося 915 осіб.</w:t>
      </w:r>
    </w:p>
    <w:p w:rsidR="00DE193C" w:rsidRPr="00242020" w:rsidRDefault="00DE193C" w:rsidP="005A5D40">
      <w:pPr>
        <w:jc w:val="both"/>
        <w:rPr>
          <w:rFonts w:eastAsia="Times-Roman"/>
          <w:szCs w:val="28"/>
        </w:rPr>
      </w:pPr>
      <w:r w:rsidRPr="00242020">
        <w:rPr>
          <w:rFonts w:eastAsia="Times-Roman"/>
          <w:szCs w:val="28"/>
        </w:rPr>
        <w:t>На всі звернення громадян Фондом в межах повноважень надано вичерпні та ґрунтовні відповіді та роз’яснення.</w:t>
      </w:r>
    </w:p>
    <w:p w:rsidR="00DE193C" w:rsidRPr="00242020" w:rsidRDefault="00DE193C" w:rsidP="005A5D40">
      <w:pPr>
        <w:jc w:val="both"/>
        <w:rPr>
          <w:szCs w:val="28"/>
        </w:rPr>
      </w:pPr>
      <w:r w:rsidRPr="00242020">
        <w:rPr>
          <w:szCs w:val="28"/>
        </w:rPr>
        <w:t xml:space="preserve">Також Фондом забезпечується оперативне реагування на звернення громадян, що надходять від державної установи «Урядовий контактний центр». Протягом 2016 року від цієї установи на електронну адресу Фонду для опрацювання та надання відповідей заявникам надійшло 84 звернення. </w:t>
      </w:r>
    </w:p>
    <w:p w:rsidR="00DE193C" w:rsidRPr="00242020" w:rsidRDefault="00DE193C" w:rsidP="005A5D40">
      <w:pPr>
        <w:jc w:val="both"/>
        <w:rPr>
          <w:szCs w:val="28"/>
        </w:rPr>
      </w:pPr>
      <w:r w:rsidRPr="00242020">
        <w:rPr>
          <w:szCs w:val="28"/>
        </w:rPr>
        <w:t xml:space="preserve">Крім того, з метою виконання завдань, визначених Законом України «Про доступ до публічної інформації», забезпечено своєчасну підготовку відповідей на запити на публічну інформацію, які надходять до Фонду, </w:t>
      </w:r>
      <w:r w:rsidR="00660C74">
        <w:rPr>
          <w:szCs w:val="28"/>
        </w:rPr>
        <w:t>у</w:t>
      </w:r>
      <w:r w:rsidRPr="00242020">
        <w:rPr>
          <w:szCs w:val="28"/>
        </w:rPr>
        <w:t xml:space="preserve"> тому числі через спеціально створені рубрики на офіційному </w:t>
      </w:r>
      <w:proofErr w:type="spellStart"/>
      <w:r w:rsidRPr="00242020">
        <w:rPr>
          <w:szCs w:val="28"/>
        </w:rPr>
        <w:t>веб-сайті</w:t>
      </w:r>
      <w:proofErr w:type="spellEnd"/>
      <w:r w:rsidRPr="00242020">
        <w:rPr>
          <w:szCs w:val="28"/>
        </w:rPr>
        <w:t xml:space="preserve"> Фонду та з його промо-сторінки з приватизації. Протягом звітного періоду було надано інформацію на 800 запитів на публічну інформацію. </w:t>
      </w:r>
    </w:p>
    <w:p w:rsidR="00DE193C" w:rsidRPr="00242020" w:rsidRDefault="00DE193C" w:rsidP="00DE193C">
      <w:pPr>
        <w:jc w:val="both"/>
        <w:rPr>
          <w:sz w:val="16"/>
          <w:szCs w:val="16"/>
        </w:rPr>
      </w:pPr>
    </w:p>
    <w:p w:rsidR="00E427AD" w:rsidRPr="00242020" w:rsidRDefault="00E427AD" w:rsidP="00E427AD">
      <w:pPr>
        <w:pStyle w:val="2"/>
        <w:rPr>
          <w:szCs w:val="28"/>
        </w:rPr>
      </w:pPr>
      <w:r w:rsidRPr="00242020">
        <w:t>9.2. Інформаційне забезпечення діяльності Фонду</w:t>
      </w:r>
    </w:p>
    <w:p w:rsidR="004252F1" w:rsidRPr="00242020" w:rsidRDefault="004252F1" w:rsidP="004252F1">
      <w:pPr>
        <w:ind w:firstLine="720"/>
        <w:jc w:val="both"/>
        <w:rPr>
          <w:sz w:val="12"/>
          <w:szCs w:val="12"/>
        </w:rPr>
      </w:pPr>
    </w:p>
    <w:p w:rsidR="001B3F5D" w:rsidRPr="00242020" w:rsidRDefault="001B3F5D" w:rsidP="005A5D40">
      <w:pPr>
        <w:jc w:val="both"/>
        <w:rPr>
          <w:szCs w:val="28"/>
        </w:rPr>
      </w:pPr>
      <w:r w:rsidRPr="00242020">
        <w:rPr>
          <w:szCs w:val="28"/>
        </w:rPr>
        <w:t xml:space="preserve">Головною метою інформатизації діяльності органів приватизації в Україні відповідно до </w:t>
      </w:r>
      <w:r w:rsidRPr="00242020">
        <w:rPr>
          <w:b/>
          <w:szCs w:val="28"/>
        </w:rPr>
        <w:t>Концепції галузевої програми інформатизації Фонду державного майна України</w:t>
      </w:r>
      <w:r w:rsidRPr="00242020">
        <w:rPr>
          <w:szCs w:val="28"/>
        </w:rPr>
        <w:t>, яка затверджена рішенням колегії Фонду від 05 червня 2015 року № 2/4, є створення сприятливих умов для успішного досягнення цілей та виконання завдань, визначених законами України «Про Державну програму приватизації», «Про Фонд державного майна України», «Про управління об’єктами державної власності», Стратегією сталого розвитку «Україна – 2020», затвердженою Указом Президента України від 17 січня 2015 року № 5/2015, Програмою діяльності Кабінету Міністрів України, затвердженою постановою Кабінету Міністрів України від 09 грудня 2014 року № 695 і схваленою Постановою Верховної Ради України від 11 грудня 2014 року № 26-VIII, та іншими законодавчими та розпорядчими актами вищих органів влади.</w:t>
      </w:r>
    </w:p>
    <w:p w:rsidR="001B3F5D" w:rsidRPr="00242020" w:rsidRDefault="001B3F5D" w:rsidP="005A5D40">
      <w:pPr>
        <w:jc w:val="both"/>
        <w:rPr>
          <w:szCs w:val="28"/>
        </w:rPr>
      </w:pPr>
      <w:r w:rsidRPr="00242020">
        <w:rPr>
          <w:szCs w:val="28"/>
        </w:rPr>
        <w:t>Пріоритетними напрямами діяльності Фонду у сфері інформатизації є:</w:t>
      </w:r>
    </w:p>
    <w:p w:rsidR="001B3F5D" w:rsidRPr="00242020" w:rsidRDefault="001B3F5D" w:rsidP="005A5D40">
      <w:pPr>
        <w:jc w:val="both"/>
        <w:rPr>
          <w:szCs w:val="28"/>
        </w:rPr>
      </w:pPr>
      <w:r w:rsidRPr="00242020">
        <w:rPr>
          <w:szCs w:val="28"/>
        </w:rPr>
        <w:t>– забезпечення надійної та оперативної інформаційної підтримки діяльності органів приватизації та автоматизації функцій структурних підрозділів Фонду;</w:t>
      </w:r>
    </w:p>
    <w:p w:rsidR="001B3F5D" w:rsidRPr="00242020" w:rsidRDefault="001B3F5D" w:rsidP="005A5D40">
      <w:pPr>
        <w:jc w:val="both"/>
        <w:rPr>
          <w:szCs w:val="28"/>
        </w:rPr>
      </w:pPr>
      <w:r w:rsidRPr="00242020">
        <w:rPr>
          <w:szCs w:val="28"/>
        </w:rPr>
        <w:t>– створення інформаційної бази та інструментарію для прийняття управлінських рішень щодо використання об’єктів державної власності;</w:t>
      </w:r>
    </w:p>
    <w:p w:rsidR="001B3F5D" w:rsidRPr="00242020" w:rsidRDefault="001B3F5D" w:rsidP="005A5D40">
      <w:pPr>
        <w:jc w:val="both"/>
        <w:rPr>
          <w:szCs w:val="28"/>
        </w:rPr>
      </w:pPr>
      <w:r w:rsidRPr="00242020">
        <w:rPr>
          <w:szCs w:val="28"/>
        </w:rPr>
        <w:t>– централізація обліку об’єктів державної власності;</w:t>
      </w:r>
    </w:p>
    <w:p w:rsidR="001B3F5D" w:rsidRPr="00242020" w:rsidRDefault="001B3F5D" w:rsidP="005A5D40">
      <w:pPr>
        <w:jc w:val="both"/>
        <w:rPr>
          <w:szCs w:val="28"/>
        </w:rPr>
      </w:pPr>
      <w:r w:rsidRPr="00242020">
        <w:rPr>
          <w:szCs w:val="28"/>
        </w:rPr>
        <w:t>– забезпечення прозорості та відкритості інформації про державний сектор економіки та процесу роздержавлення власності;</w:t>
      </w:r>
    </w:p>
    <w:p w:rsidR="001B3F5D" w:rsidRPr="00242020" w:rsidRDefault="001B3F5D" w:rsidP="005A5D40">
      <w:pPr>
        <w:jc w:val="both"/>
        <w:rPr>
          <w:szCs w:val="28"/>
        </w:rPr>
      </w:pPr>
      <w:r w:rsidRPr="00242020">
        <w:rPr>
          <w:szCs w:val="28"/>
        </w:rPr>
        <w:t xml:space="preserve">– забезпечення функціонування та вдосконалення Єдиної комп’ютерної інформаційної мережі (далі – </w:t>
      </w:r>
      <w:proofErr w:type="spellStart"/>
      <w:r w:rsidRPr="00242020">
        <w:rPr>
          <w:szCs w:val="28"/>
        </w:rPr>
        <w:t>ЄКІМ</w:t>
      </w:r>
      <w:proofErr w:type="spellEnd"/>
      <w:r w:rsidRPr="00242020">
        <w:rPr>
          <w:szCs w:val="28"/>
        </w:rPr>
        <w:t>) органів приватизації;</w:t>
      </w:r>
    </w:p>
    <w:p w:rsidR="001B3F5D" w:rsidRPr="00242020" w:rsidRDefault="001B3F5D" w:rsidP="005A5D40">
      <w:pPr>
        <w:jc w:val="both"/>
        <w:rPr>
          <w:szCs w:val="28"/>
        </w:rPr>
      </w:pPr>
      <w:r w:rsidRPr="00242020">
        <w:rPr>
          <w:szCs w:val="28"/>
        </w:rPr>
        <w:t xml:space="preserve">– поглиблення інтеграції інформаційних систем, що входять до складу Єдиної комп’ютерної інформаційної системи (далі – </w:t>
      </w:r>
      <w:proofErr w:type="spellStart"/>
      <w:r w:rsidRPr="00242020">
        <w:rPr>
          <w:szCs w:val="28"/>
        </w:rPr>
        <w:t>ЄКІС</w:t>
      </w:r>
      <w:proofErr w:type="spellEnd"/>
      <w:r w:rsidRPr="00242020">
        <w:rPr>
          <w:szCs w:val="28"/>
        </w:rPr>
        <w:t xml:space="preserve">) та Системи автоматизації діловодства та документообігу (далі – </w:t>
      </w:r>
      <w:proofErr w:type="spellStart"/>
      <w:r w:rsidRPr="00242020">
        <w:rPr>
          <w:szCs w:val="28"/>
        </w:rPr>
        <w:t>САДД</w:t>
      </w:r>
      <w:proofErr w:type="spellEnd"/>
      <w:r w:rsidRPr="00242020">
        <w:rPr>
          <w:szCs w:val="28"/>
        </w:rPr>
        <w:t xml:space="preserve"> Фонду);</w:t>
      </w:r>
    </w:p>
    <w:p w:rsidR="001B3F5D" w:rsidRPr="00242020" w:rsidRDefault="001B3F5D" w:rsidP="005A5D40">
      <w:pPr>
        <w:jc w:val="both"/>
        <w:rPr>
          <w:szCs w:val="28"/>
        </w:rPr>
      </w:pPr>
      <w:r w:rsidRPr="00242020">
        <w:rPr>
          <w:szCs w:val="28"/>
        </w:rPr>
        <w:t xml:space="preserve">– забезпечення впровадження та функціонування елементів інформаційної взаємодії електронних інформаційних систем та баз даних </w:t>
      </w:r>
      <w:r w:rsidRPr="00242020">
        <w:rPr>
          <w:szCs w:val="28"/>
        </w:rPr>
        <w:lastRenderedPageBreak/>
        <w:t>державних органів.</w:t>
      </w:r>
    </w:p>
    <w:p w:rsidR="001B3F5D" w:rsidRPr="00242020" w:rsidRDefault="001B3F5D" w:rsidP="005A5D40">
      <w:pPr>
        <w:jc w:val="both"/>
        <w:rPr>
          <w:szCs w:val="28"/>
        </w:rPr>
      </w:pPr>
      <w:r w:rsidRPr="00242020">
        <w:rPr>
          <w:szCs w:val="28"/>
        </w:rPr>
        <w:t xml:space="preserve">Відповідно до вищезазначених пріоритетних напрямів завданнями з розвитку </w:t>
      </w:r>
      <w:proofErr w:type="spellStart"/>
      <w:r w:rsidRPr="00242020">
        <w:rPr>
          <w:szCs w:val="28"/>
        </w:rPr>
        <w:t>ЄКІМ</w:t>
      </w:r>
      <w:proofErr w:type="spellEnd"/>
      <w:r w:rsidRPr="00242020">
        <w:rPr>
          <w:szCs w:val="28"/>
        </w:rPr>
        <w:t xml:space="preserve"> є:</w:t>
      </w:r>
    </w:p>
    <w:p w:rsidR="001B3F5D" w:rsidRPr="00242020" w:rsidRDefault="001B3F5D" w:rsidP="005A5D40">
      <w:pPr>
        <w:jc w:val="both"/>
        <w:rPr>
          <w:szCs w:val="28"/>
        </w:rPr>
      </w:pPr>
      <w:r w:rsidRPr="00242020">
        <w:rPr>
          <w:szCs w:val="28"/>
        </w:rPr>
        <w:t xml:space="preserve">1. Продовження робіт зі створення єдиного інформаційного банку даних </w:t>
      </w:r>
      <w:proofErr w:type="spellStart"/>
      <w:r w:rsidRPr="00242020">
        <w:rPr>
          <w:szCs w:val="28"/>
        </w:rPr>
        <w:t>ЄКІМ</w:t>
      </w:r>
      <w:proofErr w:type="spellEnd"/>
      <w:r w:rsidRPr="00242020">
        <w:rPr>
          <w:szCs w:val="28"/>
        </w:rPr>
        <w:t xml:space="preserve"> як складової частини Реєстру.</w:t>
      </w:r>
    </w:p>
    <w:p w:rsidR="001B3F5D" w:rsidRPr="00242020" w:rsidRDefault="001B3F5D" w:rsidP="005A5D40">
      <w:pPr>
        <w:jc w:val="both"/>
        <w:rPr>
          <w:szCs w:val="28"/>
        </w:rPr>
      </w:pPr>
      <w:r w:rsidRPr="00242020">
        <w:rPr>
          <w:szCs w:val="28"/>
        </w:rPr>
        <w:t xml:space="preserve">2. Модернізація апаратного забезпечення </w:t>
      </w:r>
      <w:proofErr w:type="spellStart"/>
      <w:r w:rsidRPr="00242020">
        <w:rPr>
          <w:szCs w:val="28"/>
        </w:rPr>
        <w:t>ЄКІМ</w:t>
      </w:r>
      <w:proofErr w:type="spellEnd"/>
      <w:r w:rsidRPr="00242020">
        <w:rPr>
          <w:szCs w:val="28"/>
        </w:rPr>
        <w:t xml:space="preserve"> з метою забезпечення його відповідності сучасним вимогам.</w:t>
      </w:r>
    </w:p>
    <w:p w:rsidR="001B3F5D" w:rsidRPr="00242020" w:rsidRDefault="001B3F5D" w:rsidP="005A5D40">
      <w:pPr>
        <w:jc w:val="both"/>
        <w:rPr>
          <w:szCs w:val="28"/>
        </w:rPr>
      </w:pPr>
      <w:r w:rsidRPr="00242020">
        <w:rPr>
          <w:szCs w:val="28"/>
        </w:rPr>
        <w:t xml:space="preserve">3. Забезпечення функціонування </w:t>
      </w:r>
      <w:proofErr w:type="spellStart"/>
      <w:r w:rsidRPr="00242020">
        <w:rPr>
          <w:szCs w:val="28"/>
        </w:rPr>
        <w:t>ЄКІС</w:t>
      </w:r>
      <w:proofErr w:type="spellEnd"/>
      <w:r w:rsidRPr="00242020">
        <w:rPr>
          <w:szCs w:val="28"/>
        </w:rPr>
        <w:t xml:space="preserve"> на основі ліцензійного програмного забезпечення.</w:t>
      </w:r>
    </w:p>
    <w:p w:rsidR="001B3F5D" w:rsidRPr="00242020" w:rsidRDefault="001B3F5D" w:rsidP="005A5D40">
      <w:pPr>
        <w:jc w:val="both"/>
        <w:rPr>
          <w:szCs w:val="28"/>
        </w:rPr>
      </w:pPr>
      <w:r w:rsidRPr="00242020">
        <w:rPr>
          <w:szCs w:val="28"/>
        </w:rPr>
        <w:t xml:space="preserve">4. Підтримка функціонування програмного забезпечення інформаційних систем </w:t>
      </w:r>
      <w:proofErr w:type="spellStart"/>
      <w:r w:rsidRPr="00242020">
        <w:rPr>
          <w:szCs w:val="28"/>
        </w:rPr>
        <w:t>ЄКІС</w:t>
      </w:r>
      <w:proofErr w:type="spellEnd"/>
      <w:r w:rsidRPr="00242020">
        <w:rPr>
          <w:szCs w:val="28"/>
        </w:rPr>
        <w:t>.</w:t>
      </w:r>
    </w:p>
    <w:p w:rsidR="001B3F5D" w:rsidRPr="00242020" w:rsidRDefault="001B3F5D" w:rsidP="005A5D40">
      <w:pPr>
        <w:jc w:val="both"/>
        <w:rPr>
          <w:szCs w:val="28"/>
        </w:rPr>
      </w:pPr>
      <w:r w:rsidRPr="00242020">
        <w:rPr>
          <w:szCs w:val="28"/>
        </w:rPr>
        <w:t xml:space="preserve">5. Забезпечення функціонування </w:t>
      </w:r>
      <w:proofErr w:type="spellStart"/>
      <w:r w:rsidRPr="00242020">
        <w:rPr>
          <w:szCs w:val="28"/>
        </w:rPr>
        <w:t>САДД</w:t>
      </w:r>
      <w:proofErr w:type="spellEnd"/>
      <w:r w:rsidRPr="00242020">
        <w:rPr>
          <w:szCs w:val="28"/>
        </w:rPr>
        <w:t xml:space="preserve"> Фонду.</w:t>
      </w:r>
    </w:p>
    <w:p w:rsidR="001B3F5D" w:rsidRPr="00242020" w:rsidRDefault="001B3F5D" w:rsidP="005A5D40">
      <w:pPr>
        <w:jc w:val="both"/>
        <w:rPr>
          <w:szCs w:val="28"/>
        </w:rPr>
      </w:pPr>
      <w:r w:rsidRPr="00242020">
        <w:rPr>
          <w:szCs w:val="28"/>
        </w:rPr>
        <w:t>6. Виконання робіт у рамках створення системи інформаційного забезпечення діяльності Уряду та органів виконавчої влади.</w:t>
      </w:r>
    </w:p>
    <w:p w:rsidR="001B3F5D" w:rsidRPr="00242020" w:rsidRDefault="001B3F5D" w:rsidP="005A5D40">
      <w:pPr>
        <w:jc w:val="both"/>
        <w:rPr>
          <w:szCs w:val="28"/>
        </w:rPr>
      </w:pPr>
      <w:r w:rsidRPr="00242020">
        <w:rPr>
          <w:szCs w:val="28"/>
        </w:rPr>
        <w:t xml:space="preserve">Відповідно до стратегії Фонду із забезпечення прозорої роботи за всіма напрямами діяльності офіційний </w:t>
      </w:r>
      <w:proofErr w:type="spellStart"/>
      <w:r w:rsidRPr="00242020">
        <w:rPr>
          <w:szCs w:val="28"/>
        </w:rPr>
        <w:t>веб-сайт</w:t>
      </w:r>
      <w:proofErr w:type="spellEnd"/>
      <w:r w:rsidRPr="00242020">
        <w:rPr>
          <w:szCs w:val="28"/>
        </w:rPr>
        <w:t xml:space="preserve"> Фонду повинен відповідати загальній концепції інформаційного розвитку щодо актуальності, прозорості, повноти, структурованості інформації та налагодженню зворотного зв’язку з цільовою аудиторією.</w:t>
      </w:r>
    </w:p>
    <w:p w:rsidR="001B3F5D" w:rsidRPr="00242020" w:rsidRDefault="001B3F5D" w:rsidP="005A5D40">
      <w:pPr>
        <w:jc w:val="both"/>
        <w:rPr>
          <w:szCs w:val="28"/>
        </w:rPr>
      </w:pPr>
      <w:r w:rsidRPr="00242020">
        <w:rPr>
          <w:szCs w:val="28"/>
        </w:rPr>
        <w:t xml:space="preserve">З урахуванням цього у 2016 році офіційний </w:t>
      </w:r>
      <w:proofErr w:type="spellStart"/>
      <w:r w:rsidRPr="00242020">
        <w:rPr>
          <w:szCs w:val="28"/>
        </w:rPr>
        <w:t>веб-сайт</w:t>
      </w:r>
      <w:proofErr w:type="spellEnd"/>
      <w:r w:rsidRPr="00242020">
        <w:rPr>
          <w:szCs w:val="28"/>
        </w:rPr>
        <w:t xml:space="preserve"> Фонду було удосконалено та створено його промо-сторінку (</w:t>
      </w:r>
      <w:proofErr w:type="spellStart"/>
      <w:r w:rsidRPr="00242020">
        <w:rPr>
          <w:szCs w:val="28"/>
        </w:rPr>
        <w:t>www.privatization.gov.ua</w:t>
      </w:r>
      <w:proofErr w:type="spellEnd"/>
      <w:r w:rsidRPr="00242020">
        <w:rPr>
          <w:szCs w:val="28"/>
        </w:rPr>
        <w:t>), зокрема:</w:t>
      </w:r>
    </w:p>
    <w:p w:rsidR="001B3F5D" w:rsidRPr="00242020" w:rsidRDefault="001B3F5D" w:rsidP="005A5D40">
      <w:pPr>
        <w:jc w:val="both"/>
        <w:rPr>
          <w:szCs w:val="28"/>
        </w:rPr>
      </w:pPr>
      <w:r w:rsidRPr="00242020">
        <w:rPr>
          <w:szCs w:val="28"/>
        </w:rPr>
        <w:t xml:space="preserve">– створено єдину та уніфіковану </w:t>
      </w:r>
      <w:proofErr w:type="spellStart"/>
      <w:r w:rsidRPr="00242020">
        <w:rPr>
          <w:szCs w:val="28"/>
        </w:rPr>
        <w:t>веб-платформу</w:t>
      </w:r>
      <w:proofErr w:type="spellEnd"/>
      <w:r w:rsidRPr="00242020">
        <w:rPr>
          <w:szCs w:val="28"/>
        </w:rPr>
        <w:t xml:space="preserve"> з централізованою системою управління контентом;</w:t>
      </w:r>
    </w:p>
    <w:p w:rsidR="001B3F5D" w:rsidRPr="00242020" w:rsidRDefault="001B3F5D" w:rsidP="005A5D40">
      <w:pPr>
        <w:jc w:val="both"/>
        <w:rPr>
          <w:szCs w:val="28"/>
        </w:rPr>
      </w:pPr>
      <w:r w:rsidRPr="00242020">
        <w:rPr>
          <w:szCs w:val="28"/>
        </w:rPr>
        <w:t>– створено каталог об’єктів приватизації та оренди;</w:t>
      </w:r>
    </w:p>
    <w:p w:rsidR="001B3F5D" w:rsidRPr="00242020" w:rsidRDefault="001B3F5D" w:rsidP="005A5D40">
      <w:pPr>
        <w:jc w:val="both"/>
        <w:rPr>
          <w:szCs w:val="28"/>
        </w:rPr>
      </w:pPr>
      <w:r w:rsidRPr="00242020">
        <w:rPr>
          <w:szCs w:val="28"/>
        </w:rPr>
        <w:t>– забезпечено зворотний зв’язок з громадськістю та бізнесом щодо інформації про потенційні об’єкти приватизації та оренди, обговорення проектів нормативно-правових актів.</w:t>
      </w:r>
    </w:p>
    <w:p w:rsidR="001B3F5D" w:rsidRPr="00242020" w:rsidRDefault="001B3F5D" w:rsidP="005A5D40">
      <w:pPr>
        <w:jc w:val="both"/>
        <w:rPr>
          <w:szCs w:val="28"/>
        </w:rPr>
      </w:pPr>
      <w:r w:rsidRPr="00242020">
        <w:rPr>
          <w:szCs w:val="28"/>
        </w:rPr>
        <w:t>На виконання постанови Кабінету Міністрів України від 21 жовтня 2015 року № 835 «Про затвердження Положення про набори даних, які підлягають оприлюдненню у формі відкритих даних» на офіційному</w:t>
      </w:r>
      <w:r w:rsidRPr="00242020">
        <w:rPr>
          <w:szCs w:val="28"/>
        </w:rPr>
        <w:br/>
      </w:r>
      <w:proofErr w:type="spellStart"/>
      <w:r w:rsidRPr="00242020">
        <w:rPr>
          <w:szCs w:val="28"/>
        </w:rPr>
        <w:t>веб-сайті</w:t>
      </w:r>
      <w:proofErr w:type="spellEnd"/>
      <w:r w:rsidRPr="00242020">
        <w:rPr>
          <w:szCs w:val="28"/>
        </w:rPr>
        <w:t xml:space="preserve"> Фонду та Єдиному державному </w:t>
      </w:r>
      <w:proofErr w:type="spellStart"/>
      <w:r w:rsidRPr="00242020">
        <w:rPr>
          <w:szCs w:val="28"/>
        </w:rPr>
        <w:t>веб-порталі</w:t>
      </w:r>
      <w:proofErr w:type="spellEnd"/>
      <w:r w:rsidRPr="00242020">
        <w:rPr>
          <w:szCs w:val="28"/>
        </w:rPr>
        <w:t xml:space="preserve"> відкритих даних (</w:t>
      </w:r>
      <w:proofErr w:type="spellStart"/>
      <w:r w:rsidRPr="00242020">
        <w:rPr>
          <w:szCs w:val="28"/>
        </w:rPr>
        <w:t>data.gov.ua</w:t>
      </w:r>
      <w:proofErr w:type="spellEnd"/>
      <w:r w:rsidRPr="00242020">
        <w:rPr>
          <w:szCs w:val="28"/>
        </w:rPr>
        <w:t xml:space="preserve">) Фондом </w:t>
      </w:r>
      <w:proofErr w:type="spellStart"/>
      <w:r w:rsidRPr="00242020">
        <w:rPr>
          <w:szCs w:val="28"/>
        </w:rPr>
        <w:t>оприлюднено</w:t>
      </w:r>
      <w:proofErr w:type="spellEnd"/>
      <w:r w:rsidRPr="00242020">
        <w:rPr>
          <w:szCs w:val="28"/>
        </w:rPr>
        <w:t xml:space="preserve"> набори даних, які щоквартально оновлюються, зокрема: Реєстр концесійних договорів, Державний реєстр оцінювачів та суб’єктів оціночної діяльності, Реєстр організаторів аукціонів по відчуженню майна, Реєстр корпоративних прав держави у статутних капіталах господарських товариств, Єдиний реєстр об’єктів державної власності (реєстр (перелік) суб’єктів господарювання державного сектору економіки), Реєстр договорів (угод) Фонду про організацію продажу майна, що перебуває у державній власності, Перелік потенційних об’єктів оренди державного майна тощо.</w:t>
      </w:r>
    </w:p>
    <w:p w:rsidR="00D226C3" w:rsidRPr="00242020" w:rsidRDefault="00D226C3"/>
    <w:p w:rsidR="00E427AD" w:rsidRPr="00242020" w:rsidRDefault="00E427AD">
      <w:pPr>
        <w:sectPr w:rsidR="00E427AD" w:rsidRPr="00242020" w:rsidSect="00BE4231">
          <w:footerReference w:type="default" r:id="rId20"/>
          <w:pgSz w:w="11906" w:h="16838"/>
          <w:pgMar w:top="1134" w:right="851" w:bottom="1134" w:left="1418" w:header="709" w:footer="709" w:gutter="0"/>
          <w:cols w:space="708"/>
          <w:docGrid w:linePitch="381"/>
        </w:sectPr>
      </w:pPr>
    </w:p>
    <w:p w:rsidR="00E427AD" w:rsidRPr="00242020" w:rsidRDefault="00E427AD" w:rsidP="00E427AD">
      <w:pPr>
        <w:pStyle w:val="1"/>
      </w:pPr>
      <w:r w:rsidRPr="00242020">
        <w:lastRenderedPageBreak/>
        <w:t>10. Організаційно-кадрова діяльність Фонду</w:t>
      </w:r>
    </w:p>
    <w:p w:rsidR="004252F1" w:rsidRPr="00242020" w:rsidRDefault="004252F1" w:rsidP="004252F1">
      <w:pPr>
        <w:ind w:firstLine="720"/>
        <w:jc w:val="both"/>
        <w:rPr>
          <w:sz w:val="12"/>
          <w:szCs w:val="12"/>
        </w:rPr>
      </w:pPr>
    </w:p>
    <w:p w:rsidR="00E427AD" w:rsidRPr="00242020" w:rsidRDefault="00E427AD" w:rsidP="00E427AD">
      <w:pPr>
        <w:pStyle w:val="2"/>
      </w:pPr>
      <w:r w:rsidRPr="00242020">
        <w:t>10.1. Кадрова діяльність</w:t>
      </w:r>
    </w:p>
    <w:p w:rsidR="004252F1" w:rsidRPr="00242020" w:rsidRDefault="004252F1" w:rsidP="004252F1">
      <w:pPr>
        <w:ind w:firstLine="720"/>
        <w:jc w:val="both"/>
        <w:rPr>
          <w:sz w:val="12"/>
          <w:szCs w:val="12"/>
        </w:rPr>
      </w:pPr>
      <w:bookmarkStart w:id="2" w:name="_Toc447023508"/>
    </w:p>
    <w:p w:rsidR="008077E6" w:rsidRPr="00242020" w:rsidRDefault="008077E6" w:rsidP="00A51F75">
      <w:pPr>
        <w:jc w:val="both"/>
        <w:rPr>
          <w:rFonts w:eastAsia="Times New Roman" w:cs="Times New Roman"/>
          <w:szCs w:val="28"/>
          <w:lang w:eastAsia="ru-RU"/>
        </w:rPr>
      </w:pPr>
      <w:r w:rsidRPr="00242020">
        <w:rPr>
          <w:rFonts w:eastAsia="Times New Roman" w:cs="Times New Roman"/>
          <w:szCs w:val="28"/>
          <w:lang w:eastAsia="ru-RU"/>
        </w:rPr>
        <w:t>Система органів приватизації складається з Фонду державного майна України та 25 регіональних відділень Фонду державного майна України. До структури апарату Фонду входять: 9 департаментів, у складі яких перебуває 20 управлінь та 10 відділів;</w:t>
      </w:r>
      <w:r w:rsidRPr="00242020">
        <w:rPr>
          <w:rFonts w:eastAsia="Times New Roman" w:cs="Times New Roman"/>
          <w:color w:val="FF0000"/>
          <w:szCs w:val="28"/>
          <w:lang w:eastAsia="ru-RU"/>
        </w:rPr>
        <w:t xml:space="preserve"> </w:t>
      </w:r>
      <w:r w:rsidRPr="00242020">
        <w:rPr>
          <w:rFonts w:eastAsia="Times New Roman" w:cs="Times New Roman"/>
          <w:szCs w:val="28"/>
          <w:lang w:eastAsia="ru-RU"/>
        </w:rPr>
        <w:t>1 самостійне управління; 3 самостійних відділи та</w:t>
      </w:r>
      <w:r w:rsidRPr="00242020">
        <w:rPr>
          <w:rFonts w:eastAsia="Times New Roman" w:cs="Times New Roman"/>
          <w:szCs w:val="28"/>
          <w:lang w:eastAsia="ru-RU"/>
        </w:rPr>
        <w:br/>
        <w:t>1 самостійний сектор.</w:t>
      </w:r>
    </w:p>
    <w:p w:rsidR="008077E6" w:rsidRPr="00242020" w:rsidRDefault="008077E6" w:rsidP="00A51F75">
      <w:pPr>
        <w:jc w:val="both"/>
        <w:rPr>
          <w:rFonts w:eastAsia="Times New Roman" w:cs="Times New Roman"/>
          <w:szCs w:val="20"/>
          <w:lang w:eastAsia="ru-RU"/>
        </w:rPr>
      </w:pPr>
      <w:r w:rsidRPr="00242020">
        <w:rPr>
          <w:rFonts w:eastAsia="Times New Roman" w:cs="Times New Roman"/>
          <w:szCs w:val="20"/>
          <w:lang w:eastAsia="ru-RU"/>
        </w:rPr>
        <w:t>Формування структури апарату і регіональних відділень Фонду та їх кадрове забезпечення здійснюються відповідно до вимог Закону України «Про державну службу», Кодексу законів про працю України, Закону України «Про Фонд державного майна України» та інших нормативно-правових актів.</w:t>
      </w:r>
    </w:p>
    <w:p w:rsidR="008077E6" w:rsidRPr="00242020" w:rsidRDefault="008077E6" w:rsidP="00A51F75">
      <w:pPr>
        <w:jc w:val="both"/>
        <w:rPr>
          <w:rFonts w:eastAsia="Times New Roman" w:cs="Times New Roman"/>
          <w:szCs w:val="20"/>
          <w:lang w:eastAsia="ru-RU"/>
        </w:rPr>
      </w:pPr>
      <w:r w:rsidRPr="00242020">
        <w:rPr>
          <w:rFonts w:eastAsia="Times New Roman" w:cs="Times New Roman"/>
          <w:szCs w:val="28"/>
          <w:lang w:eastAsia="ru-RU"/>
        </w:rPr>
        <w:t>Відповідно до постанови Кабінету Міністрів України від 16 грудня 2015 року № 1056 «Про внесення змін в додаток 1 до</w:t>
      </w:r>
      <w:r w:rsidRPr="00242020">
        <w:rPr>
          <w:rFonts w:eastAsia="Times New Roman" w:cs="Times New Roman"/>
          <w:szCs w:val="20"/>
          <w:lang w:eastAsia="ru-RU"/>
        </w:rPr>
        <w:t xml:space="preserve"> постанови Кабінету Міністрів України від 5 квітня 2014 року № 85 «Деякі питання затвердження граничної чисельності працівників апарату та територіальних органів центральних органів виконавчої влади, інших державних органів» визначено граничну чисельність апарату Фонду – 460 штатних одиниць, регіональних відділень Фонду – 1 194 штатні одиниці. </w:t>
      </w:r>
    </w:p>
    <w:p w:rsidR="008077E6" w:rsidRPr="00242020" w:rsidRDefault="008077E6" w:rsidP="00A51F75">
      <w:pPr>
        <w:jc w:val="both"/>
        <w:rPr>
          <w:rFonts w:eastAsia="Times New Roman" w:cs="Times New Roman"/>
          <w:szCs w:val="28"/>
          <w:lang w:eastAsia="ru-RU"/>
        </w:rPr>
      </w:pPr>
      <w:r w:rsidRPr="00242020">
        <w:rPr>
          <w:rFonts w:eastAsia="Times New Roman" w:cs="Times New Roman"/>
          <w:szCs w:val="20"/>
          <w:lang w:eastAsia="ru-RU"/>
        </w:rPr>
        <w:t>Штатний розпис апарату Фонду на 2016 рік, погоджений Міністерством фінансів України, введено в дію з 01 березня 2016 року. З початку року введено в дію 26 переліків змін до штатного розпису, а з</w:t>
      </w:r>
      <w:r w:rsidRPr="00242020">
        <w:rPr>
          <w:rFonts w:eastAsia="Times New Roman" w:cs="Times New Roman"/>
          <w:szCs w:val="28"/>
          <w:lang w:eastAsia="ru-RU"/>
        </w:rPr>
        <w:t xml:space="preserve"> 01 липня 2016 року – новий штатний розпис апарату Фонду, погоджений з Міністерством фінансів України. З 10 жовтня 2016 року введено в дію Перелік № 1 та 30 грудня 2016 року Перелік № 2 змін до штатного розпису апарату Фонду.</w:t>
      </w:r>
    </w:p>
    <w:p w:rsidR="008077E6" w:rsidRPr="00242020" w:rsidRDefault="008077E6" w:rsidP="00A51F75">
      <w:pPr>
        <w:jc w:val="both"/>
        <w:rPr>
          <w:rFonts w:eastAsia="Times New Roman" w:cs="Times New Roman"/>
          <w:szCs w:val="28"/>
          <w:lang w:eastAsia="ru-RU"/>
        </w:rPr>
      </w:pPr>
      <w:r w:rsidRPr="00242020">
        <w:rPr>
          <w:rFonts w:eastAsia="Times New Roman" w:cs="Times New Roman"/>
          <w:szCs w:val="28"/>
          <w:lang w:eastAsia="ru-RU"/>
        </w:rPr>
        <w:t>Також затверджено штатні розписи 25 регіональних відділень та введено в дію 59 переліків змін до них.</w:t>
      </w:r>
    </w:p>
    <w:p w:rsidR="008077E6" w:rsidRPr="00242020" w:rsidRDefault="008077E6" w:rsidP="00A51F75">
      <w:pPr>
        <w:jc w:val="both"/>
        <w:rPr>
          <w:rFonts w:eastAsia="Times New Roman" w:cs="Times New Roman"/>
          <w:szCs w:val="20"/>
          <w:lang w:eastAsia="ru-RU"/>
        </w:rPr>
      </w:pPr>
      <w:r w:rsidRPr="00242020">
        <w:rPr>
          <w:rFonts w:eastAsia="Times New Roman" w:cs="Times New Roman"/>
          <w:szCs w:val="20"/>
          <w:lang w:eastAsia="ru-RU"/>
        </w:rPr>
        <w:t>З метою дотримання норм Закону України від 10 грудня 2015 року № 889-VІІІ «Про державну службу» було вжито заходи для належного впровадження цього Закону, зокрема:</w:t>
      </w:r>
    </w:p>
    <w:p w:rsidR="008077E6" w:rsidRPr="00242020" w:rsidRDefault="008077E6" w:rsidP="00A51F75">
      <w:pPr>
        <w:jc w:val="both"/>
        <w:rPr>
          <w:rFonts w:eastAsia="Times New Roman" w:cs="Times New Roman"/>
          <w:szCs w:val="20"/>
          <w:lang w:eastAsia="ru-RU"/>
        </w:rPr>
      </w:pPr>
      <w:r w:rsidRPr="00242020">
        <w:rPr>
          <w:rFonts w:eastAsia="Times New Roman" w:cs="Times New Roman"/>
          <w:szCs w:val="20"/>
          <w:lang w:eastAsia="ru-RU"/>
        </w:rPr>
        <w:t>– розроблено переліки посад працівників апарату Фонду та регіональних відділень, які виконують функції з обслуговування, та погоджено з Національним агентством</w:t>
      </w:r>
      <w:r w:rsidR="001763DC" w:rsidRPr="00242020">
        <w:rPr>
          <w:rFonts w:eastAsia="Times New Roman" w:cs="Times New Roman"/>
          <w:szCs w:val="20"/>
          <w:lang w:eastAsia="ru-RU"/>
        </w:rPr>
        <w:t xml:space="preserve"> </w:t>
      </w:r>
      <w:r w:rsidRPr="00242020">
        <w:rPr>
          <w:rFonts w:eastAsia="Times New Roman" w:cs="Times New Roman"/>
          <w:szCs w:val="20"/>
          <w:lang w:eastAsia="ru-RU"/>
        </w:rPr>
        <w:t>України з питань державної служби;</w:t>
      </w:r>
    </w:p>
    <w:p w:rsidR="008077E6" w:rsidRPr="00242020" w:rsidRDefault="008077E6" w:rsidP="00A51F75">
      <w:pPr>
        <w:jc w:val="both"/>
        <w:rPr>
          <w:rFonts w:eastAsia="Times New Roman" w:cs="Times New Roman"/>
          <w:szCs w:val="20"/>
          <w:lang w:eastAsia="ru-RU"/>
        </w:rPr>
      </w:pPr>
      <w:r w:rsidRPr="00242020">
        <w:rPr>
          <w:rFonts w:eastAsia="Times New Roman" w:cs="Times New Roman"/>
          <w:szCs w:val="20"/>
          <w:lang w:eastAsia="ru-RU"/>
        </w:rPr>
        <w:t>– затверджено штатні розписи апарату Фонду та регіональних відділень з урахуванням вимог щодо дотримання співвідношення посад категорії «Б» до штатної чисельності регіонального відділення не більше ніж 1 до 3;</w:t>
      </w:r>
    </w:p>
    <w:p w:rsidR="008077E6" w:rsidRPr="00242020" w:rsidRDefault="008077E6" w:rsidP="00A51F75">
      <w:pPr>
        <w:jc w:val="both"/>
        <w:rPr>
          <w:rFonts w:eastAsia="Times New Roman" w:cs="Times New Roman"/>
          <w:szCs w:val="20"/>
          <w:lang w:eastAsia="ru-RU"/>
        </w:rPr>
      </w:pPr>
      <w:r w:rsidRPr="00242020">
        <w:rPr>
          <w:rFonts w:eastAsia="Times New Roman" w:cs="Times New Roman"/>
          <w:szCs w:val="20"/>
          <w:lang w:eastAsia="ru-RU"/>
        </w:rPr>
        <w:t>– присвоєно ранги державним службовцям апарату Фонду та керівництву регіональних відділень відповідно до статті 39 Закону України «Про державну службу» та Порядку присвоєння рангів державних службовців, затвердженого постановою Кабінету Міністрів України від 20 квітня 2016 року № 306, та зроблено відповідні записи в трудові книжки державних службовців апарату Фонду;</w:t>
      </w:r>
    </w:p>
    <w:p w:rsidR="008077E6" w:rsidRPr="00242020" w:rsidRDefault="008077E6" w:rsidP="00A51F75">
      <w:pPr>
        <w:jc w:val="both"/>
        <w:rPr>
          <w:rFonts w:eastAsia="Times New Roman" w:cs="Times New Roman"/>
          <w:szCs w:val="20"/>
          <w:lang w:eastAsia="ru-RU"/>
        </w:rPr>
      </w:pPr>
      <w:r w:rsidRPr="00242020">
        <w:rPr>
          <w:rFonts w:eastAsia="Times New Roman" w:cs="Times New Roman"/>
          <w:szCs w:val="20"/>
          <w:lang w:eastAsia="ru-RU"/>
        </w:rPr>
        <w:t xml:space="preserve">– встановлено надбавки за вислугу років на державній службі державним службовцям апарату Фонду та керівникам регіональних відділень Фонду </w:t>
      </w:r>
      <w:r w:rsidRPr="00242020">
        <w:rPr>
          <w:rFonts w:eastAsia="Times New Roman" w:cs="Times New Roman"/>
          <w:szCs w:val="20"/>
          <w:lang w:eastAsia="ru-RU"/>
        </w:rPr>
        <w:lastRenderedPageBreak/>
        <w:t>відповідно до статті 52 Закону України «Про державну службу»;</w:t>
      </w:r>
    </w:p>
    <w:p w:rsidR="008077E6" w:rsidRPr="00242020" w:rsidRDefault="008077E6" w:rsidP="00A51F75">
      <w:pPr>
        <w:jc w:val="both"/>
        <w:rPr>
          <w:rFonts w:eastAsia="Times New Roman" w:cs="Times New Roman"/>
          <w:szCs w:val="20"/>
          <w:lang w:eastAsia="ru-RU"/>
        </w:rPr>
      </w:pPr>
      <w:r w:rsidRPr="00242020">
        <w:rPr>
          <w:rFonts w:eastAsia="Times New Roman" w:cs="Times New Roman"/>
          <w:szCs w:val="20"/>
          <w:lang w:eastAsia="ru-RU"/>
        </w:rPr>
        <w:t>– затверджено склад конкурсної комісії для проведення конкурсу на зайняття посад державної служби апарату Фонду та керівного складу регіональних відділень Фонду;</w:t>
      </w:r>
    </w:p>
    <w:p w:rsidR="008077E6" w:rsidRPr="00242020" w:rsidRDefault="008077E6" w:rsidP="00A51F75">
      <w:pPr>
        <w:jc w:val="both"/>
        <w:rPr>
          <w:rFonts w:eastAsia="Times New Roman" w:cs="Times New Roman"/>
          <w:szCs w:val="20"/>
          <w:lang w:eastAsia="ru-RU"/>
        </w:rPr>
      </w:pPr>
      <w:r w:rsidRPr="00242020">
        <w:rPr>
          <w:rFonts w:eastAsia="Times New Roman" w:cs="Times New Roman"/>
          <w:szCs w:val="20"/>
          <w:lang w:eastAsia="ru-RU"/>
        </w:rPr>
        <w:t>– затверджено склад дисциплінарної комісії з розгляду дисциплінарних справ Фонду;</w:t>
      </w:r>
    </w:p>
    <w:p w:rsidR="008077E6" w:rsidRPr="00242020" w:rsidRDefault="008077E6" w:rsidP="00A51F75">
      <w:pPr>
        <w:jc w:val="both"/>
        <w:rPr>
          <w:rFonts w:eastAsia="Times New Roman" w:cs="Times New Roman"/>
          <w:szCs w:val="20"/>
          <w:lang w:eastAsia="ru-RU"/>
        </w:rPr>
      </w:pPr>
      <w:r w:rsidRPr="00242020">
        <w:rPr>
          <w:rFonts w:eastAsia="Times New Roman" w:cs="Times New Roman"/>
          <w:szCs w:val="20"/>
          <w:lang w:eastAsia="ru-RU"/>
        </w:rPr>
        <w:t>– розроблено та затверджено вимоги до осіб, які претендують на зайняття посад державної служби;</w:t>
      </w:r>
    </w:p>
    <w:p w:rsidR="008077E6" w:rsidRPr="00242020" w:rsidRDefault="008077E6" w:rsidP="00A51F75">
      <w:pPr>
        <w:jc w:val="both"/>
        <w:rPr>
          <w:rFonts w:eastAsia="Times New Roman" w:cs="Times New Roman"/>
          <w:szCs w:val="20"/>
          <w:lang w:eastAsia="ru-RU"/>
        </w:rPr>
      </w:pPr>
      <w:r w:rsidRPr="00242020">
        <w:rPr>
          <w:rFonts w:eastAsia="Times New Roman" w:cs="Times New Roman"/>
          <w:szCs w:val="20"/>
          <w:lang w:eastAsia="ru-RU"/>
        </w:rPr>
        <w:t>– розроблено та затверджено Правила внутрішнього службового розпорядку для державних службовців апарату Фонду.</w:t>
      </w:r>
    </w:p>
    <w:p w:rsidR="008077E6" w:rsidRPr="00242020" w:rsidRDefault="008077E6" w:rsidP="00A51F75">
      <w:pPr>
        <w:jc w:val="both"/>
        <w:rPr>
          <w:rFonts w:eastAsia="Times New Roman" w:cs="Times New Roman"/>
          <w:szCs w:val="28"/>
          <w:lang w:eastAsia="ru-RU"/>
        </w:rPr>
      </w:pPr>
      <w:r w:rsidRPr="00242020">
        <w:rPr>
          <w:rFonts w:eastAsia="Times New Roman" w:cs="Times New Roman"/>
          <w:szCs w:val="28"/>
          <w:lang w:eastAsia="ru-RU"/>
        </w:rPr>
        <w:t>За звітний період у Фонді було оголошено 7 конкурсів на заміщення вакантних посад категорій «Б» та «В», з яких один конкурс не відбувся у зв’язку з відсутністю заяв на участь у ньому.</w:t>
      </w:r>
    </w:p>
    <w:p w:rsidR="008077E6" w:rsidRPr="00242020" w:rsidRDefault="008077E6" w:rsidP="00A51F75">
      <w:pPr>
        <w:jc w:val="both"/>
        <w:rPr>
          <w:rFonts w:eastAsia="Times New Roman" w:cs="Times New Roman"/>
          <w:szCs w:val="28"/>
          <w:lang w:eastAsia="ru-RU"/>
        </w:rPr>
      </w:pPr>
      <w:r w:rsidRPr="00242020">
        <w:rPr>
          <w:rFonts w:eastAsia="Times New Roman" w:cs="Times New Roman"/>
          <w:szCs w:val="28"/>
          <w:lang w:eastAsia="ru-RU"/>
        </w:rPr>
        <w:t>Протягом 2016 року до Фонду та його регіональних відділень прийнято на роботу 164 особи, звільнено 289 осіб.</w:t>
      </w:r>
    </w:p>
    <w:p w:rsidR="008077E6" w:rsidRPr="00242020" w:rsidRDefault="008077E6" w:rsidP="00A51F75">
      <w:pPr>
        <w:jc w:val="both"/>
        <w:rPr>
          <w:rFonts w:eastAsia="Times New Roman" w:cs="Times New Roman"/>
          <w:szCs w:val="28"/>
          <w:lang w:eastAsia="ru-RU"/>
        </w:rPr>
      </w:pPr>
      <w:r w:rsidRPr="00242020">
        <w:rPr>
          <w:rFonts w:eastAsia="Times New Roman" w:cs="Times New Roman"/>
          <w:szCs w:val="28"/>
          <w:lang w:eastAsia="ru-RU"/>
        </w:rPr>
        <w:t>У звітному періоді Фондом підготовлено та надано відповідним органам влади звітність з питань кадрової діяльності.</w:t>
      </w:r>
    </w:p>
    <w:p w:rsidR="008077E6" w:rsidRPr="00242020" w:rsidRDefault="008077E6" w:rsidP="00A51F75">
      <w:pPr>
        <w:jc w:val="both"/>
        <w:rPr>
          <w:rFonts w:eastAsia="Times New Roman" w:cs="Times New Roman"/>
          <w:szCs w:val="28"/>
          <w:lang w:eastAsia="ru-RU"/>
        </w:rPr>
      </w:pPr>
      <w:r w:rsidRPr="00242020">
        <w:rPr>
          <w:rFonts w:eastAsia="Times New Roman" w:cs="Times New Roman"/>
          <w:szCs w:val="28"/>
          <w:lang w:eastAsia="ru-RU"/>
        </w:rPr>
        <w:t>Забезпечується супроводження Єдиної державної комп’ютерної системи (</w:t>
      </w:r>
      <w:proofErr w:type="spellStart"/>
      <w:r w:rsidRPr="00242020">
        <w:rPr>
          <w:rFonts w:eastAsia="Times New Roman" w:cs="Times New Roman"/>
          <w:szCs w:val="28"/>
          <w:lang w:eastAsia="ru-RU"/>
        </w:rPr>
        <w:t>ЄДКС</w:t>
      </w:r>
      <w:proofErr w:type="spellEnd"/>
      <w:r w:rsidRPr="00242020">
        <w:rPr>
          <w:rFonts w:eastAsia="Times New Roman" w:cs="Times New Roman"/>
          <w:szCs w:val="28"/>
          <w:lang w:eastAsia="ru-RU"/>
        </w:rPr>
        <w:t>) «Кадри», база якої налічує 1 853 особові справи. У звітному періоді проведено роботу з підготовки та передачі на зберігання до архіву кадрових документів за 2014 рік, документів тимчасового зберігання по 2007 рік включно.</w:t>
      </w:r>
    </w:p>
    <w:p w:rsidR="008077E6" w:rsidRPr="00242020" w:rsidRDefault="008077E6" w:rsidP="00A51F75">
      <w:pPr>
        <w:jc w:val="both"/>
        <w:rPr>
          <w:rFonts w:eastAsia="Times New Roman" w:cs="Times New Roman"/>
          <w:szCs w:val="28"/>
          <w:lang w:eastAsia="ru-RU"/>
        </w:rPr>
      </w:pPr>
      <w:r w:rsidRPr="00242020">
        <w:rPr>
          <w:rFonts w:eastAsia="Times New Roman" w:cs="Times New Roman"/>
          <w:szCs w:val="28"/>
          <w:lang w:eastAsia="ru-RU"/>
        </w:rPr>
        <w:t xml:space="preserve">Значна увага приділяється навчанню та підвищенню кваліфікації працівників державних органів приватизації для забезпечення ефективного та якісного виконання ними встановлених завдань, зокрема: в Інституті підвищення кваліфікації керівних кадрів Національної академії державного управління при Президентові України у звітному періоді підвищили кваліфікацію 109 </w:t>
      </w:r>
      <w:proofErr w:type="spellStart"/>
      <w:r w:rsidRPr="00242020">
        <w:rPr>
          <w:rFonts w:eastAsia="Times New Roman" w:cs="Times New Roman"/>
          <w:szCs w:val="28"/>
          <w:lang w:eastAsia="ru-RU"/>
        </w:rPr>
        <w:t>держслужбовців</w:t>
      </w:r>
      <w:proofErr w:type="spellEnd"/>
      <w:r w:rsidRPr="00242020">
        <w:rPr>
          <w:rFonts w:eastAsia="Times New Roman" w:cs="Times New Roman"/>
          <w:szCs w:val="28"/>
          <w:lang w:eastAsia="ru-RU"/>
        </w:rPr>
        <w:t xml:space="preserve"> Фонду та 65 – в інших центрах підвищення кваліфікації. Шляхом стажування підвищили кваліфікацію 49 осіб. В апараті Фонду пройшли практику 18 студентів навчальних закладів України.</w:t>
      </w:r>
    </w:p>
    <w:p w:rsidR="008077E6" w:rsidRPr="00242020" w:rsidRDefault="008077E6" w:rsidP="00A51F75">
      <w:pPr>
        <w:jc w:val="both"/>
        <w:rPr>
          <w:rFonts w:eastAsia="Times New Roman" w:cs="Times New Roman"/>
          <w:szCs w:val="28"/>
          <w:lang w:eastAsia="ru-RU"/>
        </w:rPr>
      </w:pPr>
      <w:r w:rsidRPr="00242020">
        <w:rPr>
          <w:rFonts w:eastAsia="Times New Roman" w:cs="Times New Roman"/>
          <w:szCs w:val="28"/>
          <w:lang w:eastAsia="ru-RU"/>
        </w:rPr>
        <w:t xml:space="preserve">У рамках договору про надання послуг приватним вищим навчальним закладом «Міжнародний інститут бізнесу» на 2016 рік 53 державних службовці апарату Фонду пройшли навчання за програмами базової підготовки оцінювачів та підвищення кваліфікації оцінювачів. </w:t>
      </w:r>
    </w:p>
    <w:p w:rsidR="008077E6" w:rsidRPr="00242020" w:rsidRDefault="008077E6" w:rsidP="00A51F75">
      <w:pPr>
        <w:jc w:val="both"/>
        <w:rPr>
          <w:rFonts w:eastAsia="Times New Roman" w:cs="Times New Roman"/>
          <w:szCs w:val="20"/>
          <w:lang w:eastAsia="ru-RU"/>
        </w:rPr>
      </w:pPr>
      <w:r w:rsidRPr="00242020">
        <w:rPr>
          <w:rFonts w:eastAsia="Times New Roman" w:cs="Times New Roman"/>
          <w:szCs w:val="20"/>
          <w:lang w:eastAsia="ru-RU"/>
        </w:rPr>
        <w:t xml:space="preserve">Також у рамках Програми Україна-НАТО з професійного розвитку цивільного персоналу сектору безпеки та оборони 18 </w:t>
      </w:r>
      <w:proofErr w:type="spellStart"/>
      <w:r w:rsidRPr="00242020">
        <w:rPr>
          <w:rFonts w:eastAsia="Times New Roman" w:cs="Times New Roman"/>
          <w:szCs w:val="20"/>
          <w:lang w:eastAsia="ru-RU"/>
        </w:rPr>
        <w:t>держслужбовців</w:t>
      </w:r>
      <w:proofErr w:type="spellEnd"/>
      <w:r w:rsidRPr="00242020">
        <w:rPr>
          <w:rFonts w:eastAsia="Times New Roman" w:cs="Times New Roman"/>
          <w:szCs w:val="20"/>
          <w:lang w:eastAsia="ru-RU"/>
        </w:rPr>
        <w:t xml:space="preserve"> Фонду підвищили кваліфікацію з англійської мови.</w:t>
      </w:r>
      <w:bookmarkEnd w:id="2"/>
    </w:p>
    <w:p w:rsidR="004252F1" w:rsidRPr="00242020" w:rsidRDefault="004252F1" w:rsidP="004252F1">
      <w:pPr>
        <w:ind w:firstLine="720"/>
        <w:jc w:val="both"/>
        <w:rPr>
          <w:sz w:val="12"/>
          <w:szCs w:val="12"/>
        </w:rPr>
      </w:pPr>
    </w:p>
    <w:p w:rsidR="00E427AD" w:rsidRPr="00242020" w:rsidRDefault="00E427AD" w:rsidP="00E427AD">
      <w:pPr>
        <w:pStyle w:val="2"/>
        <w:rPr>
          <w:szCs w:val="28"/>
        </w:rPr>
      </w:pPr>
      <w:r w:rsidRPr="00242020">
        <w:t>10.2. Діяльність щодо запобігання корупції</w:t>
      </w:r>
    </w:p>
    <w:p w:rsidR="004252F1" w:rsidRPr="00242020" w:rsidRDefault="004252F1" w:rsidP="004252F1">
      <w:pPr>
        <w:ind w:firstLine="720"/>
        <w:jc w:val="both"/>
        <w:rPr>
          <w:sz w:val="12"/>
          <w:szCs w:val="12"/>
        </w:rPr>
      </w:pPr>
    </w:p>
    <w:p w:rsidR="00C605D5" w:rsidRPr="00242020" w:rsidRDefault="00C605D5" w:rsidP="00C605D5">
      <w:pPr>
        <w:jc w:val="both"/>
        <w:rPr>
          <w:rFonts w:eastAsia="Times New Roman" w:cs="Times New Roman"/>
          <w:szCs w:val="28"/>
          <w:lang w:eastAsia="ru-RU"/>
        </w:rPr>
      </w:pPr>
      <w:r w:rsidRPr="00242020">
        <w:rPr>
          <w:rFonts w:eastAsia="Times New Roman" w:cs="Times New Roman"/>
          <w:szCs w:val="28"/>
          <w:lang w:eastAsia="ru-RU"/>
        </w:rPr>
        <w:t>Відповідно до статті 12 Закону України «Про засади запобігання і протидії корупції» (далі – Закон) у Фонді проведено організаційну роботу щодо подання до 01 квітня 2016 року суб’єктами декларування декларацій про майно, доходи, витрати і зобов’язання фінансового характеру за 2015 рік. У двох випадках працівники Фонду подали декларації невчасно.</w:t>
      </w:r>
    </w:p>
    <w:p w:rsidR="00C605D5" w:rsidRPr="00242020" w:rsidRDefault="00C605D5" w:rsidP="00C605D5">
      <w:pPr>
        <w:jc w:val="both"/>
        <w:rPr>
          <w:rFonts w:eastAsia="Times New Roman" w:cs="Times New Roman"/>
          <w:szCs w:val="28"/>
          <w:lang w:eastAsia="ru-RU"/>
        </w:rPr>
      </w:pPr>
      <w:r w:rsidRPr="00242020">
        <w:rPr>
          <w:rFonts w:eastAsia="Times New Roman" w:cs="Times New Roman"/>
          <w:szCs w:val="28"/>
          <w:lang w:eastAsia="ru-RU"/>
        </w:rPr>
        <w:t xml:space="preserve">Згідно з вимогами пункту 2 статті 12 Закону копії декларацій про майно, </w:t>
      </w:r>
      <w:r w:rsidRPr="00242020">
        <w:rPr>
          <w:rFonts w:eastAsia="Times New Roman" w:cs="Times New Roman"/>
          <w:szCs w:val="28"/>
          <w:lang w:eastAsia="ru-RU"/>
        </w:rPr>
        <w:lastRenderedPageBreak/>
        <w:t xml:space="preserve">доходи, витрати і зобов’язання фінансового характеру керівництва Фонду </w:t>
      </w:r>
      <w:proofErr w:type="spellStart"/>
      <w:r w:rsidRPr="00242020">
        <w:rPr>
          <w:rFonts w:eastAsia="Times New Roman" w:cs="Times New Roman"/>
          <w:szCs w:val="28"/>
          <w:lang w:eastAsia="ru-RU"/>
        </w:rPr>
        <w:t>оприлюднено</w:t>
      </w:r>
      <w:proofErr w:type="spellEnd"/>
      <w:r w:rsidRPr="00242020">
        <w:rPr>
          <w:rFonts w:eastAsia="Times New Roman" w:cs="Times New Roman"/>
          <w:szCs w:val="28"/>
          <w:lang w:eastAsia="ru-RU"/>
        </w:rPr>
        <w:t xml:space="preserve"> на офіційному </w:t>
      </w:r>
      <w:proofErr w:type="spellStart"/>
      <w:r w:rsidRPr="00242020">
        <w:rPr>
          <w:rFonts w:eastAsia="Times New Roman" w:cs="Times New Roman"/>
          <w:szCs w:val="28"/>
          <w:lang w:eastAsia="ru-RU"/>
        </w:rPr>
        <w:t>веб-сайті</w:t>
      </w:r>
      <w:proofErr w:type="spellEnd"/>
      <w:r w:rsidRPr="00242020">
        <w:rPr>
          <w:rFonts w:eastAsia="Times New Roman" w:cs="Times New Roman"/>
          <w:szCs w:val="28"/>
          <w:lang w:eastAsia="ru-RU"/>
        </w:rPr>
        <w:t xml:space="preserve"> Фонду в рубриці «Запобігання корупції».</w:t>
      </w:r>
    </w:p>
    <w:p w:rsidR="00C605D5" w:rsidRPr="00242020" w:rsidRDefault="00C605D5" w:rsidP="00C605D5">
      <w:pPr>
        <w:jc w:val="both"/>
        <w:rPr>
          <w:rFonts w:eastAsia="Times New Roman" w:cs="Times New Roman"/>
          <w:szCs w:val="28"/>
          <w:lang w:eastAsia="ru-RU"/>
        </w:rPr>
      </w:pPr>
      <w:r w:rsidRPr="00242020">
        <w:rPr>
          <w:rFonts w:eastAsia="Times New Roman" w:cs="Times New Roman"/>
          <w:szCs w:val="28"/>
          <w:lang w:eastAsia="ru-RU"/>
        </w:rPr>
        <w:t>Крім того, відповідно до Закону з 1 січня 2012 року у Фонді запроваджено спеціальну перевірку осіб, які претендують на зайняття посад державних службовців.</w:t>
      </w:r>
    </w:p>
    <w:p w:rsidR="00C605D5" w:rsidRPr="00242020" w:rsidRDefault="00C605D5" w:rsidP="00C605D5">
      <w:pPr>
        <w:jc w:val="both"/>
        <w:rPr>
          <w:rFonts w:eastAsia="Times New Roman" w:cs="Times New Roman"/>
          <w:szCs w:val="28"/>
          <w:lang w:eastAsia="ru-RU"/>
        </w:rPr>
      </w:pPr>
      <w:r w:rsidRPr="00242020">
        <w:rPr>
          <w:rFonts w:eastAsia="Times New Roman" w:cs="Times New Roman"/>
          <w:szCs w:val="28"/>
          <w:lang w:eastAsia="ru-RU"/>
        </w:rPr>
        <w:t xml:space="preserve">У звітному періоді не було необхідності проводити спеціальну перевірку відомостей щодо осіб, які претендують на зайняття посад, пов’язаних з виконанням функцій держави. </w:t>
      </w:r>
    </w:p>
    <w:p w:rsidR="00C605D5" w:rsidRPr="00242020" w:rsidRDefault="00C605D5" w:rsidP="00C605D5">
      <w:pPr>
        <w:jc w:val="both"/>
        <w:rPr>
          <w:rFonts w:eastAsia="Times New Roman" w:cs="Times New Roman"/>
          <w:szCs w:val="28"/>
          <w:lang w:eastAsia="ru-RU"/>
        </w:rPr>
      </w:pPr>
      <w:r w:rsidRPr="00242020">
        <w:rPr>
          <w:rFonts w:eastAsia="Times New Roman" w:cs="Times New Roman"/>
          <w:szCs w:val="28"/>
          <w:lang w:eastAsia="ru-RU"/>
        </w:rPr>
        <w:t>Також згідно з положеннями Закону України «Про запобігання корупції», зокрема стосовно заходів фінансового контролю, у Фонді проведено заходи щодо ознайомлення з новою системою декларування для вищих посадових осіб (система електронного декларування) та навчання щодо подання декларації до Єдиного державного реєстру декларацій.</w:t>
      </w:r>
    </w:p>
    <w:p w:rsidR="00C605D5" w:rsidRPr="00242020" w:rsidRDefault="00C605D5" w:rsidP="00C605D5">
      <w:pPr>
        <w:jc w:val="both"/>
        <w:rPr>
          <w:rFonts w:eastAsia="Times New Roman" w:cs="Times New Roman"/>
          <w:szCs w:val="28"/>
          <w:lang w:eastAsia="ru-RU"/>
        </w:rPr>
      </w:pPr>
      <w:r w:rsidRPr="00242020">
        <w:rPr>
          <w:rFonts w:eastAsia="Times New Roman" w:cs="Times New Roman"/>
          <w:szCs w:val="28"/>
          <w:lang w:eastAsia="ru-RU"/>
        </w:rPr>
        <w:t xml:space="preserve">Відповідно до завдань і заходів з виконання </w:t>
      </w:r>
      <w:r w:rsidRPr="00242020">
        <w:rPr>
          <w:rFonts w:eastAsia="Times New Roman" w:cs="Times New Roman"/>
          <w:bCs/>
          <w:color w:val="000000"/>
          <w:szCs w:val="28"/>
          <w:shd w:val="clear" w:color="auto" w:fill="FFFFFF"/>
          <w:lang w:eastAsia="ru-RU"/>
        </w:rPr>
        <w:t>Державної програми щодо реалізації засад державної антикорупційної політики в Україні (Антикорупційної стратегії) на 2014-2017 роки</w:t>
      </w:r>
      <w:r w:rsidRPr="00242020">
        <w:rPr>
          <w:rFonts w:eastAsia="Times New Roman" w:cs="Times New Roman"/>
          <w:szCs w:val="28"/>
          <w:lang w:eastAsia="ru-RU"/>
        </w:rPr>
        <w:t xml:space="preserve"> Фондом розроблено та затверджено План заходів щодо запобігання і протидії корупції в апараті Фонду на 2016 рік (далі – План).</w:t>
      </w:r>
    </w:p>
    <w:p w:rsidR="00C605D5" w:rsidRPr="00242020" w:rsidRDefault="00C605D5" w:rsidP="00C605D5">
      <w:pPr>
        <w:jc w:val="both"/>
        <w:rPr>
          <w:rFonts w:eastAsia="Times New Roman" w:cs="Times New Roman"/>
          <w:szCs w:val="28"/>
          <w:lang w:eastAsia="ru-RU"/>
        </w:rPr>
      </w:pPr>
      <w:r w:rsidRPr="00242020">
        <w:rPr>
          <w:rFonts w:eastAsia="Times New Roman" w:cs="Times New Roman"/>
          <w:szCs w:val="28"/>
          <w:lang w:eastAsia="ru-RU"/>
        </w:rPr>
        <w:t>Згідно з вимогами Плану у Фонді здійснюється постійний моніторинг виконання структурними підрозділами Фонду заходів, передбачених Планом, зокрема щодо питань урегулювання конфлікту інтересів, обмеження роботи близьких осіб, а також попередження про інші обмеження, передбачені статтями 6, 7, 8 та 10 Закону.</w:t>
      </w:r>
    </w:p>
    <w:p w:rsidR="00C605D5" w:rsidRPr="00242020" w:rsidRDefault="00C605D5" w:rsidP="00C605D5">
      <w:pPr>
        <w:jc w:val="both"/>
        <w:rPr>
          <w:rFonts w:eastAsia="Times New Roman" w:cs="Times New Roman"/>
          <w:szCs w:val="28"/>
          <w:lang w:eastAsia="ru-RU"/>
        </w:rPr>
      </w:pPr>
      <w:r w:rsidRPr="00242020">
        <w:rPr>
          <w:rFonts w:eastAsia="Times New Roman" w:cs="Times New Roman"/>
          <w:szCs w:val="28"/>
          <w:lang w:eastAsia="ru-RU"/>
        </w:rPr>
        <w:t>У зв’язку зі змінами у чинному законодавстві з питань антикорупційної діяльності розроблено та внесено до Плану відповідні зміни.</w:t>
      </w:r>
    </w:p>
    <w:p w:rsidR="00C605D5" w:rsidRPr="00242020" w:rsidRDefault="00C605D5" w:rsidP="00C605D5">
      <w:pPr>
        <w:jc w:val="both"/>
        <w:rPr>
          <w:rFonts w:eastAsia="Times New Roman" w:cs="Times New Roman"/>
          <w:szCs w:val="28"/>
          <w:lang w:eastAsia="ru-RU"/>
        </w:rPr>
      </w:pPr>
      <w:r w:rsidRPr="00242020">
        <w:rPr>
          <w:rFonts w:eastAsia="Times New Roman" w:cs="Times New Roman"/>
          <w:szCs w:val="28"/>
          <w:lang w:eastAsia="ru-RU"/>
        </w:rPr>
        <w:t>У регіональних відділеннях Фонду також розроблено плани щодо запобігання та протидії корупції, організовано профілактичну роботу щодо недопущення зловживань і корупційних діянь працівниками. Крім того, запроваджено щоквартальне звітування регіональними відділеннями Фонду про вжиття практичних заходів із запобігання і протидії проявам корупції. Особи, які претендують на зайняття посад державних службовців, попереджаються про спеціальні обмеження, встановлені законами України «Про державну службу», «Про запобігання корупції» та постановою Кабінету Міністрів України «Про затвердження Правил етичної поведінки державних службовців».</w:t>
      </w:r>
    </w:p>
    <w:p w:rsidR="00C605D5" w:rsidRPr="00242020" w:rsidRDefault="00C605D5" w:rsidP="00C605D5">
      <w:pPr>
        <w:jc w:val="both"/>
        <w:rPr>
          <w:rFonts w:eastAsia="Times New Roman" w:cs="Times New Roman"/>
          <w:szCs w:val="28"/>
          <w:lang w:eastAsia="ru-RU"/>
        </w:rPr>
      </w:pPr>
      <w:r w:rsidRPr="00242020">
        <w:rPr>
          <w:rFonts w:eastAsia="Times New Roman" w:cs="Times New Roman"/>
          <w:szCs w:val="28"/>
          <w:lang w:eastAsia="ru-RU"/>
        </w:rPr>
        <w:t xml:space="preserve">На офіційному </w:t>
      </w:r>
      <w:proofErr w:type="spellStart"/>
      <w:r w:rsidRPr="00242020">
        <w:rPr>
          <w:rFonts w:eastAsia="Times New Roman" w:cs="Times New Roman"/>
          <w:szCs w:val="28"/>
          <w:lang w:eastAsia="ru-RU"/>
        </w:rPr>
        <w:t>веб-сайті</w:t>
      </w:r>
      <w:proofErr w:type="spellEnd"/>
      <w:r w:rsidRPr="00242020">
        <w:rPr>
          <w:rFonts w:eastAsia="Times New Roman" w:cs="Times New Roman"/>
          <w:szCs w:val="28"/>
          <w:lang w:eastAsia="ru-RU"/>
        </w:rPr>
        <w:t xml:space="preserve"> Фонду постійно функціонує рубрика</w:t>
      </w:r>
      <w:r w:rsidRPr="00242020">
        <w:rPr>
          <w:rFonts w:eastAsia="Times New Roman" w:cs="Times New Roman"/>
          <w:color w:val="FF0000"/>
          <w:szCs w:val="28"/>
          <w:lang w:eastAsia="ru-RU"/>
        </w:rPr>
        <w:t xml:space="preserve"> </w:t>
      </w:r>
      <w:r w:rsidRPr="00242020">
        <w:rPr>
          <w:rFonts w:eastAsia="Times New Roman" w:cs="Times New Roman"/>
          <w:szCs w:val="28"/>
          <w:lang w:eastAsia="ru-RU"/>
        </w:rPr>
        <w:t xml:space="preserve">«Антикорупційна діяльність», яка інформує громадськість про вжиті Фондом антикорупційні заходи та містить нормативні документи з цього питання. З метою забезпечення відкритості та прозорості діяльності регіональними відділеннями Фонду також проводиться постійна актуалізація інформації на своїх </w:t>
      </w:r>
      <w:proofErr w:type="spellStart"/>
      <w:r w:rsidRPr="00242020">
        <w:rPr>
          <w:rFonts w:eastAsia="Times New Roman" w:cs="Times New Roman"/>
          <w:szCs w:val="28"/>
          <w:lang w:eastAsia="ru-RU"/>
        </w:rPr>
        <w:t>веб-сайтах</w:t>
      </w:r>
      <w:proofErr w:type="spellEnd"/>
      <w:r w:rsidRPr="00242020">
        <w:rPr>
          <w:rFonts w:eastAsia="Times New Roman" w:cs="Times New Roman"/>
          <w:szCs w:val="28"/>
          <w:lang w:eastAsia="ru-RU"/>
        </w:rPr>
        <w:t>. Крім того, регіональні відділення Фонду публікують матеріали та документи за результатами своєї роботи, а також власні тематичні статті з актуальних питань діяльності.</w:t>
      </w:r>
    </w:p>
    <w:p w:rsidR="00C605D5" w:rsidRPr="00242020" w:rsidRDefault="00C605D5" w:rsidP="00C605D5">
      <w:pPr>
        <w:jc w:val="both"/>
        <w:rPr>
          <w:rFonts w:eastAsia="Times New Roman" w:cs="Times New Roman"/>
          <w:szCs w:val="28"/>
          <w:lang w:eastAsia="ru-RU"/>
        </w:rPr>
      </w:pPr>
      <w:r w:rsidRPr="00242020">
        <w:rPr>
          <w:rFonts w:eastAsia="Times New Roman" w:cs="Times New Roman"/>
          <w:szCs w:val="28"/>
          <w:lang w:eastAsia="ru-RU"/>
        </w:rPr>
        <w:t>Також у Фонді створено механізми повідомлення про порушення антикорупційного законодавства, зокрема електронна скринька, телефонна лінія, поштова скринька, яка знаходиться безпосередньо біля прохідної Фонду.</w:t>
      </w:r>
    </w:p>
    <w:p w:rsidR="00C605D5" w:rsidRPr="00242020" w:rsidRDefault="00C605D5" w:rsidP="0042596A">
      <w:pPr>
        <w:spacing w:line="230" w:lineRule="auto"/>
        <w:jc w:val="both"/>
        <w:rPr>
          <w:rFonts w:eastAsia="Times New Roman" w:cs="Times New Roman"/>
          <w:szCs w:val="28"/>
          <w:lang w:eastAsia="ru-RU"/>
        </w:rPr>
      </w:pPr>
      <w:r w:rsidRPr="00242020">
        <w:rPr>
          <w:rFonts w:eastAsia="Times New Roman" w:cs="Times New Roman"/>
          <w:szCs w:val="28"/>
          <w:lang w:eastAsia="ru-RU"/>
        </w:rPr>
        <w:lastRenderedPageBreak/>
        <w:t>З метою безумовного дотримання антикорупційного законодавства Фонд у процесі виконання своїх повноважень співпрацює з Національним агентством з питань запобігання корупції.</w:t>
      </w:r>
    </w:p>
    <w:p w:rsidR="004252F1" w:rsidRPr="00242020" w:rsidRDefault="004252F1" w:rsidP="0042596A">
      <w:pPr>
        <w:spacing w:line="230" w:lineRule="auto"/>
        <w:ind w:firstLine="720"/>
        <w:jc w:val="both"/>
        <w:rPr>
          <w:sz w:val="12"/>
          <w:szCs w:val="12"/>
        </w:rPr>
      </w:pPr>
    </w:p>
    <w:p w:rsidR="00E427AD" w:rsidRPr="00242020" w:rsidRDefault="00E427AD" w:rsidP="0042596A">
      <w:pPr>
        <w:pStyle w:val="2"/>
        <w:spacing w:line="230" w:lineRule="auto"/>
        <w:rPr>
          <w:szCs w:val="28"/>
        </w:rPr>
      </w:pPr>
      <w:r w:rsidRPr="00242020">
        <w:t>10.3. Рейтингове оцінювання роботи регіональних відділень Фонду</w:t>
      </w:r>
    </w:p>
    <w:p w:rsidR="004252F1" w:rsidRPr="00242020" w:rsidRDefault="004252F1" w:rsidP="0042596A">
      <w:pPr>
        <w:spacing w:line="230" w:lineRule="auto"/>
        <w:ind w:firstLine="720"/>
        <w:jc w:val="both"/>
        <w:rPr>
          <w:sz w:val="12"/>
          <w:szCs w:val="12"/>
        </w:rPr>
      </w:pPr>
    </w:p>
    <w:p w:rsidR="00035C3A" w:rsidRPr="00097B7B" w:rsidRDefault="00035C3A" w:rsidP="0042596A">
      <w:pPr>
        <w:spacing w:line="230" w:lineRule="auto"/>
        <w:jc w:val="both"/>
        <w:rPr>
          <w:szCs w:val="28"/>
        </w:rPr>
      </w:pPr>
      <w:r w:rsidRPr="00097B7B">
        <w:rPr>
          <w:szCs w:val="28"/>
        </w:rPr>
        <w:t>З метою підвищення ефективності діяльності регіональних відділень Фонду наказом Фонду від 25 листопада 2016 року № 2141 «Про рейтингове оцінювання діяльності регіональних відділень Фонду державного майна України» визначені показники оцінки роботи регіональних відділень Фонду за такими напрямами:</w:t>
      </w:r>
      <w:r w:rsidRPr="00097B7B">
        <w:rPr>
          <w:rStyle w:val="afa"/>
          <w:szCs w:val="28"/>
        </w:rPr>
        <w:footnoteReference w:customMarkFollows="1" w:id="11"/>
        <w:sym w:font="Symbol" w:char="F02A"/>
      </w:r>
    </w:p>
    <w:p w:rsidR="00035C3A" w:rsidRPr="0042596A" w:rsidRDefault="00035C3A" w:rsidP="0042596A">
      <w:pPr>
        <w:spacing w:line="230" w:lineRule="auto"/>
        <w:jc w:val="both"/>
        <w:rPr>
          <w:b/>
          <w:szCs w:val="28"/>
        </w:rPr>
      </w:pPr>
      <w:r w:rsidRPr="0042596A">
        <w:rPr>
          <w:b/>
          <w:szCs w:val="28"/>
        </w:rPr>
        <w:t>1. Приватизація об’єктів державної власності груп А, Д та Ж, у тому числі разом із земельними ділянками.</w:t>
      </w:r>
    </w:p>
    <w:p w:rsidR="00035C3A" w:rsidRPr="0042596A" w:rsidRDefault="00035C3A" w:rsidP="0042596A">
      <w:pPr>
        <w:spacing w:line="230" w:lineRule="auto"/>
        <w:jc w:val="both"/>
        <w:rPr>
          <w:szCs w:val="28"/>
        </w:rPr>
      </w:pPr>
      <w:r w:rsidRPr="0042596A">
        <w:rPr>
          <w:szCs w:val="28"/>
        </w:rPr>
        <w:t>Наказом Фонду від 22 січня 2016 року № 110 «Про затвердження плану-графіка очікуваного надходження у 2016 році грошових коштів від продажу об’єктів приватизації державної власності груп А, Д та Ж, у тому числі разом із земельними ділянками, та орієнтовного переліку об’єктів, які пропонуватимуться до продажу у 2016 році» регіональним відділенням Фонду встановлено планові показники надходжень від продажу на загальну суму 77,89 </w:t>
      </w:r>
      <w:proofErr w:type="spellStart"/>
      <w:r w:rsidRPr="0042596A">
        <w:rPr>
          <w:szCs w:val="28"/>
        </w:rPr>
        <w:t>млн</w:t>
      </w:r>
      <w:proofErr w:type="spellEnd"/>
      <w:r w:rsidRPr="0042596A">
        <w:rPr>
          <w:szCs w:val="28"/>
        </w:rPr>
        <w:t xml:space="preserve"> грн.</w:t>
      </w:r>
    </w:p>
    <w:p w:rsidR="00035C3A" w:rsidRPr="00A7283D" w:rsidRDefault="00035C3A" w:rsidP="0042596A">
      <w:pPr>
        <w:spacing w:line="230" w:lineRule="auto"/>
        <w:jc w:val="both"/>
        <w:rPr>
          <w:szCs w:val="28"/>
        </w:rPr>
      </w:pPr>
      <w:r w:rsidRPr="00A7283D">
        <w:rPr>
          <w:szCs w:val="28"/>
        </w:rPr>
        <w:t xml:space="preserve">У 2016 році регіональні відділення Фонду забезпечили виконання плану від продажу об’єктів малої приватизації на </w:t>
      </w:r>
      <w:r w:rsidR="00A26DDB" w:rsidRPr="00A7283D">
        <w:rPr>
          <w:szCs w:val="28"/>
        </w:rPr>
        <w:t>85,4</w:t>
      </w:r>
      <w:r w:rsidRPr="00A7283D">
        <w:rPr>
          <w:szCs w:val="28"/>
        </w:rPr>
        <w:t xml:space="preserve"> %. </w:t>
      </w:r>
      <w:r w:rsidR="00A26DDB" w:rsidRPr="00A7283D">
        <w:rPr>
          <w:szCs w:val="28"/>
        </w:rPr>
        <w:t>Сума коштів за об’єкти приватизації від</w:t>
      </w:r>
      <w:r w:rsidR="00A7283D" w:rsidRPr="00A7283D">
        <w:rPr>
          <w:szCs w:val="28"/>
        </w:rPr>
        <w:t>повідно до укладених договорів купівлі-продажу</w:t>
      </w:r>
      <w:r w:rsidR="00A26DDB" w:rsidRPr="00A7283D">
        <w:rPr>
          <w:szCs w:val="28"/>
        </w:rPr>
        <w:t xml:space="preserve"> (у т.</w:t>
      </w:r>
      <w:r w:rsidR="00A7283D" w:rsidRPr="00A7283D">
        <w:rPr>
          <w:szCs w:val="28"/>
        </w:rPr>
        <w:t xml:space="preserve"> </w:t>
      </w:r>
      <w:r w:rsidR="00A26DDB" w:rsidRPr="00A7283D">
        <w:rPr>
          <w:szCs w:val="28"/>
        </w:rPr>
        <w:t>ч. від продажу земельних ділянок) у 2016 році становить 66 496,55 тис. грн.</w:t>
      </w:r>
    </w:p>
    <w:p w:rsidR="00035C3A" w:rsidRPr="00A7283D" w:rsidRDefault="00035C3A" w:rsidP="0042596A">
      <w:pPr>
        <w:spacing w:line="230" w:lineRule="auto"/>
        <w:jc w:val="both"/>
        <w:rPr>
          <w:szCs w:val="28"/>
        </w:rPr>
      </w:pPr>
      <w:r w:rsidRPr="00A7283D">
        <w:rPr>
          <w:szCs w:val="28"/>
        </w:rPr>
        <w:t>Виконання планових надходжень забезпечили 12 регіональних відділень Фонду, зокрема із значним перевищенням</w:t>
      </w:r>
      <w:r w:rsidR="00C5537C" w:rsidRPr="00A7283D">
        <w:rPr>
          <w:szCs w:val="28"/>
        </w:rPr>
        <w:t xml:space="preserve"> –</w:t>
      </w:r>
      <w:r w:rsidRPr="00A7283D">
        <w:rPr>
          <w:szCs w:val="28"/>
        </w:rPr>
        <w:t xml:space="preserve"> регіональні відділення Фонду по Тернопільській області </w:t>
      </w:r>
      <w:r w:rsidR="00C5537C" w:rsidRPr="00A7283D">
        <w:rPr>
          <w:szCs w:val="28"/>
        </w:rPr>
        <w:t>(</w:t>
      </w:r>
      <w:r w:rsidR="00A7283D" w:rsidRPr="00A7283D">
        <w:rPr>
          <w:szCs w:val="28"/>
        </w:rPr>
        <w:t>6</w:t>
      </w:r>
      <w:r w:rsidRPr="00A7283D">
        <w:rPr>
          <w:szCs w:val="28"/>
        </w:rPr>
        <w:t xml:space="preserve">,5 </w:t>
      </w:r>
      <w:proofErr w:type="spellStart"/>
      <w:r w:rsidRPr="00A7283D">
        <w:rPr>
          <w:szCs w:val="28"/>
        </w:rPr>
        <w:t>раз</w:t>
      </w:r>
      <w:r w:rsidR="00C5537C" w:rsidRPr="00A7283D">
        <w:rPr>
          <w:szCs w:val="28"/>
        </w:rPr>
        <w:t>а</w:t>
      </w:r>
      <w:proofErr w:type="spellEnd"/>
      <w:r w:rsidR="00C5537C" w:rsidRPr="00A7283D">
        <w:rPr>
          <w:szCs w:val="28"/>
        </w:rPr>
        <w:t>)</w:t>
      </w:r>
      <w:r w:rsidRPr="00A7283D">
        <w:rPr>
          <w:szCs w:val="28"/>
        </w:rPr>
        <w:t xml:space="preserve">, Закарпатській області </w:t>
      </w:r>
      <w:r w:rsidR="00C5537C" w:rsidRPr="00A7283D">
        <w:rPr>
          <w:szCs w:val="28"/>
        </w:rPr>
        <w:t>(</w:t>
      </w:r>
      <w:r w:rsidR="00A7283D" w:rsidRPr="00A7283D">
        <w:rPr>
          <w:szCs w:val="28"/>
        </w:rPr>
        <w:t>6</w:t>
      </w:r>
      <w:r w:rsidRPr="00A7283D">
        <w:rPr>
          <w:szCs w:val="28"/>
        </w:rPr>
        <w:t xml:space="preserve"> раз</w:t>
      </w:r>
      <w:r w:rsidR="00A7283D" w:rsidRPr="00A7283D">
        <w:rPr>
          <w:szCs w:val="28"/>
        </w:rPr>
        <w:t>ів</w:t>
      </w:r>
      <w:r w:rsidR="00C5537C" w:rsidRPr="00A7283D">
        <w:rPr>
          <w:szCs w:val="28"/>
        </w:rPr>
        <w:t>)</w:t>
      </w:r>
      <w:r w:rsidRPr="00A7283D">
        <w:rPr>
          <w:szCs w:val="28"/>
        </w:rPr>
        <w:t xml:space="preserve">, Рівненській області </w:t>
      </w:r>
      <w:r w:rsidR="00C5537C" w:rsidRPr="00A7283D">
        <w:rPr>
          <w:szCs w:val="28"/>
        </w:rPr>
        <w:t>(</w:t>
      </w:r>
      <w:r w:rsidR="00A7283D" w:rsidRPr="00A7283D">
        <w:rPr>
          <w:szCs w:val="28"/>
        </w:rPr>
        <w:t>4</w:t>
      </w:r>
      <w:r w:rsidRPr="00A7283D">
        <w:rPr>
          <w:szCs w:val="28"/>
        </w:rPr>
        <w:t xml:space="preserve">,5 </w:t>
      </w:r>
      <w:proofErr w:type="spellStart"/>
      <w:r w:rsidRPr="00A7283D">
        <w:rPr>
          <w:szCs w:val="28"/>
        </w:rPr>
        <w:t>раз</w:t>
      </w:r>
      <w:r w:rsidR="00C5537C" w:rsidRPr="00A7283D">
        <w:rPr>
          <w:szCs w:val="28"/>
        </w:rPr>
        <w:t>а</w:t>
      </w:r>
      <w:proofErr w:type="spellEnd"/>
      <w:r w:rsidR="00C5537C" w:rsidRPr="00A7283D">
        <w:rPr>
          <w:szCs w:val="28"/>
        </w:rPr>
        <w:t>)</w:t>
      </w:r>
      <w:r w:rsidR="002151FC">
        <w:rPr>
          <w:szCs w:val="28"/>
        </w:rPr>
        <w:t>,</w:t>
      </w:r>
      <w:r w:rsidRPr="00A7283D">
        <w:rPr>
          <w:szCs w:val="28"/>
        </w:rPr>
        <w:t xml:space="preserve"> Хмельницькій області </w:t>
      </w:r>
      <w:r w:rsidR="00C5537C" w:rsidRPr="00A7283D">
        <w:rPr>
          <w:szCs w:val="28"/>
        </w:rPr>
        <w:t>(</w:t>
      </w:r>
      <w:r w:rsidR="00A7283D" w:rsidRPr="00A7283D">
        <w:rPr>
          <w:szCs w:val="28"/>
        </w:rPr>
        <w:t>4</w:t>
      </w:r>
      <w:r w:rsidRPr="00A7283D">
        <w:rPr>
          <w:szCs w:val="28"/>
        </w:rPr>
        <w:t xml:space="preserve">,2 </w:t>
      </w:r>
      <w:proofErr w:type="spellStart"/>
      <w:r w:rsidRPr="00A7283D">
        <w:rPr>
          <w:szCs w:val="28"/>
        </w:rPr>
        <w:t>раз</w:t>
      </w:r>
      <w:r w:rsidR="00C5537C" w:rsidRPr="00A7283D">
        <w:rPr>
          <w:szCs w:val="28"/>
        </w:rPr>
        <w:t>а</w:t>
      </w:r>
      <w:proofErr w:type="spellEnd"/>
      <w:r w:rsidR="00C5537C" w:rsidRPr="00A7283D">
        <w:rPr>
          <w:szCs w:val="28"/>
        </w:rPr>
        <w:t>)</w:t>
      </w:r>
      <w:r w:rsidR="00BA2595">
        <w:rPr>
          <w:szCs w:val="28"/>
        </w:rPr>
        <w:t>,</w:t>
      </w:r>
      <w:r w:rsidR="00A7283D" w:rsidRPr="00A7283D">
        <w:rPr>
          <w:szCs w:val="28"/>
        </w:rPr>
        <w:t xml:space="preserve"> Вінницькій області </w:t>
      </w:r>
      <w:r w:rsidR="002151FC">
        <w:rPr>
          <w:szCs w:val="28"/>
        </w:rPr>
        <w:t>(</w:t>
      </w:r>
      <w:r w:rsidR="00A7283D" w:rsidRPr="00A7283D">
        <w:rPr>
          <w:szCs w:val="28"/>
        </w:rPr>
        <w:t>3,5</w:t>
      </w:r>
      <w:r w:rsidR="00A7283D">
        <w:rPr>
          <w:szCs w:val="28"/>
        </w:rPr>
        <w:t> </w:t>
      </w:r>
      <w:proofErr w:type="spellStart"/>
      <w:r w:rsidR="00A7283D" w:rsidRPr="00A7283D">
        <w:rPr>
          <w:szCs w:val="28"/>
        </w:rPr>
        <w:t>раза</w:t>
      </w:r>
      <w:proofErr w:type="spellEnd"/>
      <w:r w:rsidR="002151FC">
        <w:rPr>
          <w:szCs w:val="28"/>
        </w:rPr>
        <w:t>)</w:t>
      </w:r>
      <w:r w:rsidR="00BA2595" w:rsidRPr="00BA2595">
        <w:rPr>
          <w:szCs w:val="28"/>
        </w:rPr>
        <w:t xml:space="preserve"> </w:t>
      </w:r>
      <w:r w:rsidR="00BA2595" w:rsidRPr="00A7283D">
        <w:rPr>
          <w:szCs w:val="28"/>
        </w:rPr>
        <w:t>та</w:t>
      </w:r>
      <w:r w:rsidR="00BA2595">
        <w:rPr>
          <w:szCs w:val="28"/>
        </w:rPr>
        <w:t xml:space="preserve"> м. Києву (3,7 </w:t>
      </w:r>
      <w:proofErr w:type="spellStart"/>
      <w:r w:rsidR="00BA2595">
        <w:rPr>
          <w:szCs w:val="28"/>
        </w:rPr>
        <w:t>раза</w:t>
      </w:r>
      <w:proofErr w:type="spellEnd"/>
      <w:r w:rsidR="00BA2595">
        <w:rPr>
          <w:szCs w:val="28"/>
        </w:rPr>
        <w:t>).</w:t>
      </w:r>
    </w:p>
    <w:p w:rsidR="00035C3A" w:rsidRPr="0042596A" w:rsidRDefault="00035C3A" w:rsidP="0042596A">
      <w:pPr>
        <w:spacing w:line="230" w:lineRule="auto"/>
        <w:jc w:val="both"/>
        <w:rPr>
          <w:szCs w:val="28"/>
        </w:rPr>
      </w:pPr>
      <w:r w:rsidRPr="00A7283D">
        <w:rPr>
          <w:szCs w:val="28"/>
        </w:rPr>
        <w:t xml:space="preserve">Низькі показники виконання планових завдань мають регіональні відділення Фонду по </w:t>
      </w:r>
      <w:r w:rsidR="00A7283D" w:rsidRPr="00A7283D">
        <w:rPr>
          <w:szCs w:val="28"/>
        </w:rPr>
        <w:t>Сумській (32,4 %), Львівській (15,9 %), Одеській (7,8 %) та Херсонській (5,5 %) областях</w:t>
      </w:r>
      <w:r w:rsidR="00A7283D">
        <w:rPr>
          <w:szCs w:val="28"/>
        </w:rPr>
        <w:t>.</w:t>
      </w:r>
    </w:p>
    <w:p w:rsidR="00035C3A" w:rsidRPr="00097B7B" w:rsidRDefault="00035C3A" w:rsidP="0042596A">
      <w:pPr>
        <w:spacing w:line="230" w:lineRule="auto"/>
        <w:jc w:val="both"/>
        <w:rPr>
          <w:szCs w:val="28"/>
        </w:rPr>
      </w:pPr>
      <w:r w:rsidRPr="0042596A">
        <w:rPr>
          <w:szCs w:val="28"/>
        </w:rPr>
        <w:t>Разом з цим регіональними відділеннями Фонду здійснюється постійна робота щодо пошуку покупців об’єктів малої приватизації.</w:t>
      </w:r>
    </w:p>
    <w:p w:rsidR="00035C3A" w:rsidRPr="00097B7B" w:rsidRDefault="00035C3A" w:rsidP="0042596A">
      <w:pPr>
        <w:spacing w:line="230" w:lineRule="auto"/>
        <w:jc w:val="both"/>
        <w:rPr>
          <w:b/>
          <w:szCs w:val="28"/>
        </w:rPr>
      </w:pPr>
      <w:r w:rsidRPr="00097B7B">
        <w:rPr>
          <w:b/>
          <w:szCs w:val="28"/>
        </w:rPr>
        <w:t>2. Надходження від орендної плати.</w:t>
      </w:r>
    </w:p>
    <w:p w:rsidR="00035C3A" w:rsidRPr="00097B7B" w:rsidRDefault="00035C3A" w:rsidP="0042596A">
      <w:pPr>
        <w:spacing w:line="230" w:lineRule="auto"/>
        <w:jc w:val="both"/>
        <w:rPr>
          <w:szCs w:val="28"/>
        </w:rPr>
      </w:pPr>
      <w:r w:rsidRPr="00097B7B">
        <w:rPr>
          <w:szCs w:val="28"/>
        </w:rPr>
        <w:t>Наказом Фонду від 04 лютого 2016 року № 204 «Про виконання завдань щодо забезпечення надходження коштів від орендної плати до Державного бюджету України у 2016 році» регіональним відділенням Фонду на 2016 рік встановлено завдання із забезпечення надходжень від плати за оренду державного майна до Державного бюджету України на загальну суму 587,70</w:t>
      </w:r>
      <w:r>
        <w:rPr>
          <w:szCs w:val="28"/>
        </w:rPr>
        <w:t> </w:t>
      </w:r>
      <w:r w:rsidRPr="00097B7B">
        <w:rPr>
          <w:szCs w:val="28"/>
        </w:rPr>
        <w:t>млн. грн.</w:t>
      </w:r>
    </w:p>
    <w:p w:rsidR="00035C3A" w:rsidRPr="00097B7B" w:rsidRDefault="00035C3A" w:rsidP="0042596A">
      <w:pPr>
        <w:spacing w:line="230" w:lineRule="auto"/>
        <w:jc w:val="both"/>
        <w:rPr>
          <w:szCs w:val="28"/>
        </w:rPr>
      </w:pPr>
      <w:r w:rsidRPr="00097B7B">
        <w:rPr>
          <w:szCs w:val="28"/>
        </w:rPr>
        <w:t xml:space="preserve">У 2016 році надходження від оренди державного майна </w:t>
      </w:r>
      <w:r w:rsidR="00C5537C">
        <w:rPr>
          <w:szCs w:val="28"/>
        </w:rPr>
        <w:t>становили</w:t>
      </w:r>
      <w:r>
        <w:rPr>
          <w:szCs w:val="28"/>
        </w:rPr>
        <w:br/>
      </w:r>
      <w:r w:rsidRPr="00097B7B">
        <w:rPr>
          <w:szCs w:val="28"/>
        </w:rPr>
        <w:t>90</w:t>
      </w:r>
      <w:r w:rsidR="00EB7E0E">
        <w:rPr>
          <w:szCs w:val="28"/>
        </w:rPr>
        <w:t>9</w:t>
      </w:r>
      <w:r w:rsidRPr="00097B7B">
        <w:rPr>
          <w:szCs w:val="28"/>
        </w:rPr>
        <w:t>,</w:t>
      </w:r>
      <w:r w:rsidR="00EB7E0E">
        <w:rPr>
          <w:szCs w:val="28"/>
        </w:rPr>
        <w:t>4</w:t>
      </w:r>
      <w:r w:rsidRPr="00097B7B">
        <w:rPr>
          <w:szCs w:val="28"/>
        </w:rPr>
        <w:t xml:space="preserve">0 </w:t>
      </w:r>
      <w:proofErr w:type="spellStart"/>
      <w:r w:rsidRPr="00097B7B">
        <w:rPr>
          <w:szCs w:val="28"/>
        </w:rPr>
        <w:t>млн</w:t>
      </w:r>
      <w:proofErr w:type="spellEnd"/>
      <w:r w:rsidRPr="00097B7B">
        <w:rPr>
          <w:szCs w:val="28"/>
        </w:rPr>
        <w:t xml:space="preserve"> </w:t>
      </w:r>
      <w:proofErr w:type="spellStart"/>
      <w:r w:rsidRPr="00097B7B">
        <w:rPr>
          <w:szCs w:val="28"/>
        </w:rPr>
        <w:t>грн</w:t>
      </w:r>
      <w:proofErr w:type="spellEnd"/>
      <w:r w:rsidRPr="00097B7B">
        <w:rPr>
          <w:szCs w:val="28"/>
        </w:rPr>
        <w:t>, що на 54</w:t>
      </w:r>
      <w:r w:rsidR="00EB7E0E">
        <w:rPr>
          <w:szCs w:val="28"/>
        </w:rPr>
        <w:t>,7</w:t>
      </w:r>
      <w:r w:rsidRPr="00097B7B">
        <w:rPr>
          <w:szCs w:val="28"/>
        </w:rPr>
        <w:t> % більше запланованого.</w:t>
      </w:r>
    </w:p>
    <w:p w:rsidR="00035C3A" w:rsidRPr="00097B7B" w:rsidRDefault="00035C3A" w:rsidP="0042596A">
      <w:pPr>
        <w:spacing w:line="230" w:lineRule="auto"/>
        <w:jc w:val="both"/>
        <w:rPr>
          <w:szCs w:val="28"/>
        </w:rPr>
      </w:pPr>
      <w:r w:rsidRPr="00097B7B">
        <w:rPr>
          <w:szCs w:val="28"/>
        </w:rPr>
        <w:t xml:space="preserve">Усі регіональні відділення Фонду виконали планові завдання на 2016 рік </w:t>
      </w:r>
      <w:r w:rsidR="00813306">
        <w:rPr>
          <w:szCs w:val="28"/>
        </w:rPr>
        <w:t>і</w:t>
      </w:r>
      <w:r w:rsidRPr="00097B7B">
        <w:rPr>
          <w:szCs w:val="28"/>
        </w:rPr>
        <w:t>з суттєвим перевищенням.</w:t>
      </w:r>
    </w:p>
    <w:p w:rsidR="00035C3A" w:rsidRPr="00097B7B" w:rsidRDefault="00035C3A" w:rsidP="0042596A">
      <w:pPr>
        <w:spacing w:line="230" w:lineRule="auto"/>
        <w:jc w:val="both"/>
        <w:rPr>
          <w:szCs w:val="28"/>
        </w:rPr>
      </w:pPr>
      <w:r w:rsidRPr="00097B7B">
        <w:rPr>
          <w:szCs w:val="28"/>
        </w:rPr>
        <w:lastRenderedPageBreak/>
        <w:t>При цьому найбільші надходження забезпечили регіональні відділення Фонду по Одеській (21</w:t>
      </w:r>
      <w:r w:rsidR="00577828">
        <w:rPr>
          <w:szCs w:val="28"/>
        </w:rPr>
        <w:t>1</w:t>
      </w:r>
      <w:r w:rsidRPr="00097B7B">
        <w:rPr>
          <w:szCs w:val="28"/>
        </w:rPr>
        <w:t>,</w:t>
      </w:r>
      <w:r w:rsidR="00EB7E0E">
        <w:rPr>
          <w:szCs w:val="28"/>
        </w:rPr>
        <w:t>1</w:t>
      </w:r>
      <w:r w:rsidRPr="00097B7B">
        <w:rPr>
          <w:szCs w:val="28"/>
        </w:rPr>
        <w:t xml:space="preserve"> </w:t>
      </w:r>
      <w:proofErr w:type="spellStart"/>
      <w:r w:rsidRPr="00097B7B">
        <w:rPr>
          <w:szCs w:val="28"/>
        </w:rPr>
        <w:t>млн</w:t>
      </w:r>
      <w:proofErr w:type="spellEnd"/>
      <w:r w:rsidRPr="00097B7B">
        <w:rPr>
          <w:szCs w:val="28"/>
        </w:rPr>
        <w:t xml:space="preserve"> </w:t>
      </w:r>
      <w:proofErr w:type="spellStart"/>
      <w:r w:rsidRPr="00097B7B">
        <w:rPr>
          <w:szCs w:val="28"/>
        </w:rPr>
        <w:t>грн</w:t>
      </w:r>
      <w:proofErr w:type="spellEnd"/>
      <w:r w:rsidRPr="00097B7B">
        <w:rPr>
          <w:szCs w:val="28"/>
        </w:rPr>
        <w:t>), Київській (1</w:t>
      </w:r>
      <w:r w:rsidR="00EB7E0E">
        <w:rPr>
          <w:szCs w:val="28"/>
        </w:rPr>
        <w:t>22</w:t>
      </w:r>
      <w:r w:rsidRPr="00097B7B">
        <w:rPr>
          <w:szCs w:val="28"/>
        </w:rPr>
        <w:t>,</w:t>
      </w:r>
      <w:r w:rsidR="00EB7E0E">
        <w:rPr>
          <w:szCs w:val="28"/>
        </w:rPr>
        <w:t>1</w:t>
      </w:r>
      <w:r w:rsidRPr="00097B7B">
        <w:rPr>
          <w:szCs w:val="28"/>
        </w:rPr>
        <w:t xml:space="preserve"> </w:t>
      </w:r>
      <w:proofErr w:type="spellStart"/>
      <w:r w:rsidRPr="00097B7B">
        <w:rPr>
          <w:szCs w:val="28"/>
        </w:rPr>
        <w:t>млн</w:t>
      </w:r>
      <w:proofErr w:type="spellEnd"/>
      <w:r w:rsidRPr="00097B7B">
        <w:rPr>
          <w:szCs w:val="28"/>
        </w:rPr>
        <w:t xml:space="preserve"> </w:t>
      </w:r>
      <w:proofErr w:type="spellStart"/>
      <w:r w:rsidRPr="00097B7B">
        <w:rPr>
          <w:szCs w:val="28"/>
        </w:rPr>
        <w:t>грн</w:t>
      </w:r>
      <w:proofErr w:type="spellEnd"/>
      <w:r w:rsidRPr="00097B7B">
        <w:rPr>
          <w:szCs w:val="28"/>
        </w:rPr>
        <w:t>), Львівській (53,</w:t>
      </w:r>
      <w:r w:rsidR="00EB7E0E">
        <w:rPr>
          <w:szCs w:val="28"/>
        </w:rPr>
        <w:t>7</w:t>
      </w:r>
      <w:r w:rsidRPr="00097B7B">
        <w:rPr>
          <w:szCs w:val="28"/>
        </w:rPr>
        <w:t> </w:t>
      </w:r>
      <w:proofErr w:type="spellStart"/>
      <w:r w:rsidRPr="00097B7B">
        <w:rPr>
          <w:szCs w:val="28"/>
        </w:rPr>
        <w:t>млн</w:t>
      </w:r>
      <w:proofErr w:type="spellEnd"/>
      <w:r w:rsidRPr="00097B7B">
        <w:rPr>
          <w:szCs w:val="28"/>
        </w:rPr>
        <w:t xml:space="preserve"> </w:t>
      </w:r>
      <w:proofErr w:type="spellStart"/>
      <w:r w:rsidRPr="00097B7B">
        <w:rPr>
          <w:szCs w:val="28"/>
        </w:rPr>
        <w:t>грн</w:t>
      </w:r>
      <w:proofErr w:type="spellEnd"/>
      <w:r w:rsidRPr="00097B7B">
        <w:rPr>
          <w:szCs w:val="28"/>
        </w:rPr>
        <w:t xml:space="preserve">) областях та м. Києву (193,6 </w:t>
      </w:r>
      <w:proofErr w:type="spellStart"/>
      <w:r w:rsidRPr="00097B7B">
        <w:rPr>
          <w:szCs w:val="28"/>
        </w:rPr>
        <w:t>млн</w:t>
      </w:r>
      <w:proofErr w:type="spellEnd"/>
      <w:r w:rsidRPr="00097B7B">
        <w:rPr>
          <w:szCs w:val="28"/>
        </w:rPr>
        <w:t xml:space="preserve"> </w:t>
      </w:r>
      <w:proofErr w:type="spellStart"/>
      <w:r w:rsidRPr="00097B7B">
        <w:rPr>
          <w:szCs w:val="28"/>
        </w:rPr>
        <w:t>грн</w:t>
      </w:r>
      <w:proofErr w:type="spellEnd"/>
      <w:r w:rsidRPr="00097B7B">
        <w:rPr>
          <w:szCs w:val="28"/>
        </w:rPr>
        <w:t xml:space="preserve">). </w:t>
      </w:r>
    </w:p>
    <w:p w:rsidR="00035C3A" w:rsidRPr="00097B7B" w:rsidRDefault="00C5537C" w:rsidP="0042596A">
      <w:pPr>
        <w:spacing w:line="230" w:lineRule="auto"/>
        <w:jc w:val="both"/>
        <w:rPr>
          <w:szCs w:val="28"/>
        </w:rPr>
      </w:pPr>
      <w:r w:rsidRPr="00097B7B">
        <w:rPr>
          <w:szCs w:val="28"/>
        </w:rPr>
        <w:t>Порівнян</w:t>
      </w:r>
      <w:r>
        <w:rPr>
          <w:szCs w:val="28"/>
        </w:rPr>
        <w:t xml:space="preserve">о </w:t>
      </w:r>
      <w:r w:rsidR="00035C3A" w:rsidRPr="00097B7B">
        <w:rPr>
          <w:szCs w:val="28"/>
        </w:rPr>
        <w:t xml:space="preserve">з 2015 роком надходження від орендної плати у звітному періоді збільшилися на </w:t>
      </w:r>
      <w:r w:rsidR="007E35CE" w:rsidRPr="007E35CE">
        <w:rPr>
          <w:szCs w:val="28"/>
        </w:rPr>
        <w:t xml:space="preserve">понад </w:t>
      </w:r>
      <w:r w:rsidR="00EB7E0E" w:rsidRPr="007E35CE">
        <w:rPr>
          <w:szCs w:val="28"/>
        </w:rPr>
        <w:t>2</w:t>
      </w:r>
      <w:r w:rsidR="00035C3A" w:rsidRPr="007E35CE">
        <w:rPr>
          <w:szCs w:val="28"/>
        </w:rPr>
        <w:t xml:space="preserve"> %, а саме </w:t>
      </w:r>
      <w:r w:rsidR="007E35CE" w:rsidRPr="007E35CE">
        <w:rPr>
          <w:szCs w:val="28"/>
        </w:rPr>
        <w:t xml:space="preserve">більше ніж </w:t>
      </w:r>
      <w:r w:rsidR="00035C3A" w:rsidRPr="007E35CE">
        <w:rPr>
          <w:szCs w:val="28"/>
        </w:rPr>
        <w:t xml:space="preserve">на </w:t>
      </w:r>
      <w:r w:rsidR="0042596A">
        <w:rPr>
          <w:szCs w:val="28"/>
        </w:rPr>
        <w:t>20</w:t>
      </w:r>
      <w:r w:rsidR="00035C3A" w:rsidRPr="007E35CE">
        <w:rPr>
          <w:szCs w:val="28"/>
        </w:rPr>
        <w:t xml:space="preserve"> </w:t>
      </w:r>
      <w:proofErr w:type="spellStart"/>
      <w:r w:rsidR="00035C3A" w:rsidRPr="007E35CE">
        <w:rPr>
          <w:szCs w:val="28"/>
        </w:rPr>
        <w:t>млн</w:t>
      </w:r>
      <w:proofErr w:type="spellEnd"/>
      <w:r w:rsidR="00035C3A" w:rsidRPr="007E35CE">
        <w:rPr>
          <w:szCs w:val="28"/>
        </w:rPr>
        <w:t xml:space="preserve"> грн</w:t>
      </w:r>
      <w:r w:rsidR="00035C3A" w:rsidRPr="00097B7B">
        <w:rPr>
          <w:szCs w:val="28"/>
        </w:rPr>
        <w:t xml:space="preserve">. </w:t>
      </w:r>
    </w:p>
    <w:p w:rsidR="00035C3A" w:rsidRPr="00097B7B" w:rsidRDefault="00035C3A" w:rsidP="0042596A">
      <w:pPr>
        <w:spacing w:line="230" w:lineRule="auto"/>
        <w:jc w:val="both"/>
        <w:rPr>
          <w:szCs w:val="28"/>
        </w:rPr>
      </w:pPr>
      <w:r w:rsidRPr="00097B7B">
        <w:rPr>
          <w:szCs w:val="28"/>
        </w:rPr>
        <w:t>Тоб</w:t>
      </w:r>
      <w:r w:rsidR="00C5537C">
        <w:rPr>
          <w:szCs w:val="28"/>
        </w:rPr>
        <w:t>то</w:t>
      </w:r>
      <w:r w:rsidRPr="00097B7B">
        <w:rPr>
          <w:szCs w:val="28"/>
        </w:rPr>
        <w:t xml:space="preserve"> незважаючи на відсутність показника інфляції</w:t>
      </w:r>
      <w:r w:rsidR="00B71E4B">
        <w:rPr>
          <w:szCs w:val="28"/>
        </w:rPr>
        <w:t>,</w:t>
      </w:r>
      <w:r w:rsidR="00C5537C">
        <w:rPr>
          <w:szCs w:val="28"/>
        </w:rPr>
        <w:t xml:space="preserve"> </w:t>
      </w:r>
      <w:r w:rsidR="0042596A" w:rsidRPr="0042596A">
        <w:rPr>
          <w:szCs w:val="28"/>
        </w:rPr>
        <w:t>надходжень за договорами оренди державного майна, яке увійшло до статутного капіталу</w:t>
      </w:r>
      <w:r w:rsidRPr="00097B7B">
        <w:rPr>
          <w:szCs w:val="28"/>
        </w:rPr>
        <w:t xml:space="preserve"> ПАТ «Укрзалізниця», інші чинники, що негативно впливають на рівень надходжень від оренди, регіональними відділеннями Фонду вживаються достатні та ефективні заходи з використання державного майна і наповнення бюджету.</w:t>
      </w:r>
    </w:p>
    <w:p w:rsidR="00035C3A" w:rsidRPr="00097B7B" w:rsidRDefault="00035C3A" w:rsidP="0042596A">
      <w:pPr>
        <w:spacing w:line="230" w:lineRule="auto"/>
        <w:jc w:val="both"/>
        <w:rPr>
          <w:b/>
          <w:szCs w:val="28"/>
        </w:rPr>
      </w:pPr>
      <w:r w:rsidRPr="00097B7B">
        <w:rPr>
          <w:b/>
          <w:szCs w:val="28"/>
        </w:rPr>
        <w:t xml:space="preserve">3. Заборгованість з орендної плати, яка підлягає сплаті до </w:t>
      </w:r>
      <w:r w:rsidR="00C5537C" w:rsidRPr="00097B7B">
        <w:rPr>
          <w:b/>
          <w:szCs w:val="28"/>
        </w:rPr>
        <w:t xml:space="preserve">Державного </w:t>
      </w:r>
      <w:r w:rsidRPr="00097B7B">
        <w:rPr>
          <w:b/>
          <w:szCs w:val="28"/>
        </w:rPr>
        <w:t>бюджету України.</w:t>
      </w:r>
    </w:p>
    <w:p w:rsidR="00035C3A" w:rsidRPr="00097B7B" w:rsidRDefault="00035C3A" w:rsidP="0042596A">
      <w:pPr>
        <w:spacing w:line="230" w:lineRule="auto"/>
        <w:jc w:val="both"/>
        <w:rPr>
          <w:rFonts w:eastAsia="Calibri"/>
          <w:szCs w:val="28"/>
        </w:rPr>
      </w:pPr>
      <w:r w:rsidRPr="00097B7B">
        <w:rPr>
          <w:rFonts w:eastAsia="Calibri"/>
          <w:szCs w:val="28"/>
        </w:rPr>
        <w:t>Станом на 31.12.2016 заборгованість з орендної плати (що залишається несплаченою більше 3-х місяців), яка підлягає сплаті до державного бюджету, становить 107,</w:t>
      </w:r>
      <w:r w:rsidR="0042596A">
        <w:rPr>
          <w:rFonts w:eastAsia="Calibri"/>
          <w:szCs w:val="28"/>
        </w:rPr>
        <w:t>9</w:t>
      </w:r>
      <w:r w:rsidRPr="00097B7B">
        <w:rPr>
          <w:rFonts w:eastAsia="Calibri"/>
          <w:szCs w:val="28"/>
        </w:rPr>
        <w:t xml:space="preserve">9 </w:t>
      </w:r>
      <w:proofErr w:type="spellStart"/>
      <w:r w:rsidRPr="00097B7B">
        <w:rPr>
          <w:rFonts w:eastAsia="Calibri"/>
          <w:szCs w:val="28"/>
        </w:rPr>
        <w:t>млн</w:t>
      </w:r>
      <w:proofErr w:type="spellEnd"/>
      <w:r w:rsidRPr="00097B7B">
        <w:rPr>
          <w:rFonts w:eastAsia="Calibri"/>
          <w:szCs w:val="28"/>
        </w:rPr>
        <w:t xml:space="preserve"> грн. </w:t>
      </w:r>
    </w:p>
    <w:p w:rsidR="00035C3A" w:rsidRPr="00097B7B" w:rsidRDefault="00035C3A" w:rsidP="0042596A">
      <w:pPr>
        <w:spacing w:line="230" w:lineRule="auto"/>
        <w:jc w:val="both"/>
        <w:rPr>
          <w:szCs w:val="28"/>
          <w:lang w:val="ru-RU"/>
        </w:rPr>
      </w:pPr>
      <w:r w:rsidRPr="00097B7B">
        <w:rPr>
          <w:szCs w:val="28"/>
        </w:rPr>
        <w:t>У 4-х регіональних відділеннях заборгованість орендарів перед бюджетом становить 71 % боргу по країні. Це регіональні відділення по Дніпропетровській (19 %), Київській (1</w:t>
      </w:r>
      <w:r w:rsidRPr="00097B7B">
        <w:rPr>
          <w:szCs w:val="28"/>
          <w:lang w:val="ru-RU"/>
        </w:rPr>
        <w:t>2 </w:t>
      </w:r>
      <w:r w:rsidRPr="00097B7B">
        <w:rPr>
          <w:szCs w:val="28"/>
        </w:rPr>
        <w:t>%), Одеській (1</w:t>
      </w:r>
      <w:r w:rsidRPr="00097B7B">
        <w:rPr>
          <w:szCs w:val="28"/>
          <w:lang w:val="ru-RU"/>
        </w:rPr>
        <w:t>3 </w:t>
      </w:r>
      <w:r w:rsidR="00813306">
        <w:rPr>
          <w:szCs w:val="28"/>
        </w:rPr>
        <w:t xml:space="preserve">%) областях та </w:t>
      </w:r>
      <w:r w:rsidRPr="00097B7B">
        <w:rPr>
          <w:szCs w:val="28"/>
        </w:rPr>
        <w:t>м.</w:t>
      </w:r>
      <w:r>
        <w:rPr>
          <w:szCs w:val="28"/>
        </w:rPr>
        <w:t> </w:t>
      </w:r>
      <w:r w:rsidRPr="00097B7B">
        <w:rPr>
          <w:szCs w:val="28"/>
        </w:rPr>
        <w:t>Києву (27 %).</w:t>
      </w:r>
    </w:p>
    <w:p w:rsidR="00035C3A" w:rsidRPr="00097B7B" w:rsidRDefault="00035C3A" w:rsidP="0042596A">
      <w:pPr>
        <w:spacing w:line="230" w:lineRule="auto"/>
        <w:jc w:val="both"/>
        <w:rPr>
          <w:rFonts w:eastAsia="Calibri"/>
          <w:szCs w:val="28"/>
        </w:rPr>
      </w:pPr>
      <w:r w:rsidRPr="00097B7B">
        <w:rPr>
          <w:rFonts w:eastAsia="Calibri"/>
          <w:szCs w:val="28"/>
        </w:rPr>
        <w:t xml:space="preserve">Протягом 2016 року заборгованість з орендної плати (що залишається </w:t>
      </w:r>
      <w:r w:rsidRPr="0042596A">
        <w:rPr>
          <w:rFonts w:eastAsia="Calibri"/>
          <w:szCs w:val="28"/>
        </w:rPr>
        <w:t>несплаченою більше 3 місяців підряд) збільшилас</w:t>
      </w:r>
      <w:r w:rsidR="00813306" w:rsidRPr="0042596A">
        <w:rPr>
          <w:rFonts w:eastAsia="Calibri"/>
          <w:szCs w:val="28"/>
        </w:rPr>
        <w:t>я</w:t>
      </w:r>
      <w:r w:rsidRPr="0042596A">
        <w:rPr>
          <w:rFonts w:eastAsia="Calibri"/>
          <w:szCs w:val="28"/>
        </w:rPr>
        <w:t xml:space="preserve"> на </w:t>
      </w:r>
      <w:r w:rsidR="0042596A" w:rsidRPr="0042596A">
        <w:rPr>
          <w:rFonts w:eastAsia="Calibri"/>
          <w:szCs w:val="28"/>
        </w:rPr>
        <w:t>10</w:t>
      </w:r>
      <w:r w:rsidRPr="0042596A">
        <w:rPr>
          <w:rFonts w:eastAsia="Calibri"/>
          <w:szCs w:val="28"/>
        </w:rPr>
        <w:t xml:space="preserve"> %, що становить </w:t>
      </w:r>
      <w:r w:rsidR="0042596A" w:rsidRPr="0042596A">
        <w:rPr>
          <w:rFonts w:eastAsia="Calibri"/>
          <w:szCs w:val="28"/>
        </w:rPr>
        <w:t>10</w:t>
      </w:r>
      <w:r w:rsidRPr="0042596A">
        <w:rPr>
          <w:rFonts w:eastAsia="Calibri"/>
          <w:szCs w:val="28"/>
        </w:rPr>
        <w:t> </w:t>
      </w:r>
      <w:proofErr w:type="spellStart"/>
      <w:r w:rsidRPr="0042596A">
        <w:rPr>
          <w:rFonts w:eastAsia="Calibri"/>
          <w:szCs w:val="28"/>
        </w:rPr>
        <w:t>млн</w:t>
      </w:r>
      <w:proofErr w:type="spellEnd"/>
      <w:r w:rsidRPr="0042596A">
        <w:rPr>
          <w:rFonts w:eastAsia="Calibri"/>
          <w:szCs w:val="28"/>
        </w:rPr>
        <w:t xml:space="preserve"> грн. </w:t>
      </w:r>
      <w:r w:rsidR="0042596A" w:rsidRPr="0042596A">
        <w:rPr>
          <w:rFonts w:eastAsia="Calibri"/>
          <w:szCs w:val="28"/>
        </w:rPr>
        <w:t>Значне збільшення боргу спостерігається по Рівненській (464 %), Дніпропетровській (36,4 %), Запорізькій (26,3 %), Чернівецькій (23,85 %) Херсонській (16,15 %) областях.</w:t>
      </w:r>
    </w:p>
    <w:p w:rsidR="00035C3A" w:rsidRPr="00097B7B" w:rsidRDefault="00035C3A" w:rsidP="0042596A">
      <w:pPr>
        <w:spacing w:line="230" w:lineRule="auto"/>
        <w:jc w:val="both"/>
        <w:rPr>
          <w:rFonts w:eastAsia="Calibri"/>
          <w:szCs w:val="28"/>
        </w:rPr>
      </w:pPr>
      <w:r w:rsidRPr="00097B7B">
        <w:rPr>
          <w:rFonts w:eastAsia="Calibri"/>
          <w:szCs w:val="28"/>
        </w:rPr>
        <w:t>Загалом збільшення боргу допустили 1</w:t>
      </w:r>
      <w:r w:rsidR="0042596A">
        <w:rPr>
          <w:rFonts w:eastAsia="Calibri"/>
          <w:szCs w:val="28"/>
        </w:rPr>
        <w:t>2</w:t>
      </w:r>
      <w:r w:rsidRPr="00097B7B">
        <w:rPr>
          <w:rFonts w:eastAsia="Calibri"/>
          <w:szCs w:val="28"/>
        </w:rPr>
        <w:t xml:space="preserve"> регіональних відділень Фонду, при цьому найбільше по Дніпропетровській (на </w:t>
      </w:r>
      <w:r w:rsidR="0042596A">
        <w:rPr>
          <w:rFonts w:eastAsia="Calibri"/>
          <w:szCs w:val="28"/>
        </w:rPr>
        <w:t>5,4</w:t>
      </w:r>
      <w:r w:rsidRPr="00097B7B">
        <w:rPr>
          <w:rFonts w:eastAsia="Calibri"/>
          <w:szCs w:val="28"/>
        </w:rPr>
        <w:t xml:space="preserve"> </w:t>
      </w:r>
      <w:proofErr w:type="spellStart"/>
      <w:r w:rsidRPr="00097B7B">
        <w:rPr>
          <w:rFonts w:eastAsia="Calibri"/>
          <w:szCs w:val="28"/>
        </w:rPr>
        <w:t>млн</w:t>
      </w:r>
      <w:proofErr w:type="spellEnd"/>
      <w:r w:rsidRPr="00097B7B">
        <w:rPr>
          <w:rFonts w:eastAsia="Calibri"/>
          <w:szCs w:val="28"/>
        </w:rPr>
        <w:t xml:space="preserve"> </w:t>
      </w:r>
      <w:proofErr w:type="spellStart"/>
      <w:r w:rsidRPr="00097B7B">
        <w:rPr>
          <w:rFonts w:eastAsia="Calibri"/>
          <w:szCs w:val="28"/>
        </w:rPr>
        <w:t>грн</w:t>
      </w:r>
      <w:proofErr w:type="spellEnd"/>
      <w:r w:rsidRPr="00097B7B">
        <w:rPr>
          <w:rFonts w:eastAsia="Calibri"/>
          <w:szCs w:val="28"/>
        </w:rPr>
        <w:t>), Харківській (на 0,87 </w:t>
      </w:r>
      <w:proofErr w:type="spellStart"/>
      <w:r w:rsidRPr="00097B7B">
        <w:rPr>
          <w:rFonts w:eastAsia="Calibri"/>
          <w:szCs w:val="28"/>
        </w:rPr>
        <w:t>млн</w:t>
      </w:r>
      <w:proofErr w:type="spellEnd"/>
      <w:r w:rsidRPr="00097B7B">
        <w:rPr>
          <w:rFonts w:eastAsia="Calibri"/>
          <w:szCs w:val="28"/>
        </w:rPr>
        <w:t xml:space="preserve"> </w:t>
      </w:r>
      <w:proofErr w:type="spellStart"/>
      <w:r w:rsidRPr="00097B7B">
        <w:rPr>
          <w:rFonts w:eastAsia="Calibri"/>
          <w:szCs w:val="28"/>
        </w:rPr>
        <w:t>грн</w:t>
      </w:r>
      <w:proofErr w:type="spellEnd"/>
      <w:r w:rsidRPr="00097B7B">
        <w:rPr>
          <w:rFonts w:eastAsia="Calibri"/>
          <w:szCs w:val="28"/>
        </w:rPr>
        <w:t xml:space="preserve">), </w:t>
      </w:r>
      <w:r w:rsidR="0042596A" w:rsidRPr="0042596A">
        <w:rPr>
          <w:rFonts w:eastAsia="Calibri"/>
          <w:szCs w:val="28"/>
        </w:rPr>
        <w:t xml:space="preserve">Рівненській (на 0,8 </w:t>
      </w:r>
      <w:proofErr w:type="spellStart"/>
      <w:r w:rsidR="0042596A" w:rsidRPr="0042596A">
        <w:rPr>
          <w:rFonts w:eastAsia="Calibri"/>
          <w:szCs w:val="28"/>
        </w:rPr>
        <w:t>млн</w:t>
      </w:r>
      <w:proofErr w:type="spellEnd"/>
      <w:r w:rsidR="0042596A" w:rsidRPr="0042596A">
        <w:rPr>
          <w:rFonts w:eastAsia="Calibri"/>
          <w:szCs w:val="28"/>
        </w:rPr>
        <w:t xml:space="preserve"> </w:t>
      </w:r>
      <w:proofErr w:type="spellStart"/>
      <w:r w:rsidR="0042596A" w:rsidRPr="0042596A">
        <w:rPr>
          <w:rFonts w:eastAsia="Calibri"/>
          <w:szCs w:val="28"/>
        </w:rPr>
        <w:t>грн</w:t>
      </w:r>
      <w:proofErr w:type="spellEnd"/>
      <w:r w:rsidR="0042596A" w:rsidRPr="0042596A">
        <w:rPr>
          <w:rFonts w:eastAsia="Calibri"/>
          <w:szCs w:val="28"/>
        </w:rPr>
        <w:t xml:space="preserve">), Одеській (на 0,59 млн. </w:t>
      </w:r>
      <w:proofErr w:type="spellStart"/>
      <w:r w:rsidR="0042596A" w:rsidRPr="0042596A">
        <w:rPr>
          <w:rFonts w:eastAsia="Calibri"/>
          <w:szCs w:val="28"/>
        </w:rPr>
        <w:t>грн</w:t>
      </w:r>
      <w:proofErr w:type="spellEnd"/>
      <w:r w:rsidR="0042596A" w:rsidRPr="0042596A">
        <w:rPr>
          <w:rFonts w:eastAsia="Calibri"/>
          <w:szCs w:val="28"/>
        </w:rPr>
        <w:t xml:space="preserve">) та Запорізькій (на 0,57 </w:t>
      </w:r>
      <w:proofErr w:type="spellStart"/>
      <w:r w:rsidR="0042596A" w:rsidRPr="0042596A">
        <w:rPr>
          <w:rFonts w:eastAsia="Calibri"/>
          <w:szCs w:val="28"/>
        </w:rPr>
        <w:t>млн</w:t>
      </w:r>
      <w:proofErr w:type="spellEnd"/>
      <w:r w:rsidR="0042596A" w:rsidRPr="0042596A">
        <w:rPr>
          <w:rFonts w:eastAsia="Calibri"/>
          <w:szCs w:val="28"/>
        </w:rPr>
        <w:t xml:space="preserve"> </w:t>
      </w:r>
      <w:proofErr w:type="spellStart"/>
      <w:r w:rsidR="0042596A" w:rsidRPr="0042596A">
        <w:rPr>
          <w:rFonts w:eastAsia="Calibri"/>
          <w:szCs w:val="28"/>
        </w:rPr>
        <w:t>грн</w:t>
      </w:r>
      <w:proofErr w:type="spellEnd"/>
      <w:r w:rsidR="0042596A" w:rsidRPr="0042596A">
        <w:rPr>
          <w:rFonts w:eastAsia="Calibri"/>
          <w:szCs w:val="28"/>
        </w:rPr>
        <w:t>)</w:t>
      </w:r>
      <w:r w:rsidR="0042596A" w:rsidRPr="00F96CE1">
        <w:rPr>
          <w:rFonts w:eastAsia="Calibri"/>
          <w:szCs w:val="28"/>
        </w:rPr>
        <w:t xml:space="preserve"> </w:t>
      </w:r>
      <w:r w:rsidR="0042596A" w:rsidRPr="00F15153">
        <w:rPr>
          <w:rFonts w:eastAsia="Calibri"/>
          <w:szCs w:val="28"/>
        </w:rPr>
        <w:t>областях</w:t>
      </w:r>
      <w:r w:rsidRPr="00097B7B">
        <w:rPr>
          <w:rFonts w:eastAsia="Calibri"/>
          <w:szCs w:val="28"/>
        </w:rPr>
        <w:t>.</w:t>
      </w:r>
    </w:p>
    <w:p w:rsidR="00035C3A" w:rsidRPr="00097B7B" w:rsidRDefault="00035C3A" w:rsidP="0042596A">
      <w:pPr>
        <w:spacing w:line="230" w:lineRule="auto"/>
        <w:jc w:val="both"/>
        <w:rPr>
          <w:rFonts w:eastAsia="Calibri"/>
          <w:szCs w:val="28"/>
        </w:rPr>
      </w:pPr>
      <w:r w:rsidRPr="00097B7B">
        <w:rPr>
          <w:rFonts w:eastAsia="Calibri"/>
          <w:szCs w:val="28"/>
        </w:rPr>
        <w:t>Усі суми заборгованості у цілому охоплені претензійно-позовною роботою.</w:t>
      </w:r>
    </w:p>
    <w:p w:rsidR="00035C3A" w:rsidRPr="00097B7B" w:rsidRDefault="00035C3A" w:rsidP="0042596A">
      <w:pPr>
        <w:spacing w:line="230" w:lineRule="auto"/>
        <w:jc w:val="both"/>
        <w:rPr>
          <w:b/>
          <w:szCs w:val="28"/>
        </w:rPr>
      </w:pPr>
      <w:r w:rsidRPr="00097B7B">
        <w:rPr>
          <w:b/>
          <w:szCs w:val="28"/>
        </w:rPr>
        <w:t xml:space="preserve">4. Управління державним майном, яке не увійшло до статутних капіталів господарських товариств </w:t>
      </w:r>
      <w:r w:rsidR="00C5537C">
        <w:rPr>
          <w:b/>
          <w:szCs w:val="28"/>
        </w:rPr>
        <w:t>у</w:t>
      </w:r>
      <w:r w:rsidRPr="00097B7B">
        <w:rPr>
          <w:b/>
          <w:szCs w:val="28"/>
        </w:rPr>
        <w:t xml:space="preserve"> процесі приватизації.</w:t>
      </w:r>
    </w:p>
    <w:p w:rsidR="00035C3A" w:rsidRPr="00097B7B" w:rsidRDefault="00A87396" w:rsidP="0042596A">
      <w:pPr>
        <w:spacing w:line="230" w:lineRule="auto"/>
        <w:jc w:val="both"/>
        <w:rPr>
          <w:szCs w:val="28"/>
        </w:rPr>
      </w:pPr>
      <w:r w:rsidRPr="00A87396">
        <w:rPr>
          <w:szCs w:val="28"/>
        </w:rPr>
        <w:t>Протягом 2016 року регіональними відділеннями Фонду реалізовано 2</w:t>
      </w:r>
      <w:r>
        <w:rPr>
          <w:szCs w:val="28"/>
        </w:rPr>
        <w:t> </w:t>
      </w:r>
      <w:r w:rsidRPr="00A87396">
        <w:rPr>
          <w:szCs w:val="28"/>
        </w:rPr>
        <w:t>154 управлінськ</w:t>
      </w:r>
      <w:r w:rsidR="004256B6">
        <w:rPr>
          <w:szCs w:val="28"/>
        </w:rPr>
        <w:t>і</w:t>
      </w:r>
      <w:r w:rsidRPr="00A87396">
        <w:rPr>
          <w:szCs w:val="28"/>
        </w:rPr>
        <w:t xml:space="preserve"> рішен</w:t>
      </w:r>
      <w:r>
        <w:rPr>
          <w:szCs w:val="28"/>
        </w:rPr>
        <w:t>ня</w:t>
      </w:r>
      <w:r w:rsidRPr="00A87396">
        <w:rPr>
          <w:szCs w:val="28"/>
        </w:rPr>
        <w:t xml:space="preserve"> щодо майна, яке обліковувалос</w:t>
      </w:r>
      <w:r>
        <w:rPr>
          <w:szCs w:val="28"/>
        </w:rPr>
        <w:t>я</w:t>
      </w:r>
      <w:r w:rsidRPr="00A87396">
        <w:rPr>
          <w:szCs w:val="28"/>
        </w:rPr>
        <w:t xml:space="preserve"> в Єдиному реєстрі об</w:t>
      </w:r>
      <w:r>
        <w:rPr>
          <w:szCs w:val="28"/>
        </w:rPr>
        <w:t>’</w:t>
      </w:r>
      <w:r w:rsidRPr="00A87396">
        <w:rPr>
          <w:szCs w:val="28"/>
        </w:rPr>
        <w:t>єктів державної власності станом на 01.01.2016.</w:t>
      </w:r>
    </w:p>
    <w:p w:rsidR="00035C3A" w:rsidRPr="00097B7B" w:rsidRDefault="00035C3A" w:rsidP="0042596A">
      <w:pPr>
        <w:spacing w:line="230" w:lineRule="auto"/>
        <w:jc w:val="both"/>
        <w:rPr>
          <w:szCs w:val="28"/>
        </w:rPr>
      </w:pPr>
      <w:r w:rsidRPr="00097B7B">
        <w:rPr>
          <w:szCs w:val="28"/>
        </w:rPr>
        <w:t>Найбільший відсоток реалізованих управлінських рішень у регіональних відділен</w:t>
      </w:r>
      <w:r w:rsidR="004256B6">
        <w:rPr>
          <w:szCs w:val="28"/>
        </w:rPr>
        <w:t>нях</w:t>
      </w:r>
      <w:r w:rsidRPr="00097B7B">
        <w:rPr>
          <w:szCs w:val="28"/>
        </w:rPr>
        <w:t xml:space="preserve"> Фонду </w:t>
      </w:r>
      <w:r w:rsidR="00A87396" w:rsidRPr="00A87396">
        <w:rPr>
          <w:szCs w:val="28"/>
        </w:rPr>
        <w:t>по Тернопільській (76,5</w:t>
      </w:r>
      <w:r w:rsidR="00A87396">
        <w:rPr>
          <w:szCs w:val="28"/>
        </w:rPr>
        <w:t> </w:t>
      </w:r>
      <w:r w:rsidR="00A87396" w:rsidRPr="00A87396">
        <w:rPr>
          <w:szCs w:val="28"/>
        </w:rPr>
        <w:t>%), Хмельницькій (64,0</w:t>
      </w:r>
      <w:r w:rsidR="00A87396">
        <w:rPr>
          <w:szCs w:val="28"/>
        </w:rPr>
        <w:t> </w:t>
      </w:r>
      <w:r w:rsidR="00A87396" w:rsidRPr="00A87396">
        <w:rPr>
          <w:szCs w:val="28"/>
        </w:rPr>
        <w:t>%), Львівській (56,3</w:t>
      </w:r>
      <w:r w:rsidR="00A87396">
        <w:rPr>
          <w:szCs w:val="28"/>
        </w:rPr>
        <w:t> </w:t>
      </w:r>
      <w:r w:rsidR="00A87396" w:rsidRPr="00A87396">
        <w:rPr>
          <w:szCs w:val="28"/>
        </w:rPr>
        <w:t>%), Одеській (49,8</w:t>
      </w:r>
      <w:r w:rsidR="00A87396">
        <w:rPr>
          <w:szCs w:val="28"/>
        </w:rPr>
        <w:t> </w:t>
      </w:r>
      <w:r w:rsidR="00A87396" w:rsidRPr="00A87396">
        <w:rPr>
          <w:szCs w:val="28"/>
        </w:rPr>
        <w:t>%) Миколаївській (44,2</w:t>
      </w:r>
      <w:r w:rsidR="00A87396">
        <w:rPr>
          <w:szCs w:val="28"/>
        </w:rPr>
        <w:t> </w:t>
      </w:r>
      <w:r w:rsidR="00A87396" w:rsidRPr="00A87396">
        <w:rPr>
          <w:szCs w:val="28"/>
        </w:rPr>
        <w:t>%), Запорізькій (40,4</w:t>
      </w:r>
      <w:r w:rsidR="00A87396">
        <w:rPr>
          <w:szCs w:val="28"/>
        </w:rPr>
        <w:t> </w:t>
      </w:r>
      <w:r w:rsidR="00A87396" w:rsidRPr="00A87396">
        <w:rPr>
          <w:szCs w:val="28"/>
        </w:rPr>
        <w:t>%), Рівненській (37,3</w:t>
      </w:r>
      <w:r w:rsidR="00A87396">
        <w:rPr>
          <w:szCs w:val="28"/>
        </w:rPr>
        <w:t> </w:t>
      </w:r>
      <w:r w:rsidR="00A87396" w:rsidRPr="00A87396">
        <w:rPr>
          <w:szCs w:val="28"/>
        </w:rPr>
        <w:t>%), Кіровоградській (23,3</w:t>
      </w:r>
      <w:r w:rsidR="00A87396">
        <w:rPr>
          <w:szCs w:val="28"/>
        </w:rPr>
        <w:t> </w:t>
      </w:r>
      <w:r w:rsidR="00A87396" w:rsidRPr="00A87396">
        <w:rPr>
          <w:szCs w:val="28"/>
        </w:rPr>
        <w:t>%), Житомирській (21,1</w:t>
      </w:r>
      <w:r w:rsidR="00A87396">
        <w:rPr>
          <w:szCs w:val="28"/>
        </w:rPr>
        <w:t> </w:t>
      </w:r>
      <w:r w:rsidR="00A87396" w:rsidRPr="00A87396">
        <w:rPr>
          <w:szCs w:val="28"/>
        </w:rPr>
        <w:t>%), Черкаській (20,8</w:t>
      </w:r>
      <w:r w:rsidR="00A87396">
        <w:rPr>
          <w:szCs w:val="28"/>
        </w:rPr>
        <w:t> </w:t>
      </w:r>
      <w:r w:rsidR="00A87396" w:rsidRPr="00A87396">
        <w:rPr>
          <w:szCs w:val="28"/>
        </w:rPr>
        <w:t>%) та Вінницькій (19,6</w:t>
      </w:r>
      <w:r w:rsidR="00A87396">
        <w:rPr>
          <w:szCs w:val="28"/>
        </w:rPr>
        <w:t> </w:t>
      </w:r>
      <w:r w:rsidR="00A87396" w:rsidRPr="00A87396">
        <w:rPr>
          <w:szCs w:val="28"/>
        </w:rPr>
        <w:t>%) областях</w:t>
      </w:r>
      <w:r w:rsidRPr="00097B7B">
        <w:rPr>
          <w:szCs w:val="28"/>
        </w:rPr>
        <w:t>.</w:t>
      </w:r>
    </w:p>
    <w:p w:rsidR="00035C3A" w:rsidRPr="00097B7B" w:rsidRDefault="00A87396" w:rsidP="0042596A">
      <w:pPr>
        <w:spacing w:line="230" w:lineRule="auto"/>
        <w:jc w:val="both"/>
        <w:rPr>
          <w:szCs w:val="28"/>
        </w:rPr>
      </w:pPr>
      <w:r w:rsidRPr="00A87396">
        <w:rPr>
          <w:szCs w:val="28"/>
        </w:rPr>
        <w:t>При цьому найменший відсоток реалізованих управлінських рішень відмічено у регіональних відділен</w:t>
      </w:r>
      <w:r w:rsidR="004256B6">
        <w:rPr>
          <w:szCs w:val="28"/>
        </w:rPr>
        <w:t>нях</w:t>
      </w:r>
      <w:r w:rsidRPr="00A87396">
        <w:rPr>
          <w:szCs w:val="28"/>
        </w:rPr>
        <w:t xml:space="preserve"> Фонду по Київській (3,0</w:t>
      </w:r>
      <w:r>
        <w:rPr>
          <w:szCs w:val="28"/>
        </w:rPr>
        <w:t> </w:t>
      </w:r>
      <w:r w:rsidRPr="00A87396">
        <w:rPr>
          <w:szCs w:val="28"/>
        </w:rPr>
        <w:t>%) та Дніпропетровській (2,3</w:t>
      </w:r>
      <w:r>
        <w:rPr>
          <w:szCs w:val="28"/>
        </w:rPr>
        <w:t> </w:t>
      </w:r>
      <w:r w:rsidRPr="00A87396">
        <w:rPr>
          <w:szCs w:val="28"/>
        </w:rPr>
        <w:t>%) областях</w:t>
      </w:r>
      <w:r w:rsidR="00035C3A" w:rsidRPr="00097B7B">
        <w:rPr>
          <w:szCs w:val="28"/>
        </w:rPr>
        <w:t>.</w:t>
      </w:r>
    </w:p>
    <w:p w:rsidR="00D226C3" w:rsidRPr="00242020" w:rsidRDefault="00035C3A" w:rsidP="0042596A">
      <w:pPr>
        <w:spacing w:line="230" w:lineRule="auto"/>
        <w:jc w:val="both"/>
      </w:pPr>
      <w:r w:rsidRPr="00097B7B">
        <w:rPr>
          <w:szCs w:val="28"/>
        </w:rPr>
        <w:t xml:space="preserve">Наразі регіональними відділеннями Фонду постійно проводиться робота щодо забезпечення збереження та ефективного використання державного майна, яке не увійшло до статутних капіталів господарських товариств </w:t>
      </w:r>
      <w:r w:rsidR="00C5537C">
        <w:rPr>
          <w:szCs w:val="28"/>
        </w:rPr>
        <w:t>у</w:t>
      </w:r>
      <w:r w:rsidRPr="00097B7B">
        <w:rPr>
          <w:szCs w:val="28"/>
        </w:rPr>
        <w:t xml:space="preserve"> процесі приватизації.</w:t>
      </w:r>
    </w:p>
    <w:p w:rsidR="00E427AD" w:rsidRPr="00242020" w:rsidRDefault="00E427AD" w:rsidP="0042596A">
      <w:pPr>
        <w:spacing w:line="230" w:lineRule="auto"/>
        <w:sectPr w:rsidR="00E427AD" w:rsidRPr="00242020" w:rsidSect="00BE4231">
          <w:footerReference w:type="default" r:id="rId21"/>
          <w:pgSz w:w="11906" w:h="16838"/>
          <w:pgMar w:top="1134" w:right="851" w:bottom="1134" w:left="1418" w:header="709" w:footer="709" w:gutter="0"/>
          <w:cols w:space="708"/>
          <w:docGrid w:linePitch="381"/>
        </w:sectPr>
      </w:pPr>
    </w:p>
    <w:p w:rsidR="00E427AD" w:rsidRPr="00242020" w:rsidRDefault="00E427AD" w:rsidP="00A305C4">
      <w:pPr>
        <w:pStyle w:val="1"/>
        <w:ind w:left="1134" w:right="1132"/>
      </w:pPr>
      <w:r w:rsidRPr="00242020">
        <w:lastRenderedPageBreak/>
        <w:t>11. Основні завдання та напрями діяльності Фонду</w:t>
      </w:r>
      <w:r w:rsidR="00A305C4" w:rsidRPr="00242020">
        <w:t xml:space="preserve"> </w:t>
      </w:r>
      <w:r w:rsidRPr="00242020">
        <w:t>на наступний рік</w:t>
      </w:r>
    </w:p>
    <w:p w:rsidR="004252F1" w:rsidRPr="00242020" w:rsidRDefault="004252F1" w:rsidP="004252F1">
      <w:pPr>
        <w:ind w:firstLine="720"/>
        <w:jc w:val="both"/>
        <w:rPr>
          <w:sz w:val="12"/>
          <w:szCs w:val="12"/>
        </w:rPr>
      </w:pPr>
    </w:p>
    <w:p w:rsidR="00954A46" w:rsidRPr="00242020" w:rsidRDefault="00954A46" w:rsidP="00BA04A3">
      <w:pPr>
        <w:spacing w:line="278" w:lineRule="auto"/>
        <w:jc w:val="both"/>
        <w:rPr>
          <w:rFonts w:eastAsia="Calibri" w:cs="Times New Roman"/>
          <w:szCs w:val="28"/>
        </w:rPr>
      </w:pPr>
      <w:r w:rsidRPr="00242020">
        <w:rPr>
          <w:rFonts w:eastAsia="Calibri" w:cs="Times New Roman"/>
          <w:szCs w:val="28"/>
        </w:rPr>
        <w:t>У 2017 році Фонд продовжуватиме виконання поставлених перед ним завдань із здійснення масштабної прозорої приватизації державного майна та реалізацію функцій з управління об’єктами державної власності, регулювання оціночної діяльності, виконання функцій орендодавця державного майна та інших завдань відповідно до компетенції.</w:t>
      </w:r>
    </w:p>
    <w:p w:rsidR="00954A46" w:rsidRPr="00242020" w:rsidRDefault="00954A46" w:rsidP="00BA04A3">
      <w:pPr>
        <w:spacing w:line="278" w:lineRule="auto"/>
        <w:jc w:val="both"/>
        <w:rPr>
          <w:rFonts w:eastAsia="Calibri" w:cs="Times New Roman"/>
          <w:color w:val="000000"/>
          <w:szCs w:val="28"/>
        </w:rPr>
      </w:pPr>
      <w:r w:rsidRPr="00242020">
        <w:rPr>
          <w:rFonts w:eastAsia="Times-Roman" w:cs="Times New Roman"/>
          <w:szCs w:val="28"/>
        </w:rPr>
        <w:t>Фонд докладатиме зусиль для забезпечення приватизації об’єктів, визначених постановою Кабінету Міністрів України від 12 травня 2015 року № 271 «</w:t>
      </w:r>
      <w:r w:rsidRPr="00242020">
        <w:rPr>
          <w:rFonts w:eastAsia="Calibri" w:cs="Times New Roman"/>
          <w:color w:val="000000"/>
          <w:szCs w:val="28"/>
        </w:rPr>
        <w:t>Про проведення прозорої та конкурентної приватизації у 2015-2017 роках» (із змінами і доповненнями). Масштабна та прозора приватизація залишається одним з головних напрямів роботи, на якому буде зосереджена увага Фонду.</w:t>
      </w:r>
    </w:p>
    <w:p w:rsidR="00954A46" w:rsidRPr="00242020" w:rsidRDefault="00954A46" w:rsidP="00BA04A3">
      <w:pPr>
        <w:spacing w:line="278" w:lineRule="auto"/>
        <w:jc w:val="both"/>
        <w:rPr>
          <w:rFonts w:eastAsia="Calibri" w:cs="Times New Roman"/>
          <w:color w:val="000000"/>
          <w:szCs w:val="28"/>
        </w:rPr>
      </w:pPr>
      <w:r w:rsidRPr="00242020">
        <w:rPr>
          <w:rFonts w:eastAsia="Calibri" w:cs="Times New Roman"/>
          <w:color w:val="000000"/>
          <w:szCs w:val="28"/>
        </w:rPr>
        <w:t xml:space="preserve">У 2017 році Фонд і надалі буде докладати зусиль до вдосконалення процесу приватизації, зокрема щодо забезпечення його більшої прозорості. Стан підготовки до приватизації всіх об’єктів, які повинні бути продані у 2017-2018 роках, буде висвітлюватися в мережі Інтернет у режимі </w:t>
      </w:r>
      <w:proofErr w:type="spellStart"/>
      <w:r w:rsidRPr="00242020">
        <w:rPr>
          <w:rFonts w:eastAsia="Calibri" w:cs="Times New Roman"/>
          <w:color w:val="000000"/>
          <w:szCs w:val="28"/>
        </w:rPr>
        <w:t>онлайн</w:t>
      </w:r>
      <w:proofErr w:type="spellEnd"/>
      <w:r w:rsidRPr="00242020">
        <w:rPr>
          <w:rFonts w:eastAsia="Calibri" w:cs="Times New Roman"/>
          <w:color w:val="000000"/>
          <w:szCs w:val="28"/>
        </w:rPr>
        <w:t>, що дасть змогу громадськості контролювати процес приватизації, а потенційним інвесторам – підвищити ефективність підготовки до участі в аукціонах з продажу сотень підприємств та більше тисячі об’єктів малої приватизації.</w:t>
      </w:r>
    </w:p>
    <w:p w:rsidR="00A464FF" w:rsidRDefault="00A464FF" w:rsidP="00BA04A3">
      <w:pPr>
        <w:spacing w:line="278" w:lineRule="auto"/>
        <w:jc w:val="both"/>
        <w:rPr>
          <w:rFonts w:eastAsia="Calibri" w:cs="Times New Roman"/>
          <w:color w:val="000000"/>
          <w:szCs w:val="28"/>
        </w:rPr>
      </w:pPr>
      <w:r>
        <w:rPr>
          <w:rFonts w:eastAsia="Calibri" w:cs="Times New Roman"/>
          <w:color w:val="000000"/>
          <w:szCs w:val="28"/>
        </w:rPr>
        <w:t>Крім того, у 2017 році Фонд продовжить роботу зі спрощення процесу приватизації шляхом внесення відповідних змін до законодавства</w:t>
      </w:r>
      <w:r w:rsidR="00666B0C">
        <w:rPr>
          <w:rFonts w:eastAsia="Calibri" w:cs="Times New Roman"/>
          <w:color w:val="000000"/>
          <w:szCs w:val="28"/>
        </w:rPr>
        <w:t>.</w:t>
      </w:r>
    </w:p>
    <w:p w:rsidR="00954A46" w:rsidRPr="00242020" w:rsidRDefault="006929D3" w:rsidP="00BA04A3">
      <w:pPr>
        <w:spacing w:line="278" w:lineRule="auto"/>
        <w:jc w:val="both"/>
        <w:rPr>
          <w:rFonts w:eastAsia="Calibri" w:cs="Times New Roman"/>
          <w:bCs/>
          <w:szCs w:val="28"/>
        </w:rPr>
      </w:pPr>
      <w:r w:rsidRPr="001461EC">
        <w:rPr>
          <w:rFonts w:eastAsia="Calibri" w:cs="Times New Roman"/>
          <w:szCs w:val="28"/>
        </w:rPr>
        <w:t xml:space="preserve">Прийняття </w:t>
      </w:r>
      <w:r w:rsidRPr="001461EC">
        <w:rPr>
          <w:rFonts w:eastAsia="Calibri" w:cs="Times New Roman"/>
          <w:color w:val="000000"/>
          <w:szCs w:val="28"/>
        </w:rPr>
        <w:t xml:space="preserve">Закону </w:t>
      </w:r>
      <w:r w:rsidRPr="001461EC">
        <w:rPr>
          <w:rFonts w:eastAsia="Calibri" w:cs="Times New Roman"/>
          <w:szCs w:val="28"/>
        </w:rPr>
        <w:t xml:space="preserve">України </w:t>
      </w:r>
      <w:r w:rsidRPr="001461EC">
        <w:rPr>
          <w:rFonts w:eastAsia="Calibri" w:cs="Times New Roman"/>
          <w:bCs/>
          <w:szCs w:val="28"/>
        </w:rPr>
        <w:t>«Про внесення змін до деяких законодавчих актів України (щодо спрощення процесу приватизації)» дасть змогу суттєво спростити процедуру продажу об’єкт</w:t>
      </w:r>
      <w:r>
        <w:rPr>
          <w:rFonts w:eastAsia="Calibri" w:cs="Times New Roman"/>
          <w:bCs/>
          <w:szCs w:val="28"/>
        </w:rPr>
        <w:t xml:space="preserve">ів приватизації, </w:t>
      </w:r>
      <w:r w:rsidRPr="001461EC">
        <w:rPr>
          <w:rFonts w:eastAsia="Calibri" w:cs="Times New Roman"/>
          <w:szCs w:val="28"/>
        </w:rPr>
        <w:t>прискорити процеси приватизації, підвищити економічну ефективність продажу об’єктів, збільшити надходження до державного бюджету</w:t>
      </w:r>
      <w:r>
        <w:rPr>
          <w:rFonts w:eastAsia="Calibri" w:cs="Times New Roman"/>
          <w:szCs w:val="28"/>
        </w:rPr>
        <w:t>. Крім того, р</w:t>
      </w:r>
      <w:r w:rsidRPr="001461EC">
        <w:rPr>
          <w:rFonts w:eastAsia="Calibri" w:cs="Times New Roman"/>
          <w:szCs w:val="28"/>
        </w:rPr>
        <w:t>озшир</w:t>
      </w:r>
      <w:r>
        <w:rPr>
          <w:rFonts w:eastAsia="Calibri" w:cs="Times New Roman"/>
          <w:szCs w:val="28"/>
        </w:rPr>
        <w:t>ення</w:t>
      </w:r>
      <w:r w:rsidRPr="001461EC">
        <w:rPr>
          <w:rFonts w:eastAsia="Calibri" w:cs="Times New Roman"/>
          <w:szCs w:val="28"/>
        </w:rPr>
        <w:t xml:space="preserve"> постприватизаційн</w:t>
      </w:r>
      <w:r>
        <w:rPr>
          <w:rFonts w:eastAsia="Calibri" w:cs="Times New Roman"/>
          <w:szCs w:val="28"/>
        </w:rPr>
        <w:t xml:space="preserve">их </w:t>
      </w:r>
      <w:r w:rsidRPr="001461EC">
        <w:rPr>
          <w:rFonts w:eastAsia="Calibri" w:cs="Times New Roman"/>
          <w:szCs w:val="28"/>
        </w:rPr>
        <w:t>гаранті</w:t>
      </w:r>
      <w:r>
        <w:rPr>
          <w:rFonts w:eastAsia="Calibri" w:cs="Times New Roman"/>
          <w:szCs w:val="28"/>
        </w:rPr>
        <w:t>й</w:t>
      </w:r>
      <w:r w:rsidRPr="001461EC">
        <w:rPr>
          <w:rFonts w:eastAsia="Calibri" w:cs="Times New Roman"/>
          <w:szCs w:val="28"/>
        </w:rPr>
        <w:t xml:space="preserve"> для інвесторів, а саме обмеж</w:t>
      </w:r>
      <w:r>
        <w:rPr>
          <w:rFonts w:eastAsia="Calibri" w:cs="Times New Roman"/>
          <w:szCs w:val="28"/>
        </w:rPr>
        <w:t>ення</w:t>
      </w:r>
      <w:r w:rsidRPr="001461EC">
        <w:rPr>
          <w:rFonts w:eastAsia="Calibri" w:cs="Times New Roman"/>
          <w:szCs w:val="28"/>
        </w:rPr>
        <w:t xml:space="preserve"> до 3-х років строк</w:t>
      </w:r>
      <w:r>
        <w:rPr>
          <w:rFonts w:eastAsia="Calibri" w:cs="Times New Roman"/>
          <w:szCs w:val="28"/>
        </w:rPr>
        <w:t>у</w:t>
      </w:r>
      <w:r w:rsidRPr="001461EC">
        <w:rPr>
          <w:rFonts w:eastAsia="Calibri" w:cs="Times New Roman"/>
          <w:szCs w:val="28"/>
        </w:rPr>
        <w:t xml:space="preserve"> поз</w:t>
      </w:r>
      <w:r>
        <w:rPr>
          <w:rFonts w:eastAsia="Calibri" w:cs="Times New Roman"/>
          <w:szCs w:val="28"/>
        </w:rPr>
        <w:t>о</w:t>
      </w:r>
      <w:r w:rsidRPr="001461EC">
        <w:rPr>
          <w:rFonts w:eastAsia="Calibri" w:cs="Times New Roman"/>
          <w:szCs w:val="28"/>
        </w:rPr>
        <w:t>вної давності для позовів</w:t>
      </w:r>
      <w:r>
        <w:rPr>
          <w:rFonts w:eastAsia="Calibri" w:cs="Times New Roman"/>
          <w:szCs w:val="28"/>
        </w:rPr>
        <w:t>,</w:t>
      </w:r>
      <w:r w:rsidRPr="001461EC">
        <w:rPr>
          <w:rFonts w:eastAsia="Calibri" w:cs="Times New Roman"/>
          <w:szCs w:val="28"/>
        </w:rPr>
        <w:t xml:space="preserve"> пов’язаних з приватизацією, </w:t>
      </w:r>
      <w:r>
        <w:rPr>
          <w:rFonts w:eastAsia="Calibri" w:cs="Times New Roman"/>
          <w:szCs w:val="28"/>
        </w:rPr>
        <w:t xml:space="preserve">запровадження </w:t>
      </w:r>
      <w:r w:rsidRPr="001461EC">
        <w:rPr>
          <w:rFonts w:eastAsia="Calibri" w:cs="Times New Roman"/>
          <w:szCs w:val="28"/>
        </w:rPr>
        <w:t>дворічн</w:t>
      </w:r>
      <w:r>
        <w:rPr>
          <w:rFonts w:eastAsia="Calibri" w:cs="Times New Roman"/>
          <w:szCs w:val="28"/>
        </w:rPr>
        <w:t>ого</w:t>
      </w:r>
      <w:r w:rsidRPr="001461EC">
        <w:rPr>
          <w:rFonts w:eastAsia="Calibri" w:cs="Times New Roman"/>
          <w:szCs w:val="28"/>
        </w:rPr>
        <w:t xml:space="preserve"> мораторі</w:t>
      </w:r>
      <w:r>
        <w:rPr>
          <w:rFonts w:eastAsia="Calibri" w:cs="Times New Roman"/>
          <w:szCs w:val="28"/>
        </w:rPr>
        <w:t>ю</w:t>
      </w:r>
      <w:r w:rsidRPr="001461EC">
        <w:rPr>
          <w:rFonts w:eastAsia="Calibri" w:cs="Times New Roman"/>
          <w:szCs w:val="28"/>
        </w:rPr>
        <w:t xml:space="preserve"> на банкрутство з причин, що виникли до завершення приватизації, розподіл ризиків та відповідальності покупця і продавця</w:t>
      </w:r>
      <w:r>
        <w:rPr>
          <w:rFonts w:eastAsia="Calibri" w:cs="Times New Roman"/>
          <w:szCs w:val="28"/>
        </w:rPr>
        <w:t xml:space="preserve">, </w:t>
      </w:r>
      <w:r w:rsidRPr="001461EC">
        <w:rPr>
          <w:rFonts w:eastAsia="Calibri" w:cs="Times New Roman"/>
          <w:szCs w:val="28"/>
        </w:rPr>
        <w:t xml:space="preserve">позитивно впливатиме на інвестиційний клімат </w:t>
      </w:r>
      <w:r>
        <w:rPr>
          <w:rFonts w:eastAsia="Calibri" w:cs="Times New Roman"/>
          <w:szCs w:val="28"/>
        </w:rPr>
        <w:t>у</w:t>
      </w:r>
      <w:r w:rsidRPr="001461EC">
        <w:rPr>
          <w:rFonts w:eastAsia="Calibri" w:cs="Times New Roman"/>
          <w:szCs w:val="28"/>
        </w:rPr>
        <w:t xml:space="preserve"> державі.</w:t>
      </w:r>
    </w:p>
    <w:p w:rsidR="00954A46" w:rsidRPr="00666B0C" w:rsidRDefault="00666B0C" w:rsidP="00BA04A3">
      <w:pPr>
        <w:spacing w:line="278" w:lineRule="auto"/>
        <w:jc w:val="both"/>
        <w:rPr>
          <w:rFonts w:eastAsia="Calibri" w:cs="Times New Roman"/>
          <w:color w:val="000000"/>
          <w:szCs w:val="28"/>
        </w:rPr>
      </w:pPr>
      <w:r w:rsidRPr="00BA04A3">
        <w:rPr>
          <w:rFonts w:eastAsia="Calibri" w:cs="Times New Roman"/>
          <w:color w:val="000000"/>
          <w:szCs w:val="28"/>
        </w:rPr>
        <w:t>Урядом вже спрощено</w:t>
      </w:r>
      <w:r w:rsidR="00E92552" w:rsidRPr="00BA04A3">
        <w:rPr>
          <w:rFonts w:eastAsia="Calibri" w:cs="Times New Roman"/>
          <w:color w:val="000000"/>
          <w:szCs w:val="28"/>
        </w:rPr>
        <w:t xml:space="preserve"> порядок</w:t>
      </w:r>
      <w:r w:rsidRPr="00BA04A3">
        <w:rPr>
          <w:rFonts w:eastAsia="Calibri" w:cs="Times New Roman"/>
          <w:color w:val="000000"/>
          <w:szCs w:val="28"/>
        </w:rPr>
        <w:t xml:space="preserve"> </w:t>
      </w:r>
      <w:r w:rsidR="00954A46" w:rsidRPr="00BA04A3">
        <w:rPr>
          <w:rFonts w:eastAsia="Calibri" w:cs="Times New Roman"/>
          <w:color w:val="000000"/>
          <w:szCs w:val="28"/>
        </w:rPr>
        <w:t>передачі уповноваженими органами управління об’єктів приватизації Фонду. Такі об’єкти мають бути передані Фонду в будь-якому стані та з будь-якими документами</w:t>
      </w:r>
      <w:r w:rsidR="00BA04A3" w:rsidRPr="00BA04A3">
        <w:rPr>
          <w:rFonts w:eastAsia="Calibri" w:cs="Times New Roman"/>
          <w:color w:val="000000"/>
          <w:szCs w:val="28"/>
        </w:rPr>
        <w:t xml:space="preserve">, у тому числі разом із затвердженим переліком майна таких об’єктів, </w:t>
      </w:r>
      <w:r w:rsidR="00954A46" w:rsidRPr="00BA04A3">
        <w:rPr>
          <w:rFonts w:eastAsia="Calibri" w:cs="Times New Roman"/>
          <w:color w:val="000000"/>
          <w:szCs w:val="28"/>
        </w:rPr>
        <w:t xml:space="preserve">одразу після затвердження відповідного переліку об’єктів приватизації. Такий підхід </w:t>
      </w:r>
      <w:r w:rsidR="00BA04A3" w:rsidRPr="00BA04A3">
        <w:rPr>
          <w:rFonts w:eastAsia="Calibri" w:cs="Times New Roman"/>
          <w:color w:val="000000"/>
          <w:szCs w:val="28"/>
        </w:rPr>
        <w:t>має</w:t>
      </w:r>
      <w:r w:rsidR="00954A46" w:rsidRPr="00BA04A3">
        <w:rPr>
          <w:rFonts w:eastAsia="Calibri" w:cs="Times New Roman"/>
          <w:color w:val="000000"/>
          <w:szCs w:val="28"/>
        </w:rPr>
        <w:t xml:space="preserve"> припинити саботування передачі об’єктів на приватизацію з боку уповноважених органів</w:t>
      </w:r>
      <w:r w:rsidRPr="00BA04A3">
        <w:rPr>
          <w:rFonts w:eastAsia="Calibri" w:cs="Times New Roman"/>
          <w:color w:val="000000"/>
          <w:szCs w:val="28"/>
        </w:rPr>
        <w:t xml:space="preserve"> </w:t>
      </w:r>
      <w:r w:rsidR="00BA04A3">
        <w:rPr>
          <w:rFonts w:eastAsia="Calibri" w:cs="Times New Roman"/>
          <w:color w:val="000000"/>
          <w:szCs w:val="28"/>
        </w:rPr>
        <w:br/>
      </w:r>
      <w:r w:rsidR="00954A46" w:rsidRPr="00666B0C">
        <w:rPr>
          <w:rFonts w:eastAsia="Calibri" w:cs="Times New Roman"/>
          <w:color w:val="000000"/>
          <w:szCs w:val="28"/>
        </w:rPr>
        <w:lastRenderedPageBreak/>
        <w:t>управління та суттєво розширити перелік об’єктів, які пропонуються Фондом до продажу.</w:t>
      </w:r>
    </w:p>
    <w:p w:rsidR="00954A46" w:rsidRPr="00242020" w:rsidRDefault="00954A46" w:rsidP="00954A46">
      <w:pPr>
        <w:spacing w:line="230" w:lineRule="auto"/>
        <w:jc w:val="both"/>
        <w:rPr>
          <w:rFonts w:eastAsia="Calibri" w:cs="Times New Roman"/>
          <w:szCs w:val="28"/>
        </w:rPr>
      </w:pPr>
      <w:r w:rsidRPr="00AA10A5">
        <w:rPr>
          <w:rFonts w:eastAsia="Calibri" w:cs="Times New Roman"/>
          <w:szCs w:val="28"/>
        </w:rPr>
        <w:t>З метою запровадження нових підходів до регулювання та здійснення професійної оціночної діяльності в Україні Фондом завершено</w:t>
      </w:r>
      <w:r w:rsidR="009E2DB8" w:rsidRPr="00AA10A5">
        <w:rPr>
          <w:rFonts w:eastAsia="Calibri" w:cs="Times New Roman"/>
          <w:szCs w:val="28"/>
        </w:rPr>
        <w:t xml:space="preserve"> </w:t>
      </w:r>
      <w:r w:rsidRPr="00AA10A5">
        <w:rPr>
          <w:rFonts w:eastAsia="Calibri" w:cs="Times New Roman"/>
          <w:szCs w:val="28"/>
        </w:rPr>
        <w:t xml:space="preserve">підготовку </w:t>
      </w:r>
      <w:r w:rsidR="009E2DB8" w:rsidRPr="00AA10A5">
        <w:rPr>
          <w:rFonts w:eastAsia="Calibri" w:cs="Times New Roman"/>
          <w:szCs w:val="28"/>
        </w:rPr>
        <w:t xml:space="preserve">та подано на розгляд Кабінету Міністрів України </w:t>
      </w:r>
      <w:r w:rsidRPr="00AA10A5">
        <w:rPr>
          <w:rFonts w:eastAsia="Calibri" w:cs="Times New Roman"/>
          <w:szCs w:val="28"/>
        </w:rPr>
        <w:t xml:space="preserve">законопроект, яким Закон України «Про оцінку майна та професійну оціночну діяльність в Україні» викладено в новій редакції. Прийняття закону забезпечить дерегуляцію ринку оціночних послуг, підвищить їх якість, посилить роль </w:t>
      </w:r>
      <w:proofErr w:type="spellStart"/>
      <w:r w:rsidRPr="00AA10A5">
        <w:rPr>
          <w:rFonts w:eastAsia="Calibri" w:cs="Times New Roman"/>
          <w:szCs w:val="28"/>
        </w:rPr>
        <w:t>саморегулівних</w:t>
      </w:r>
      <w:proofErr w:type="spellEnd"/>
      <w:r w:rsidRPr="00AA10A5">
        <w:rPr>
          <w:rFonts w:eastAsia="Calibri" w:cs="Times New Roman"/>
          <w:szCs w:val="28"/>
        </w:rPr>
        <w:t xml:space="preserve"> організацій оцінювачів.</w:t>
      </w:r>
    </w:p>
    <w:p w:rsidR="00954A46" w:rsidRPr="00242020" w:rsidRDefault="00954A46" w:rsidP="00954A46">
      <w:pPr>
        <w:spacing w:line="230" w:lineRule="auto"/>
        <w:jc w:val="both"/>
        <w:rPr>
          <w:rFonts w:eastAsia="Calibri" w:cs="Times New Roman"/>
          <w:szCs w:val="28"/>
        </w:rPr>
      </w:pPr>
      <w:r w:rsidRPr="00242020">
        <w:rPr>
          <w:rFonts w:eastAsia="Calibri" w:cs="Times New Roman"/>
          <w:szCs w:val="28"/>
        </w:rPr>
        <w:t>У сфері управління об’єктами державної власності Фонд продовжуватиме докладати зусилля для забезпечення надходжень до державного бюджету від оренди державного майна, а також дивідендів на державну частку у статутних капіталах господарських товариств.</w:t>
      </w:r>
    </w:p>
    <w:p w:rsidR="00954A46" w:rsidRPr="00242020" w:rsidRDefault="00954A46" w:rsidP="00954A46">
      <w:pPr>
        <w:spacing w:line="230" w:lineRule="auto"/>
        <w:jc w:val="both"/>
        <w:rPr>
          <w:rFonts w:eastAsia="Times-Roman" w:cs="Times New Roman"/>
          <w:szCs w:val="28"/>
        </w:rPr>
      </w:pPr>
      <w:r w:rsidRPr="00242020">
        <w:rPr>
          <w:rFonts w:eastAsia="Calibri" w:cs="Times New Roman"/>
          <w:szCs w:val="28"/>
        </w:rPr>
        <w:t xml:space="preserve">Важливими напрямами роботи у 2017 році </w:t>
      </w:r>
      <w:r w:rsidRPr="00242020">
        <w:rPr>
          <w:rFonts w:eastAsia="Times-Roman" w:cs="Times New Roman"/>
          <w:szCs w:val="28"/>
        </w:rPr>
        <w:t>також є:</w:t>
      </w:r>
    </w:p>
    <w:p w:rsidR="00954A46" w:rsidRPr="00242020" w:rsidRDefault="00954A46" w:rsidP="00954A46">
      <w:pPr>
        <w:spacing w:line="230" w:lineRule="auto"/>
        <w:ind w:right="-2"/>
        <w:jc w:val="both"/>
        <w:rPr>
          <w:rFonts w:eastAsia="Calibri" w:cs="Times New Roman"/>
          <w:szCs w:val="28"/>
        </w:rPr>
      </w:pPr>
      <w:r w:rsidRPr="00242020">
        <w:rPr>
          <w:rFonts w:eastAsia="Calibri" w:cs="Times New Roman"/>
          <w:szCs w:val="28"/>
        </w:rPr>
        <w:t>– забезпечення вдосконалення законодавства, яке регулює відносини у сфері реформування власності, управління державним майном та оціночної діяльності;</w:t>
      </w:r>
    </w:p>
    <w:p w:rsidR="00954A46" w:rsidRPr="00242020" w:rsidRDefault="00954A46" w:rsidP="00954A46">
      <w:pPr>
        <w:spacing w:line="230" w:lineRule="auto"/>
        <w:jc w:val="both"/>
        <w:rPr>
          <w:rFonts w:eastAsia="Calibri" w:cs="Times New Roman"/>
          <w:szCs w:val="28"/>
        </w:rPr>
      </w:pPr>
      <w:r w:rsidRPr="00242020">
        <w:rPr>
          <w:rFonts w:eastAsia="Calibri" w:cs="Times New Roman"/>
          <w:szCs w:val="28"/>
        </w:rPr>
        <w:t>– подальше вдосконалення процесу перевірки та контролю за виконанням покупцями інвестиційних зобов’язань;</w:t>
      </w:r>
    </w:p>
    <w:p w:rsidR="00954A46" w:rsidRPr="00242020" w:rsidRDefault="00954A46" w:rsidP="00954A46">
      <w:pPr>
        <w:widowControl/>
        <w:numPr>
          <w:ilvl w:val="0"/>
          <w:numId w:val="26"/>
        </w:numPr>
        <w:tabs>
          <w:tab w:val="clear" w:pos="1624"/>
          <w:tab w:val="num" w:pos="960"/>
        </w:tabs>
        <w:spacing w:line="230" w:lineRule="auto"/>
        <w:ind w:left="0" w:right="-2" w:firstLine="709"/>
        <w:jc w:val="both"/>
        <w:rPr>
          <w:rFonts w:eastAsia="Calibri" w:cs="Times New Roman"/>
          <w:szCs w:val="28"/>
        </w:rPr>
      </w:pPr>
      <w:r w:rsidRPr="00242020">
        <w:rPr>
          <w:rFonts w:eastAsia="Calibri" w:cs="Times New Roman"/>
          <w:szCs w:val="28"/>
        </w:rPr>
        <w:t>забезпечення ефективного управління державним майном, корпоративними правами держави, які перебувають в управлінні Фонду;</w:t>
      </w:r>
    </w:p>
    <w:p w:rsidR="00954A46" w:rsidRPr="00242020" w:rsidRDefault="00954A46" w:rsidP="00954A46">
      <w:pPr>
        <w:widowControl/>
        <w:numPr>
          <w:ilvl w:val="0"/>
          <w:numId w:val="26"/>
        </w:numPr>
        <w:tabs>
          <w:tab w:val="clear" w:pos="1624"/>
          <w:tab w:val="num" w:pos="960"/>
        </w:tabs>
        <w:spacing w:line="230" w:lineRule="auto"/>
        <w:ind w:left="0" w:right="-2" w:firstLine="709"/>
        <w:jc w:val="both"/>
        <w:rPr>
          <w:rFonts w:eastAsia="Calibri" w:cs="Times New Roman"/>
          <w:szCs w:val="28"/>
        </w:rPr>
      </w:pPr>
      <w:r w:rsidRPr="00242020">
        <w:rPr>
          <w:rFonts w:eastAsia="Calibri" w:cs="Times New Roman"/>
          <w:szCs w:val="28"/>
        </w:rPr>
        <w:t xml:space="preserve">підтримання на досягнутому рівні виконання функцій орендодавця державного майна; </w:t>
      </w:r>
    </w:p>
    <w:p w:rsidR="00954A46" w:rsidRPr="00242020" w:rsidRDefault="00954A46" w:rsidP="00954A46">
      <w:pPr>
        <w:widowControl/>
        <w:numPr>
          <w:ilvl w:val="0"/>
          <w:numId w:val="26"/>
        </w:numPr>
        <w:tabs>
          <w:tab w:val="clear" w:pos="1624"/>
          <w:tab w:val="num" w:pos="960"/>
        </w:tabs>
        <w:spacing w:line="230" w:lineRule="auto"/>
        <w:ind w:left="0" w:right="-2" w:firstLine="709"/>
        <w:jc w:val="both"/>
        <w:rPr>
          <w:rFonts w:eastAsia="Calibri" w:cs="Times New Roman"/>
          <w:szCs w:val="28"/>
        </w:rPr>
      </w:pPr>
      <w:r w:rsidRPr="00242020">
        <w:rPr>
          <w:rFonts w:eastAsia="Calibri" w:cs="Times New Roman"/>
          <w:szCs w:val="28"/>
        </w:rPr>
        <w:t xml:space="preserve">захист інтересів держави в судах; </w:t>
      </w:r>
    </w:p>
    <w:p w:rsidR="00954A46" w:rsidRPr="00242020" w:rsidRDefault="00954A46" w:rsidP="00954A46">
      <w:pPr>
        <w:spacing w:line="230" w:lineRule="auto"/>
        <w:ind w:right="-2"/>
        <w:jc w:val="both"/>
        <w:rPr>
          <w:rFonts w:eastAsia="Calibri" w:cs="Times New Roman"/>
          <w:szCs w:val="28"/>
        </w:rPr>
      </w:pPr>
      <w:r w:rsidRPr="00242020">
        <w:rPr>
          <w:rFonts w:eastAsia="Calibri" w:cs="Times New Roman"/>
          <w:szCs w:val="28"/>
        </w:rPr>
        <w:t>– удосконалення механізму взаємодії з суб’єктами управління об’єктами державної власності в процесі ведення Єдиного реєстру об’єктів державної власності, розширення джерел наповнення Реєстру, підтримання даних Реєстру в актуальному стані, забезпечення безумовного надання користувачам Реєстру відповідних адміністративних послуг, вжиття заходів з метою забезпечення надання доступу до даних Реєстру у формі відкритих даних.</w:t>
      </w:r>
    </w:p>
    <w:p w:rsidR="00954A46" w:rsidRPr="00242020" w:rsidRDefault="00954A46" w:rsidP="00954A46">
      <w:pPr>
        <w:tabs>
          <w:tab w:val="num" w:pos="0"/>
        </w:tabs>
        <w:spacing w:line="230" w:lineRule="auto"/>
        <w:ind w:right="-5" w:firstLine="540"/>
        <w:jc w:val="both"/>
        <w:rPr>
          <w:rFonts w:eastAsia="Calibri" w:cs="Times New Roman"/>
          <w:b/>
          <w:bCs/>
          <w:color w:val="993300"/>
          <w:spacing w:val="-3"/>
          <w:sz w:val="8"/>
          <w:szCs w:val="8"/>
        </w:rPr>
      </w:pPr>
    </w:p>
    <w:p w:rsidR="00954A46" w:rsidRPr="00242020" w:rsidRDefault="00954A46" w:rsidP="00954A46">
      <w:pPr>
        <w:spacing w:line="230" w:lineRule="auto"/>
        <w:ind w:right="-2"/>
        <w:jc w:val="both"/>
        <w:rPr>
          <w:rFonts w:eastAsia="Times-Roman" w:cs="Times New Roman"/>
          <w:szCs w:val="28"/>
        </w:rPr>
      </w:pPr>
      <w:r w:rsidRPr="00242020">
        <w:rPr>
          <w:rFonts w:eastAsia="Times-Roman" w:cs="Times New Roman"/>
          <w:szCs w:val="28"/>
        </w:rPr>
        <w:t>Визначені напрями діяльності мають комплексно забезпечити подальший розвиток процесів реформування державного сектору економіки, посилити керованість процесів відчуження об’єктів приватизації, підвищити ефективність функціонування фондового ринку та забезпечити виконання завдань з надходження грошових коштів до державного бюджету.</w:t>
      </w:r>
    </w:p>
    <w:p w:rsidR="00954A46" w:rsidRPr="00242020" w:rsidRDefault="00954A46" w:rsidP="00954A46">
      <w:pPr>
        <w:spacing w:line="230" w:lineRule="auto"/>
        <w:ind w:right="-2"/>
        <w:jc w:val="both"/>
        <w:rPr>
          <w:rFonts w:eastAsia="Calibri" w:cs="Times New Roman"/>
          <w:szCs w:val="28"/>
        </w:rPr>
      </w:pPr>
      <w:r w:rsidRPr="00242020">
        <w:rPr>
          <w:rFonts w:eastAsia="Calibri" w:cs="Times New Roman"/>
          <w:szCs w:val="28"/>
        </w:rPr>
        <w:t xml:space="preserve">Виконання поставлених завдань, підвищення рівня прозорості та відкритості процесу приватизації сприятиме створенню привабливого інвестиційного клімату в державі, залученню інвестицій, забезпеченню сталого розвитку економіки, а також надходженню коштів від приватизації та управління державним майном до державного бюджету. </w:t>
      </w:r>
    </w:p>
    <w:p w:rsidR="009E2DB8" w:rsidRPr="00242020" w:rsidRDefault="009E2DB8" w:rsidP="00E427AD">
      <w:pPr>
        <w:jc w:val="both"/>
        <w:rPr>
          <w:highlight w:val="red"/>
        </w:rPr>
      </w:pPr>
    </w:p>
    <w:p w:rsidR="00E427AD" w:rsidRPr="00242020" w:rsidRDefault="00E427AD" w:rsidP="00E427AD">
      <w:pPr>
        <w:jc w:val="both"/>
        <w:rPr>
          <w:highlight w:val="red"/>
        </w:rPr>
      </w:pPr>
    </w:p>
    <w:p w:rsidR="00E427AD" w:rsidRPr="00242020" w:rsidRDefault="00E427AD" w:rsidP="00E427AD">
      <w:pPr>
        <w:jc w:val="both"/>
        <w:rPr>
          <w:highlight w:val="red"/>
        </w:rPr>
      </w:pPr>
    </w:p>
    <w:p w:rsidR="00E427AD" w:rsidRPr="00242020" w:rsidRDefault="00E427AD" w:rsidP="00E427AD">
      <w:pPr>
        <w:ind w:firstLine="0"/>
        <w:jc w:val="both"/>
        <w:rPr>
          <w:b/>
        </w:rPr>
      </w:pPr>
      <w:r w:rsidRPr="00242020">
        <w:rPr>
          <w:b/>
        </w:rPr>
        <w:t>Голова Фонду</w:t>
      </w:r>
    </w:p>
    <w:p w:rsidR="00E427AD" w:rsidRPr="00242020" w:rsidRDefault="00E427AD" w:rsidP="00E427AD">
      <w:pPr>
        <w:ind w:firstLine="0"/>
        <w:jc w:val="both"/>
        <w:rPr>
          <w:b/>
        </w:rPr>
      </w:pPr>
      <w:r w:rsidRPr="00242020">
        <w:rPr>
          <w:b/>
        </w:rPr>
        <w:t>державного майна України                                                       І. Білоус</w:t>
      </w:r>
    </w:p>
    <w:p w:rsidR="00A305C4" w:rsidRPr="00242020" w:rsidRDefault="00A305C4"/>
    <w:p w:rsidR="00A305C4" w:rsidRPr="00242020" w:rsidRDefault="00A305C4">
      <w:pPr>
        <w:sectPr w:rsidR="00A305C4" w:rsidRPr="00242020" w:rsidSect="00BE4231">
          <w:pgSz w:w="11906" w:h="16838"/>
          <w:pgMar w:top="1134" w:right="851" w:bottom="1134" w:left="1418" w:header="709" w:footer="709" w:gutter="0"/>
          <w:cols w:space="708"/>
          <w:docGrid w:linePitch="381"/>
        </w:sectPr>
      </w:pPr>
    </w:p>
    <w:p w:rsidR="002B3DF4" w:rsidRPr="009D45C6" w:rsidRDefault="00095093" w:rsidP="00CF5E09">
      <w:pPr>
        <w:ind w:firstLine="0"/>
        <w:jc w:val="center"/>
        <w:rPr>
          <w:b/>
          <w:szCs w:val="28"/>
        </w:rPr>
      </w:pPr>
      <w:r>
        <w:rPr>
          <w:b/>
          <w:noProof/>
          <w:szCs w:val="28"/>
        </w:rPr>
        <w:lastRenderedPageBreak/>
        <w:pict>
          <v:shape id="_x0000_s1059" type="#_x0000_t202" style="position:absolute;left:0;text-align:left;margin-left:-.1pt;margin-top:-21.9pt;width:765.8pt;height:17.85pt;z-index:251680256;mso-width-relative:margin;mso-height-relative:margin;v-text-anchor:middle" fillcolor="#c6dbf0" stroked="f">
            <v:textbox style="mso-next-textbox:#_x0000_s1059" inset="0,0,0,0">
              <w:txbxContent>
                <w:p w:rsidR="00DF1F08" w:rsidRPr="00C526C9" w:rsidRDefault="00DF1F08" w:rsidP="00EE65F6">
                  <w:pPr>
                    <w:ind w:firstLine="0"/>
                    <w:jc w:val="right"/>
                    <w:rPr>
                      <w:color w:val="595959" w:themeColor="text1" w:themeTint="A6"/>
                      <w:sz w:val="22"/>
                      <w:lang w:val="ru-RU"/>
                    </w:rPr>
                  </w:pPr>
                  <w:proofErr w:type="spellStart"/>
                  <w:r w:rsidRPr="00C526C9">
                    <w:rPr>
                      <w:color w:val="595959" w:themeColor="text1" w:themeTint="A6"/>
                      <w:sz w:val="22"/>
                      <w:lang w:val="ru-RU"/>
                    </w:rPr>
                    <w:t>Додаток</w:t>
                  </w:r>
                  <w:proofErr w:type="spellEnd"/>
                  <w:r w:rsidRPr="00C526C9">
                    <w:rPr>
                      <w:color w:val="595959" w:themeColor="text1" w:themeTint="A6"/>
                      <w:sz w:val="22"/>
                      <w:lang w:val="ru-RU"/>
                    </w:rPr>
                    <w:t xml:space="preserve"> 1</w:t>
                  </w:r>
                </w:p>
              </w:txbxContent>
            </v:textbox>
          </v:shape>
        </w:pict>
      </w:r>
      <w:r w:rsidR="002B3DF4" w:rsidRPr="009D45C6">
        <w:rPr>
          <w:b/>
          <w:szCs w:val="28"/>
        </w:rPr>
        <w:t>Інформація щодо кількості об’єктів, які змінили державну форму власності</w:t>
      </w:r>
      <w:r w:rsidR="009D45C6" w:rsidRPr="009D45C6">
        <w:rPr>
          <w:b/>
          <w:szCs w:val="28"/>
        </w:rPr>
        <w:t xml:space="preserve"> за 1992 – 12 місяців 2016 рр., за групами</w:t>
      </w:r>
    </w:p>
    <w:p w:rsidR="002B3DF4" w:rsidRPr="00022F5E" w:rsidRDefault="009D45C6" w:rsidP="002B3DF4">
      <w:pPr>
        <w:ind w:left="6" w:firstLine="18"/>
        <w:jc w:val="center"/>
        <w:rPr>
          <w:sz w:val="20"/>
          <w:szCs w:val="20"/>
        </w:rPr>
      </w:pPr>
      <w:r w:rsidRPr="009D45C6">
        <w:rPr>
          <w:sz w:val="20"/>
          <w:szCs w:val="20"/>
        </w:rPr>
        <w:t>(</w:t>
      </w:r>
      <w:r w:rsidR="00F37533" w:rsidRPr="009D45C6">
        <w:rPr>
          <w:sz w:val="20"/>
          <w:szCs w:val="20"/>
        </w:rPr>
        <w:t>за даними форми № 1</w:t>
      </w:r>
      <w:r w:rsidR="00F37533">
        <w:rPr>
          <w:sz w:val="20"/>
          <w:szCs w:val="20"/>
        </w:rPr>
        <w:t>-</w:t>
      </w:r>
      <w:r w:rsidR="00F37533" w:rsidRPr="009D45C6">
        <w:rPr>
          <w:sz w:val="20"/>
          <w:szCs w:val="20"/>
        </w:rPr>
        <w:t>приватизація</w:t>
      </w:r>
      <w:r w:rsidR="00022F5E" w:rsidRPr="00022F5E">
        <w:rPr>
          <w:sz w:val="20"/>
          <w:szCs w:val="20"/>
        </w:rPr>
        <w:t xml:space="preserve"> «Інформація про приватизацію державного майна підприємства, установи, організації»</w:t>
      </w:r>
      <w:r w:rsidRPr="009D45C6">
        <w:rPr>
          <w:sz w:val="20"/>
          <w:szCs w:val="20"/>
        </w:rPr>
        <w:t>)</w:t>
      </w:r>
    </w:p>
    <w:p w:rsidR="002B3DF4" w:rsidRPr="00242020" w:rsidRDefault="002B3DF4" w:rsidP="002B3DF4">
      <w:pPr>
        <w:ind w:left="6" w:firstLine="18"/>
        <w:jc w:val="center"/>
        <w:rPr>
          <w:rFonts w:ascii="UkrainianSchoolBook" w:hAnsi="UkrainianSchoolBook"/>
          <w:sz w:val="6"/>
          <w:szCs w:val="6"/>
          <w:highlight w:val="red"/>
        </w:rPr>
      </w:pPr>
    </w:p>
    <w:tbl>
      <w:tblPr>
        <w:tblStyle w:val="11"/>
        <w:tblW w:w="15069" w:type="dxa"/>
        <w:tblInd w:w="132" w:type="dxa"/>
        <w:tblLayout w:type="fixed"/>
        <w:tblLook w:val="04A0"/>
      </w:tblPr>
      <w:tblGrid>
        <w:gridCol w:w="452"/>
        <w:gridCol w:w="2525"/>
        <w:gridCol w:w="897"/>
        <w:gridCol w:w="766"/>
        <w:gridCol w:w="816"/>
        <w:gridCol w:w="656"/>
        <w:gridCol w:w="656"/>
        <w:gridCol w:w="656"/>
        <w:gridCol w:w="925"/>
        <w:gridCol w:w="516"/>
        <w:gridCol w:w="565"/>
        <w:gridCol w:w="436"/>
        <w:gridCol w:w="363"/>
        <w:gridCol w:w="434"/>
        <w:gridCol w:w="897"/>
        <w:gridCol w:w="766"/>
        <w:gridCol w:w="775"/>
        <w:gridCol w:w="656"/>
        <w:gridCol w:w="656"/>
        <w:gridCol w:w="656"/>
      </w:tblGrid>
      <w:tr w:rsidR="002B3DF4" w:rsidRPr="00242020" w:rsidTr="00EF2524">
        <w:trPr>
          <w:cnfStyle w:val="100000000000"/>
          <w:trHeight w:val="80"/>
        </w:trPr>
        <w:tc>
          <w:tcPr>
            <w:cnfStyle w:val="001000000000"/>
            <w:tcW w:w="452" w:type="dxa"/>
            <w:vMerge w:val="restart"/>
            <w:shd w:val="clear" w:color="auto" w:fill="D0CECE" w:themeFill="background2" w:themeFillShade="E6"/>
            <w:vAlign w:val="center"/>
            <w:hideMark/>
          </w:tcPr>
          <w:p w:rsidR="002B3DF4" w:rsidRPr="00242020" w:rsidRDefault="002B3DF4" w:rsidP="00EF2524">
            <w:pPr>
              <w:ind w:left="-62" w:right="-80" w:firstLine="0"/>
              <w:jc w:val="center"/>
              <w:rPr>
                <w:sz w:val="22"/>
              </w:rPr>
            </w:pPr>
            <w:r w:rsidRPr="00242020">
              <w:rPr>
                <w:b w:val="0"/>
                <w:sz w:val="22"/>
              </w:rPr>
              <w:t>№</w:t>
            </w:r>
          </w:p>
          <w:p w:rsidR="002B3DF4" w:rsidRPr="00242020" w:rsidRDefault="002B3DF4" w:rsidP="00EF2524">
            <w:pPr>
              <w:ind w:left="-62" w:right="-80" w:firstLine="0"/>
              <w:jc w:val="center"/>
              <w:rPr>
                <w:b w:val="0"/>
                <w:sz w:val="22"/>
              </w:rPr>
            </w:pPr>
            <w:r w:rsidRPr="00242020">
              <w:rPr>
                <w:b w:val="0"/>
                <w:sz w:val="22"/>
              </w:rPr>
              <w:t>з/п</w:t>
            </w:r>
          </w:p>
        </w:tc>
        <w:tc>
          <w:tcPr>
            <w:tcW w:w="2525" w:type="dxa"/>
            <w:vMerge w:val="restart"/>
            <w:shd w:val="clear" w:color="auto" w:fill="D0CECE" w:themeFill="background2" w:themeFillShade="E6"/>
            <w:vAlign w:val="center"/>
            <w:hideMark/>
          </w:tcPr>
          <w:p w:rsidR="002B3DF4" w:rsidRPr="00242020" w:rsidRDefault="002B3DF4" w:rsidP="002B3DF4">
            <w:pPr>
              <w:ind w:firstLine="0"/>
              <w:jc w:val="center"/>
              <w:cnfStyle w:val="100000000000"/>
              <w:rPr>
                <w:b w:val="0"/>
                <w:sz w:val="22"/>
              </w:rPr>
            </w:pPr>
            <w:r w:rsidRPr="00242020">
              <w:rPr>
                <w:b w:val="0"/>
                <w:sz w:val="22"/>
              </w:rPr>
              <w:t>Адміністративно-територіальна одиниця</w:t>
            </w:r>
          </w:p>
        </w:tc>
        <w:tc>
          <w:tcPr>
            <w:tcW w:w="4447" w:type="dxa"/>
            <w:gridSpan w:val="6"/>
            <w:tcBorders>
              <w:bottom w:val="single" w:sz="8" w:space="0" w:color="000000" w:themeColor="text1"/>
            </w:tcBorders>
            <w:shd w:val="clear" w:color="auto" w:fill="D0CECE" w:themeFill="background2" w:themeFillShade="E6"/>
            <w:noWrap/>
            <w:hideMark/>
          </w:tcPr>
          <w:p w:rsidR="002B3DF4" w:rsidRPr="00242020" w:rsidRDefault="002B3DF4" w:rsidP="002B3DF4">
            <w:pPr>
              <w:ind w:firstLine="0"/>
              <w:jc w:val="center"/>
              <w:cnfStyle w:val="100000000000"/>
              <w:rPr>
                <w:b w:val="0"/>
                <w:sz w:val="22"/>
              </w:rPr>
            </w:pPr>
            <w:r w:rsidRPr="00242020">
              <w:rPr>
                <w:b w:val="0"/>
                <w:sz w:val="22"/>
              </w:rPr>
              <w:t>1992 - 2015 рр.</w:t>
            </w:r>
          </w:p>
          <w:p w:rsidR="002B3DF4" w:rsidRPr="00242020" w:rsidRDefault="002B3DF4" w:rsidP="002B3DF4">
            <w:pPr>
              <w:ind w:firstLine="0"/>
              <w:jc w:val="center"/>
              <w:cnfStyle w:val="100000000000"/>
              <w:rPr>
                <w:b w:val="0"/>
                <w:sz w:val="22"/>
              </w:rPr>
            </w:pPr>
            <w:r w:rsidRPr="00242020">
              <w:rPr>
                <w:b w:val="0"/>
                <w:sz w:val="22"/>
              </w:rPr>
              <w:t xml:space="preserve">з урахуванням </w:t>
            </w:r>
            <w:proofErr w:type="spellStart"/>
            <w:r w:rsidRPr="00242020">
              <w:rPr>
                <w:b w:val="0"/>
                <w:sz w:val="22"/>
              </w:rPr>
              <w:t>дообліку</w:t>
            </w:r>
            <w:proofErr w:type="spellEnd"/>
            <w:r w:rsidRPr="00242020">
              <w:rPr>
                <w:b w:val="0"/>
                <w:sz w:val="22"/>
              </w:rPr>
              <w:t xml:space="preserve"> та вилучення</w:t>
            </w:r>
          </w:p>
        </w:tc>
        <w:tc>
          <w:tcPr>
            <w:tcW w:w="3239" w:type="dxa"/>
            <w:gridSpan w:val="6"/>
            <w:tcBorders>
              <w:bottom w:val="single" w:sz="8" w:space="0" w:color="000000" w:themeColor="text1"/>
            </w:tcBorders>
            <w:shd w:val="clear" w:color="auto" w:fill="D0CECE" w:themeFill="background2" w:themeFillShade="E6"/>
            <w:noWrap/>
            <w:vAlign w:val="center"/>
            <w:hideMark/>
          </w:tcPr>
          <w:p w:rsidR="002B3DF4" w:rsidRPr="00242020" w:rsidRDefault="002B3DF4" w:rsidP="00EF2524">
            <w:pPr>
              <w:ind w:firstLine="0"/>
              <w:jc w:val="center"/>
              <w:cnfStyle w:val="100000000000"/>
              <w:rPr>
                <w:b w:val="0"/>
                <w:bCs w:val="0"/>
                <w:iCs/>
                <w:sz w:val="22"/>
              </w:rPr>
            </w:pPr>
            <w:r w:rsidRPr="00242020">
              <w:rPr>
                <w:b w:val="0"/>
                <w:bCs w:val="0"/>
                <w:iCs/>
                <w:sz w:val="22"/>
              </w:rPr>
              <w:t>За 12 місяців 2016 року</w:t>
            </w:r>
          </w:p>
        </w:tc>
        <w:tc>
          <w:tcPr>
            <w:tcW w:w="4406" w:type="dxa"/>
            <w:gridSpan w:val="6"/>
            <w:tcBorders>
              <w:bottom w:val="single" w:sz="8" w:space="0" w:color="000000" w:themeColor="text1"/>
            </w:tcBorders>
            <w:shd w:val="clear" w:color="auto" w:fill="D0CECE" w:themeFill="background2" w:themeFillShade="E6"/>
            <w:noWrap/>
            <w:hideMark/>
          </w:tcPr>
          <w:p w:rsidR="002B3DF4" w:rsidRPr="00242020" w:rsidRDefault="002B3DF4" w:rsidP="002B3DF4">
            <w:pPr>
              <w:ind w:firstLine="0"/>
              <w:jc w:val="center"/>
              <w:cnfStyle w:val="100000000000"/>
              <w:rPr>
                <w:b w:val="0"/>
                <w:sz w:val="22"/>
              </w:rPr>
            </w:pPr>
            <w:r w:rsidRPr="00242020">
              <w:rPr>
                <w:b w:val="0"/>
                <w:sz w:val="22"/>
              </w:rPr>
              <w:t>1992 - 2016 рр.</w:t>
            </w:r>
          </w:p>
          <w:p w:rsidR="002B3DF4" w:rsidRPr="00242020" w:rsidRDefault="002B3DF4" w:rsidP="002B3DF4">
            <w:pPr>
              <w:ind w:firstLine="0"/>
              <w:jc w:val="center"/>
              <w:cnfStyle w:val="100000000000"/>
              <w:rPr>
                <w:b w:val="0"/>
                <w:sz w:val="22"/>
              </w:rPr>
            </w:pPr>
            <w:r w:rsidRPr="00242020">
              <w:rPr>
                <w:b w:val="0"/>
                <w:sz w:val="22"/>
              </w:rPr>
              <w:t xml:space="preserve">з урахуванням </w:t>
            </w:r>
            <w:proofErr w:type="spellStart"/>
            <w:r w:rsidRPr="00242020">
              <w:rPr>
                <w:b w:val="0"/>
                <w:sz w:val="22"/>
              </w:rPr>
              <w:t>дообліку</w:t>
            </w:r>
            <w:proofErr w:type="spellEnd"/>
            <w:r w:rsidRPr="00242020">
              <w:rPr>
                <w:b w:val="0"/>
                <w:sz w:val="22"/>
              </w:rPr>
              <w:t xml:space="preserve"> та вилучення</w:t>
            </w:r>
          </w:p>
        </w:tc>
      </w:tr>
      <w:tr w:rsidR="002B3DF4" w:rsidRPr="00242020" w:rsidTr="00EF2524">
        <w:trPr>
          <w:cnfStyle w:val="000000100000"/>
          <w:trHeight w:val="114"/>
        </w:trPr>
        <w:tc>
          <w:tcPr>
            <w:cnfStyle w:val="001000000000"/>
            <w:tcW w:w="452" w:type="dxa"/>
            <w:vMerge/>
            <w:shd w:val="clear" w:color="auto" w:fill="D0CECE" w:themeFill="background2" w:themeFillShade="E6"/>
            <w:vAlign w:val="center"/>
            <w:hideMark/>
          </w:tcPr>
          <w:p w:rsidR="002B3DF4" w:rsidRPr="00242020" w:rsidRDefault="002B3DF4" w:rsidP="002B3DF4">
            <w:pPr>
              <w:widowControl/>
              <w:ind w:firstLine="0"/>
              <w:rPr>
                <w:rFonts w:eastAsia="Times New Roman" w:cs="Times New Roman"/>
                <w:sz w:val="22"/>
                <w:lang w:eastAsia="ru-RU"/>
              </w:rPr>
            </w:pPr>
          </w:p>
        </w:tc>
        <w:tc>
          <w:tcPr>
            <w:tcW w:w="2525" w:type="dxa"/>
            <w:vMerge/>
            <w:shd w:val="clear" w:color="auto" w:fill="D0CECE" w:themeFill="background2" w:themeFillShade="E6"/>
            <w:vAlign w:val="center"/>
            <w:hideMark/>
          </w:tcPr>
          <w:p w:rsidR="002B3DF4" w:rsidRPr="00242020" w:rsidRDefault="002B3DF4" w:rsidP="002B3DF4">
            <w:pPr>
              <w:widowControl/>
              <w:ind w:firstLine="0"/>
              <w:cnfStyle w:val="000000100000"/>
              <w:rPr>
                <w:rFonts w:eastAsia="Times New Roman" w:cs="Times New Roman"/>
                <w:b/>
                <w:bCs/>
                <w:sz w:val="22"/>
                <w:lang w:eastAsia="ru-RU"/>
              </w:rPr>
            </w:pPr>
          </w:p>
        </w:tc>
        <w:tc>
          <w:tcPr>
            <w:tcW w:w="897" w:type="dxa"/>
            <w:vMerge w:val="restart"/>
            <w:shd w:val="clear" w:color="auto" w:fill="D0CECE" w:themeFill="background2" w:themeFillShade="E6"/>
            <w:noWrap/>
            <w:vAlign w:val="center"/>
            <w:hideMark/>
          </w:tcPr>
          <w:p w:rsidR="002B3DF4" w:rsidRPr="00242020" w:rsidRDefault="002B3DF4" w:rsidP="002B3DF4">
            <w:pPr>
              <w:ind w:firstLine="0"/>
              <w:jc w:val="center"/>
              <w:cnfStyle w:val="000000100000"/>
              <w:rPr>
                <w:b/>
                <w:sz w:val="22"/>
              </w:rPr>
            </w:pPr>
            <w:r w:rsidRPr="00242020">
              <w:rPr>
                <w:b/>
                <w:sz w:val="22"/>
              </w:rPr>
              <w:t>Всього</w:t>
            </w:r>
          </w:p>
        </w:tc>
        <w:tc>
          <w:tcPr>
            <w:tcW w:w="3550" w:type="dxa"/>
            <w:gridSpan w:val="5"/>
            <w:shd w:val="clear" w:color="auto" w:fill="FFFFFF" w:themeFill="background1"/>
            <w:noWrap/>
            <w:hideMark/>
          </w:tcPr>
          <w:p w:rsidR="002B3DF4" w:rsidRPr="00242020" w:rsidRDefault="002B3DF4" w:rsidP="002B3DF4">
            <w:pPr>
              <w:ind w:firstLine="0"/>
              <w:jc w:val="center"/>
              <w:cnfStyle w:val="000000100000"/>
              <w:rPr>
                <w:b/>
                <w:sz w:val="22"/>
              </w:rPr>
            </w:pPr>
            <w:r w:rsidRPr="00242020">
              <w:rPr>
                <w:b/>
                <w:sz w:val="22"/>
              </w:rPr>
              <w:t>у тому числі</w:t>
            </w:r>
          </w:p>
        </w:tc>
        <w:tc>
          <w:tcPr>
            <w:tcW w:w="925" w:type="dxa"/>
            <w:vMerge w:val="restart"/>
            <w:shd w:val="clear" w:color="auto" w:fill="D0CECE" w:themeFill="background2" w:themeFillShade="E6"/>
            <w:noWrap/>
            <w:vAlign w:val="center"/>
            <w:hideMark/>
          </w:tcPr>
          <w:p w:rsidR="002B3DF4" w:rsidRPr="00242020" w:rsidRDefault="002B3DF4" w:rsidP="002B3DF4">
            <w:pPr>
              <w:ind w:firstLine="0"/>
              <w:jc w:val="center"/>
              <w:cnfStyle w:val="000000100000"/>
              <w:rPr>
                <w:b/>
                <w:iCs/>
                <w:sz w:val="22"/>
              </w:rPr>
            </w:pPr>
            <w:r w:rsidRPr="00242020">
              <w:rPr>
                <w:b/>
                <w:bCs/>
                <w:iCs/>
                <w:sz w:val="22"/>
              </w:rPr>
              <w:t>Всього</w:t>
            </w:r>
          </w:p>
        </w:tc>
        <w:tc>
          <w:tcPr>
            <w:tcW w:w="2314" w:type="dxa"/>
            <w:gridSpan w:val="5"/>
            <w:shd w:val="clear" w:color="auto" w:fill="FFFFFF" w:themeFill="background1"/>
            <w:noWrap/>
            <w:hideMark/>
          </w:tcPr>
          <w:p w:rsidR="002B3DF4" w:rsidRPr="00242020" w:rsidRDefault="002B3DF4" w:rsidP="002B3DF4">
            <w:pPr>
              <w:ind w:firstLine="0"/>
              <w:jc w:val="center"/>
              <w:cnfStyle w:val="000000100000"/>
              <w:rPr>
                <w:b/>
                <w:bCs/>
                <w:iCs/>
                <w:sz w:val="22"/>
              </w:rPr>
            </w:pPr>
            <w:r w:rsidRPr="00242020">
              <w:rPr>
                <w:b/>
                <w:bCs/>
                <w:iCs/>
                <w:sz w:val="22"/>
              </w:rPr>
              <w:t>у тому числі</w:t>
            </w:r>
          </w:p>
        </w:tc>
        <w:tc>
          <w:tcPr>
            <w:tcW w:w="897" w:type="dxa"/>
            <w:vMerge w:val="restart"/>
            <w:shd w:val="clear" w:color="auto" w:fill="D0CECE" w:themeFill="background2" w:themeFillShade="E6"/>
            <w:noWrap/>
            <w:vAlign w:val="center"/>
            <w:hideMark/>
          </w:tcPr>
          <w:p w:rsidR="002B3DF4" w:rsidRPr="00242020" w:rsidRDefault="002B3DF4" w:rsidP="002B3DF4">
            <w:pPr>
              <w:ind w:firstLine="0"/>
              <w:jc w:val="center"/>
              <w:cnfStyle w:val="000000100000"/>
              <w:rPr>
                <w:b/>
                <w:bCs/>
                <w:sz w:val="22"/>
              </w:rPr>
            </w:pPr>
            <w:r w:rsidRPr="00242020">
              <w:rPr>
                <w:b/>
                <w:sz w:val="22"/>
              </w:rPr>
              <w:t>Всього</w:t>
            </w:r>
          </w:p>
        </w:tc>
        <w:tc>
          <w:tcPr>
            <w:tcW w:w="3509" w:type="dxa"/>
            <w:gridSpan w:val="5"/>
            <w:shd w:val="clear" w:color="auto" w:fill="FFFFFF" w:themeFill="background1"/>
            <w:noWrap/>
            <w:hideMark/>
          </w:tcPr>
          <w:p w:rsidR="002B3DF4" w:rsidRPr="00242020" w:rsidRDefault="002B3DF4" w:rsidP="002B3DF4">
            <w:pPr>
              <w:ind w:firstLine="0"/>
              <w:jc w:val="center"/>
              <w:cnfStyle w:val="000000100000"/>
              <w:rPr>
                <w:b/>
                <w:sz w:val="22"/>
              </w:rPr>
            </w:pPr>
            <w:r w:rsidRPr="00242020">
              <w:rPr>
                <w:b/>
                <w:sz w:val="22"/>
              </w:rPr>
              <w:t>у тому числі</w:t>
            </w:r>
          </w:p>
        </w:tc>
      </w:tr>
      <w:tr w:rsidR="004F12E3" w:rsidRPr="00242020" w:rsidTr="00EF2524">
        <w:trPr>
          <w:cnfStyle w:val="000000010000"/>
          <w:trHeight w:val="35"/>
        </w:trPr>
        <w:tc>
          <w:tcPr>
            <w:cnfStyle w:val="001000000000"/>
            <w:tcW w:w="452" w:type="dxa"/>
            <w:vMerge/>
            <w:shd w:val="clear" w:color="auto" w:fill="D0CECE" w:themeFill="background2" w:themeFillShade="E6"/>
            <w:vAlign w:val="center"/>
            <w:hideMark/>
          </w:tcPr>
          <w:p w:rsidR="002B3DF4" w:rsidRPr="00242020" w:rsidRDefault="002B3DF4" w:rsidP="002B3DF4">
            <w:pPr>
              <w:widowControl/>
              <w:ind w:firstLine="0"/>
              <w:rPr>
                <w:rFonts w:eastAsia="Times New Roman" w:cs="Times New Roman"/>
                <w:sz w:val="22"/>
                <w:lang w:eastAsia="ru-RU"/>
              </w:rPr>
            </w:pPr>
          </w:p>
        </w:tc>
        <w:tc>
          <w:tcPr>
            <w:tcW w:w="2525" w:type="dxa"/>
            <w:vMerge/>
            <w:shd w:val="clear" w:color="auto" w:fill="D0CECE" w:themeFill="background2" w:themeFillShade="E6"/>
            <w:vAlign w:val="center"/>
            <w:hideMark/>
          </w:tcPr>
          <w:p w:rsidR="002B3DF4" w:rsidRPr="00242020" w:rsidRDefault="002B3DF4" w:rsidP="002B3DF4">
            <w:pPr>
              <w:widowControl/>
              <w:ind w:firstLine="0"/>
              <w:cnfStyle w:val="000000010000"/>
              <w:rPr>
                <w:rFonts w:eastAsia="Times New Roman" w:cs="Times New Roman"/>
                <w:b/>
                <w:bCs/>
                <w:sz w:val="22"/>
                <w:lang w:eastAsia="ru-RU"/>
              </w:rPr>
            </w:pPr>
          </w:p>
        </w:tc>
        <w:tc>
          <w:tcPr>
            <w:tcW w:w="897" w:type="dxa"/>
            <w:vMerge/>
            <w:shd w:val="clear" w:color="auto" w:fill="D0CECE" w:themeFill="background2" w:themeFillShade="E6"/>
            <w:vAlign w:val="center"/>
            <w:hideMark/>
          </w:tcPr>
          <w:p w:rsidR="002B3DF4" w:rsidRPr="00242020" w:rsidRDefault="002B3DF4" w:rsidP="002B3DF4">
            <w:pPr>
              <w:widowControl/>
              <w:ind w:firstLine="0"/>
              <w:cnfStyle w:val="000000010000"/>
              <w:rPr>
                <w:rFonts w:eastAsia="Times New Roman" w:cs="Times New Roman"/>
                <w:b/>
                <w:bCs/>
                <w:sz w:val="22"/>
                <w:lang w:eastAsia="ru-RU"/>
              </w:rPr>
            </w:pPr>
          </w:p>
        </w:tc>
        <w:tc>
          <w:tcPr>
            <w:tcW w:w="766" w:type="dxa"/>
            <w:shd w:val="clear" w:color="auto" w:fill="D0CECE" w:themeFill="background2" w:themeFillShade="E6"/>
            <w:noWrap/>
            <w:hideMark/>
          </w:tcPr>
          <w:p w:rsidR="002B3DF4" w:rsidRPr="00242020" w:rsidRDefault="002B3DF4" w:rsidP="002B3DF4">
            <w:pPr>
              <w:ind w:firstLine="0"/>
              <w:jc w:val="center"/>
              <w:cnfStyle w:val="000000010000"/>
              <w:rPr>
                <w:b/>
                <w:sz w:val="22"/>
              </w:rPr>
            </w:pPr>
            <w:r w:rsidRPr="00242020">
              <w:rPr>
                <w:b/>
                <w:sz w:val="22"/>
              </w:rPr>
              <w:t>А</w:t>
            </w:r>
          </w:p>
        </w:tc>
        <w:tc>
          <w:tcPr>
            <w:tcW w:w="816" w:type="dxa"/>
            <w:shd w:val="clear" w:color="auto" w:fill="D0CECE" w:themeFill="background2" w:themeFillShade="E6"/>
            <w:noWrap/>
            <w:hideMark/>
          </w:tcPr>
          <w:p w:rsidR="002B3DF4" w:rsidRPr="00242020" w:rsidRDefault="002B3DF4" w:rsidP="002B3DF4">
            <w:pPr>
              <w:ind w:left="-48" w:right="-66" w:firstLine="0"/>
              <w:jc w:val="center"/>
              <w:cnfStyle w:val="000000010000"/>
              <w:rPr>
                <w:b/>
                <w:sz w:val="22"/>
              </w:rPr>
            </w:pPr>
            <w:r w:rsidRPr="00242020">
              <w:rPr>
                <w:b/>
                <w:sz w:val="22"/>
              </w:rPr>
              <w:t>Б, В, Г</w:t>
            </w:r>
          </w:p>
        </w:tc>
        <w:tc>
          <w:tcPr>
            <w:tcW w:w="656" w:type="dxa"/>
            <w:shd w:val="clear" w:color="auto" w:fill="D0CECE" w:themeFill="background2" w:themeFillShade="E6"/>
            <w:noWrap/>
            <w:hideMark/>
          </w:tcPr>
          <w:p w:rsidR="002B3DF4" w:rsidRPr="00242020" w:rsidRDefault="002B3DF4" w:rsidP="002B3DF4">
            <w:pPr>
              <w:ind w:firstLine="0"/>
              <w:jc w:val="center"/>
              <w:cnfStyle w:val="000000010000"/>
              <w:rPr>
                <w:b/>
                <w:sz w:val="22"/>
              </w:rPr>
            </w:pPr>
            <w:r w:rsidRPr="00242020">
              <w:rPr>
                <w:b/>
                <w:sz w:val="22"/>
              </w:rPr>
              <w:t>Д</w:t>
            </w:r>
          </w:p>
        </w:tc>
        <w:tc>
          <w:tcPr>
            <w:tcW w:w="656" w:type="dxa"/>
            <w:shd w:val="clear" w:color="auto" w:fill="D0CECE" w:themeFill="background2" w:themeFillShade="E6"/>
            <w:noWrap/>
            <w:hideMark/>
          </w:tcPr>
          <w:p w:rsidR="002B3DF4" w:rsidRPr="00242020" w:rsidRDefault="002B3DF4" w:rsidP="002B3DF4">
            <w:pPr>
              <w:ind w:firstLine="0"/>
              <w:jc w:val="center"/>
              <w:cnfStyle w:val="000000010000"/>
              <w:rPr>
                <w:b/>
                <w:sz w:val="22"/>
              </w:rPr>
            </w:pPr>
            <w:r w:rsidRPr="00242020">
              <w:rPr>
                <w:b/>
                <w:sz w:val="22"/>
              </w:rPr>
              <w:t>Е</w:t>
            </w:r>
          </w:p>
        </w:tc>
        <w:tc>
          <w:tcPr>
            <w:tcW w:w="656" w:type="dxa"/>
            <w:shd w:val="clear" w:color="auto" w:fill="D0CECE" w:themeFill="background2" w:themeFillShade="E6"/>
            <w:noWrap/>
            <w:hideMark/>
          </w:tcPr>
          <w:p w:rsidR="002B3DF4" w:rsidRPr="00242020" w:rsidRDefault="002B3DF4" w:rsidP="002B3DF4">
            <w:pPr>
              <w:ind w:firstLine="0"/>
              <w:jc w:val="center"/>
              <w:cnfStyle w:val="000000010000"/>
              <w:rPr>
                <w:b/>
                <w:sz w:val="22"/>
              </w:rPr>
            </w:pPr>
            <w:r w:rsidRPr="00242020">
              <w:rPr>
                <w:b/>
                <w:sz w:val="22"/>
              </w:rPr>
              <w:t>Ж</w:t>
            </w:r>
          </w:p>
        </w:tc>
        <w:tc>
          <w:tcPr>
            <w:tcW w:w="925" w:type="dxa"/>
            <w:vMerge/>
            <w:shd w:val="clear" w:color="auto" w:fill="D0CECE" w:themeFill="background2" w:themeFillShade="E6"/>
            <w:vAlign w:val="center"/>
            <w:hideMark/>
          </w:tcPr>
          <w:p w:rsidR="002B3DF4" w:rsidRPr="00242020" w:rsidRDefault="002B3DF4" w:rsidP="002B3DF4">
            <w:pPr>
              <w:widowControl/>
              <w:ind w:firstLine="0"/>
              <w:cnfStyle w:val="000000010000"/>
              <w:rPr>
                <w:rFonts w:eastAsia="Times New Roman" w:cs="Times New Roman"/>
                <w:b/>
                <w:bCs/>
                <w:iCs/>
                <w:sz w:val="22"/>
                <w:lang w:eastAsia="ru-RU"/>
              </w:rPr>
            </w:pPr>
          </w:p>
        </w:tc>
        <w:tc>
          <w:tcPr>
            <w:tcW w:w="516" w:type="dxa"/>
            <w:shd w:val="clear" w:color="auto" w:fill="D0CECE" w:themeFill="background2" w:themeFillShade="E6"/>
            <w:noWrap/>
            <w:hideMark/>
          </w:tcPr>
          <w:p w:rsidR="002B3DF4" w:rsidRPr="00242020" w:rsidRDefault="002B3DF4" w:rsidP="002B3DF4">
            <w:pPr>
              <w:ind w:firstLine="0"/>
              <w:jc w:val="center"/>
              <w:cnfStyle w:val="000000010000"/>
              <w:rPr>
                <w:b/>
                <w:iCs/>
                <w:sz w:val="22"/>
              </w:rPr>
            </w:pPr>
            <w:r w:rsidRPr="00242020">
              <w:rPr>
                <w:b/>
                <w:bCs/>
                <w:iCs/>
                <w:sz w:val="22"/>
              </w:rPr>
              <w:t>А</w:t>
            </w:r>
          </w:p>
        </w:tc>
        <w:tc>
          <w:tcPr>
            <w:tcW w:w="565" w:type="dxa"/>
            <w:shd w:val="clear" w:color="auto" w:fill="D0CECE" w:themeFill="background2" w:themeFillShade="E6"/>
            <w:noWrap/>
            <w:hideMark/>
          </w:tcPr>
          <w:p w:rsidR="002B3DF4" w:rsidRPr="00242020" w:rsidRDefault="002B3DF4" w:rsidP="002B3DF4">
            <w:pPr>
              <w:ind w:left="-41" w:right="-62" w:firstLine="0"/>
              <w:jc w:val="center"/>
              <w:cnfStyle w:val="000000010000"/>
              <w:rPr>
                <w:b/>
                <w:bCs/>
                <w:iCs/>
                <w:sz w:val="22"/>
              </w:rPr>
            </w:pPr>
            <w:r w:rsidRPr="00242020">
              <w:rPr>
                <w:b/>
                <w:bCs/>
                <w:iCs/>
                <w:sz w:val="22"/>
              </w:rPr>
              <w:t>В, Г</w:t>
            </w:r>
          </w:p>
        </w:tc>
        <w:tc>
          <w:tcPr>
            <w:tcW w:w="436" w:type="dxa"/>
            <w:shd w:val="clear" w:color="auto" w:fill="D0CECE" w:themeFill="background2" w:themeFillShade="E6"/>
            <w:noWrap/>
            <w:hideMark/>
          </w:tcPr>
          <w:p w:rsidR="002B3DF4" w:rsidRPr="00242020" w:rsidRDefault="002B3DF4" w:rsidP="002B3DF4">
            <w:pPr>
              <w:ind w:firstLine="0"/>
              <w:jc w:val="center"/>
              <w:cnfStyle w:val="000000010000"/>
              <w:rPr>
                <w:b/>
                <w:bCs/>
                <w:iCs/>
                <w:sz w:val="22"/>
              </w:rPr>
            </w:pPr>
            <w:r w:rsidRPr="00242020">
              <w:rPr>
                <w:b/>
                <w:bCs/>
                <w:iCs/>
                <w:sz w:val="22"/>
              </w:rPr>
              <w:t>Д</w:t>
            </w:r>
          </w:p>
        </w:tc>
        <w:tc>
          <w:tcPr>
            <w:tcW w:w="363" w:type="dxa"/>
            <w:shd w:val="clear" w:color="auto" w:fill="D0CECE" w:themeFill="background2" w:themeFillShade="E6"/>
            <w:noWrap/>
            <w:hideMark/>
          </w:tcPr>
          <w:p w:rsidR="002B3DF4" w:rsidRPr="00242020" w:rsidRDefault="002B3DF4" w:rsidP="002B3DF4">
            <w:pPr>
              <w:ind w:firstLine="0"/>
              <w:jc w:val="center"/>
              <w:cnfStyle w:val="000000010000"/>
              <w:rPr>
                <w:b/>
                <w:bCs/>
                <w:iCs/>
                <w:sz w:val="22"/>
              </w:rPr>
            </w:pPr>
            <w:r w:rsidRPr="00242020">
              <w:rPr>
                <w:b/>
                <w:bCs/>
                <w:iCs/>
                <w:sz w:val="22"/>
              </w:rPr>
              <w:t>Е</w:t>
            </w:r>
          </w:p>
        </w:tc>
        <w:tc>
          <w:tcPr>
            <w:tcW w:w="434" w:type="dxa"/>
            <w:shd w:val="clear" w:color="auto" w:fill="D0CECE" w:themeFill="background2" w:themeFillShade="E6"/>
            <w:noWrap/>
            <w:hideMark/>
          </w:tcPr>
          <w:p w:rsidR="002B3DF4" w:rsidRPr="00242020" w:rsidRDefault="002B3DF4" w:rsidP="002B3DF4">
            <w:pPr>
              <w:ind w:firstLine="0"/>
              <w:jc w:val="center"/>
              <w:cnfStyle w:val="000000010000"/>
              <w:rPr>
                <w:b/>
                <w:bCs/>
                <w:iCs/>
                <w:sz w:val="22"/>
              </w:rPr>
            </w:pPr>
            <w:r w:rsidRPr="00242020">
              <w:rPr>
                <w:b/>
                <w:bCs/>
                <w:iCs/>
                <w:sz w:val="22"/>
              </w:rPr>
              <w:t>Ж</w:t>
            </w:r>
          </w:p>
        </w:tc>
        <w:tc>
          <w:tcPr>
            <w:tcW w:w="897" w:type="dxa"/>
            <w:vMerge/>
            <w:shd w:val="clear" w:color="auto" w:fill="D0CECE" w:themeFill="background2" w:themeFillShade="E6"/>
            <w:vAlign w:val="center"/>
            <w:hideMark/>
          </w:tcPr>
          <w:p w:rsidR="002B3DF4" w:rsidRPr="00242020" w:rsidRDefault="002B3DF4" w:rsidP="002B3DF4">
            <w:pPr>
              <w:widowControl/>
              <w:ind w:firstLine="0"/>
              <w:cnfStyle w:val="000000010000"/>
              <w:rPr>
                <w:rFonts w:eastAsia="Times New Roman" w:cs="Times New Roman"/>
                <w:b/>
                <w:bCs/>
                <w:sz w:val="22"/>
                <w:lang w:eastAsia="ru-RU"/>
              </w:rPr>
            </w:pPr>
          </w:p>
        </w:tc>
        <w:tc>
          <w:tcPr>
            <w:tcW w:w="766" w:type="dxa"/>
            <w:shd w:val="clear" w:color="auto" w:fill="D0CECE" w:themeFill="background2" w:themeFillShade="E6"/>
            <w:noWrap/>
            <w:hideMark/>
          </w:tcPr>
          <w:p w:rsidR="002B3DF4" w:rsidRPr="00242020" w:rsidRDefault="002B3DF4" w:rsidP="002B3DF4">
            <w:pPr>
              <w:ind w:firstLine="0"/>
              <w:jc w:val="center"/>
              <w:cnfStyle w:val="000000010000"/>
              <w:rPr>
                <w:b/>
                <w:bCs/>
                <w:sz w:val="22"/>
              </w:rPr>
            </w:pPr>
            <w:r w:rsidRPr="00242020">
              <w:rPr>
                <w:b/>
                <w:sz w:val="22"/>
              </w:rPr>
              <w:t>А</w:t>
            </w:r>
          </w:p>
        </w:tc>
        <w:tc>
          <w:tcPr>
            <w:tcW w:w="775" w:type="dxa"/>
            <w:shd w:val="clear" w:color="auto" w:fill="D0CECE" w:themeFill="background2" w:themeFillShade="E6"/>
            <w:noWrap/>
            <w:hideMark/>
          </w:tcPr>
          <w:p w:rsidR="002B3DF4" w:rsidRPr="00242020" w:rsidRDefault="002B3DF4" w:rsidP="002B3DF4">
            <w:pPr>
              <w:ind w:left="-51" w:right="-67" w:firstLine="0"/>
              <w:jc w:val="center"/>
              <w:cnfStyle w:val="000000010000"/>
              <w:rPr>
                <w:b/>
                <w:sz w:val="22"/>
              </w:rPr>
            </w:pPr>
            <w:r w:rsidRPr="00242020">
              <w:rPr>
                <w:b/>
                <w:sz w:val="22"/>
              </w:rPr>
              <w:t>Б, В, Г</w:t>
            </w:r>
          </w:p>
        </w:tc>
        <w:tc>
          <w:tcPr>
            <w:tcW w:w="656" w:type="dxa"/>
            <w:shd w:val="clear" w:color="auto" w:fill="D0CECE" w:themeFill="background2" w:themeFillShade="E6"/>
            <w:noWrap/>
            <w:hideMark/>
          </w:tcPr>
          <w:p w:rsidR="002B3DF4" w:rsidRPr="00242020" w:rsidRDefault="002B3DF4" w:rsidP="002B3DF4">
            <w:pPr>
              <w:ind w:firstLine="0"/>
              <w:jc w:val="center"/>
              <w:cnfStyle w:val="000000010000"/>
              <w:rPr>
                <w:b/>
                <w:sz w:val="22"/>
              </w:rPr>
            </w:pPr>
            <w:r w:rsidRPr="00242020">
              <w:rPr>
                <w:b/>
                <w:sz w:val="22"/>
              </w:rPr>
              <w:t>Д</w:t>
            </w:r>
          </w:p>
        </w:tc>
        <w:tc>
          <w:tcPr>
            <w:tcW w:w="656" w:type="dxa"/>
            <w:shd w:val="clear" w:color="auto" w:fill="D0CECE" w:themeFill="background2" w:themeFillShade="E6"/>
            <w:noWrap/>
            <w:hideMark/>
          </w:tcPr>
          <w:p w:rsidR="002B3DF4" w:rsidRPr="00242020" w:rsidRDefault="002B3DF4" w:rsidP="002B3DF4">
            <w:pPr>
              <w:ind w:firstLine="0"/>
              <w:jc w:val="center"/>
              <w:cnfStyle w:val="000000010000"/>
              <w:rPr>
                <w:b/>
                <w:sz w:val="22"/>
              </w:rPr>
            </w:pPr>
            <w:r w:rsidRPr="00242020">
              <w:rPr>
                <w:b/>
                <w:sz w:val="22"/>
              </w:rPr>
              <w:t>Е</w:t>
            </w:r>
          </w:p>
        </w:tc>
        <w:tc>
          <w:tcPr>
            <w:tcW w:w="656" w:type="dxa"/>
            <w:shd w:val="clear" w:color="auto" w:fill="D0CECE" w:themeFill="background2" w:themeFillShade="E6"/>
            <w:noWrap/>
            <w:hideMark/>
          </w:tcPr>
          <w:p w:rsidR="002B3DF4" w:rsidRPr="00242020" w:rsidRDefault="002B3DF4" w:rsidP="002B3DF4">
            <w:pPr>
              <w:ind w:firstLine="0"/>
              <w:jc w:val="center"/>
              <w:cnfStyle w:val="000000010000"/>
              <w:rPr>
                <w:b/>
                <w:sz w:val="22"/>
              </w:rPr>
            </w:pPr>
            <w:r w:rsidRPr="00242020">
              <w:rPr>
                <w:b/>
                <w:sz w:val="22"/>
              </w:rPr>
              <w:t>Ж</w:t>
            </w:r>
          </w:p>
        </w:tc>
      </w:tr>
      <w:tr w:rsidR="004F12E3" w:rsidRPr="00242020" w:rsidTr="00EF2524">
        <w:trPr>
          <w:cnfStyle w:val="000000100000"/>
          <w:trHeight w:hRule="exact" w:val="266"/>
        </w:trPr>
        <w:tc>
          <w:tcPr>
            <w:cnfStyle w:val="001000000000"/>
            <w:tcW w:w="452" w:type="dxa"/>
            <w:shd w:val="clear" w:color="auto" w:fill="FFFFFF" w:themeFill="background1"/>
            <w:vAlign w:val="center"/>
            <w:hideMark/>
          </w:tcPr>
          <w:p w:rsidR="002B3DF4" w:rsidRPr="00242020" w:rsidRDefault="002B3DF4" w:rsidP="00EF2524">
            <w:pPr>
              <w:ind w:left="-62" w:right="-49" w:firstLine="0"/>
              <w:jc w:val="center"/>
              <w:rPr>
                <w:b w:val="0"/>
                <w:sz w:val="20"/>
                <w:szCs w:val="20"/>
              </w:rPr>
            </w:pPr>
            <w:r w:rsidRPr="00242020">
              <w:rPr>
                <w:sz w:val="20"/>
                <w:szCs w:val="20"/>
              </w:rPr>
              <w:t>1</w:t>
            </w:r>
          </w:p>
        </w:tc>
        <w:tc>
          <w:tcPr>
            <w:tcW w:w="2525" w:type="dxa"/>
            <w:shd w:val="clear" w:color="auto" w:fill="FFFFFF" w:themeFill="background1"/>
            <w:vAlign w:val="center"/>
            <w:hideMark/>
          </w:tcPr>
          <w:p w:rsidR="002B3DF4" w:rsidRPr="00242020" w:rsidRDefault="002B3DF4" w:rsidP="002B3DF4">
            <w:pPr>
              <w:ind w:firstLine="0"/>
              <w:cnfStyle w:val="000000100000"/>
              <w:rPr>
                <w:sz w:val="20"/>
                <w:szCs w:val="20"/>
              </w:rPr>
            </w:pPr>
            <w:r w:rsidRPr="00242020">
              <w:rPr>
                <w:sz w:val="20"/>
                <w:szCs w:val="20"/>
              </w:rPr>
              <w:t>Вінницька область</w:t>
            </w:r>
          </w:p>
        </w:tc>
        <w:tc>
          <w:tcPr>
            <w:tcW w:w="897" w:type="dxa"/>
            <w:shd w:val="clear" w:color="auto" w:fill="FFFFFF" w:themeFill="background1"/>
            <w:vAlign w:val="center"/>
            <w:hideMark/>
          </w:tcPr>
          <w:p w:rsidR="002B3DF4" w:rsidRPr="00242020" w:rsidRDefault="002B3DF4" w:rsidP="002B3DF4">
            <w:pPr>
              <w:ind w:firstLine="0"/>
              <w:jc w:val="center"/>
              <w:cnfStyle w:val="000000100000"/>
              <w:rPr>
                <w:sz w:val="20"/>
                <w:szCs w:val="20"/>
              </w:rPr>
            </w:pPr>
            <w:r w:rsidRPr="00242020">
              <w:rPr>
                <w:sz w:val="20"/>
                <w:szCs w:val="20"/>
              </w:rPr>
              <w:t>1312</w:t>
            </w:r>
          </w:p>
        </w:tc>
        <w:tc>
          <w:tcPr>
            <w:tcW w:w="76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613</w:t>
            </w:r>
          </w:p>
        </w:tc>
        <w:tc>
          <w:tcPr>
            <w:tcW w:w="81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378</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200</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48</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73</w:t>
            </w:r>
          </w:p>
        </w:tc>
        <w:tc>
          <w:tcPr>
            <w:tcW w:w="925" w:type="dxa"/>
            <w:shd w:val="clear" w:color="auto" w:fill="FFFFFF" w:themeFill="background1"/>
            <w:noWrap/>
            <w:vAlign w:val="center"/>
            <w:hideMark/>
          </w:tcPr>
          <w:p w:rsidR="002B3DF4" w:rsidRPr="00242020" w:rsidRDefault="002B3DF4" w:rsidP="002B3DF4">
            <w:pPr>
              <w:ind w:firstLine="0"/>
              <w:jc w:val="center"/>
              <w:cnfStyle w:val="000000100000"/>
              <w:rPr>
                <w:b/>
                <w:i/>
                <w:iCs/>
                <w:sz w:val="20"/>
                <w:szCs w:val="20"/>
              </w:rPr>
            </w:pPr>
            <w:r w:rsidRPr="00242020">
              <w:rPr>
                <w:b/>
                <w:bCs/>
                <w:i/>
                <w:iCs/>
                <w:sz w:val="20"/>
                <w:szCs w:val="20"/>
              </w:rPr>
              <w:t>17</w:t>
            </w:r>
          </w:p>
        </w:tc>
        <w:tc>
          <w:tcPr>
            <w:tcW w:w="516" w:type="dxa"/>
            <w:shd w:val="clear" w:color="auto" w:fill="FFFFFF" w:themeFill="background1"/>
            <w:noWrap/>
            <w:vAlign w:val="center"/>
            <w:hideMark/>
          </w:tcPr>
          <w:p w:rsidR="002B3DF4" w:rsidRPr="00242020" w:rsidRDefault="002B3DF4" w:rsidP="002B3DF4">
            <w:pPr>
              <w:ind w:firstLine="0"/>
              <w:jc w:val="center"/>
              <w:cnfStyle w:val="000000100000"/>
              <w:rPr>
                <w:b/>
                <w:i/>
                <w:iCs/>
                <w:sz w:val="20"/>
                <w:szCs w:val="20"/>
              </w:rPr>
            </w:pPr>
            <w:r w:rsidRPr="00242020">
              <w:rPr>
                <w:b/>
                <w:bCs/>
                <w:i/>
                <w:iCs/>
                <w:sz w:val="20"/>
                <w:szCs w:val="20"/>
              </w:rPr>
              <w:t>14</w:t>
            </w:r>
          </w:p>
        </w:tc>
        <w:tc>
          <w:tcPr>
            <w:tcW w:w="565" w:type="dxa"/>
            <w:shd w:val="clear" w:color="auto" w:fill="FFFFFF" w:themeFill="background1"/>
            <w:vAlign w:val="center"/>
          </w:tcPr>
          <w:p w:rsidR="002B3DF4" w:rsidRPr="00242020" w:rsidRDefault="002B3DF4" w:rsidP="002B3DF4">
            <w:pPr>
              <w:ind w:firstLine="0"/>
              <w:jc w:val="center"/>
              <w:cnfStyle w:val="000000100000"/>
              <w:rPr>
                <w:b/>
                <w:i/>
                <w:iCs/>
                <w:sz w:val="20"/>
                <w:szCs w:val="20"/>
              </w:rPr>
            </w:pPr>
          </w:p>
        </w:tc>
        <w:tc>
          <w:tcPr>
            <w:tcW w:w="436" w:type="dxa"/>
            <w:shd w:val="clear" w:color="auto" w:fill="FFFFFF" w:themeFill="background1"/>
            <w:noWrap/>
            <w:vAlign w:val="center"/>
            <w:hideMark/>
          </w:tcPr>
          <w:p w:rsidR="002B3DF4" w:rsidRPr="00242020" w:rsidRDefault="002B3DF4" w:rsidP="002B3DF4">
            <w:pPr>
              <w:ind w:firstLine="0"/>
              <w:jc w:val="center"/>
              <w:cnfStyle w:val="000000100000"/>
              <w:rPr>
                <w:b/>
                <w:i/>
                <w:iCs/>
                <w:sz w:val="20"/>
                <w:szCs w:val="20"/>
              </w:rPr>
            </w:pPr>
            <w:r w:rsidRPr="00242020">
              <w:rPr>
                <w:b/>
                <w:bCs/>
                <w:i/>
                <w:iCs/>
                <w:sz w:val="20"/>
                <w:szCs w:val="20"/>
              </w:rPr>
              <w:t>2</w:t>
            </w:r>
          </w:p>
        </w:tc>
        <w:tc>
          <w:tcPr>
            <w:tcW w:w="363" w:type="dxa"/>
            <w:shd w:val="clear" w:color="auto" w:fill="FFFFFF" w:themeFill="background1"/>
            <w:vAlign w:val="center"/>
          </w:tcPr>
          <w:p w:rsidR="002B3DF4" w:rsidRPr="00242020" w:rsidRDefault="002B3DF4" w:rsidP="002B3DF4">
            <w:pPr>
              <w:ind w:firstLine="0"/>
              <w:jc w:val="center"/>
              <w:cnfStyle w:val="000000100000"/>
              <w:rPr>
                <w:b/>
                <w:i/>
                <w:iCs/>
                <w:sz w:val="20"/>
                <w:szCs w:val="20"/>
              </w:rPr>
            </w:pPr>
          </w:p>
        </w:tc>
        <w:tc>
          <w:tcPr>
            <w:tcW w:w="434" w:type="dxa"/>
            <w:shd w:val="clear" w:color="auto" w:fill="FFFFFF" w:themeFill="background1"/>
            <w:vAlign w:val="center"/>
            <w:hideMark/>
          </w:tcPr>
          <w:p w:rsidR="002B3DF4" w:rsidRPr="00242020" w:rsidRDefault="002B3DF4" w:rsidP="002B3DF4">
            <w:pPr>
              <w:ind w:firstLine="0"/>
              <w:jc w:val="center"/>
              <w:cnfStyle w:val="000000100000"/>
              <w:rPr>
                <w:b/>
                <w:i/>
                <w:iCs/>
                <w:sz w:val="20"/>
                <w:szCs w:val="20"/>
              </w:rPr>
            </w:pPr>
            <w:r w:rsidRPr="00242020">
              <w:rPr>
                <w:b/>
                <w:bCs/>
                <w:i/>
                <w:iCs/>
                <w:sz w:val="20"/>
                <w:szCs w:val="20"/>
              </w:rPr>
              <w:t>1</w:t>
            </w:r>
          </w:p>
        </w:tc>
        <w:tc>
          <w:tcPr>
            <w:tcW w:w="897" w:type="dxa"/>
            <w:shd w:val="clear" w:color="auto" w:fill="FFFFFF" w:themeFill="background1"/>
            <w:vAlign w:val="center"/>
            <w:hideMark/>
          </w:tcPr>
          <w:p w:rsidR="002B3DF4" w:rsidRPr="00242020" w:rsidRDefault="002B3DF4" w:rsidP="002B3DF4">
            <w:pPr>
              <w:ind w:firstLine="0"/>
              <w:jc w:val="center"/>
              <w:cnfStyle w:val="000000100000"/>
              <w:rPr>
                <w:sz w:val="20"/>
                <w:szCs w:val="20"/>
              </w:rPr>
            </w:pPr>
            <w:r w:rsidRPr="00242020">
              <w:rPr>
                <w:sz w:val="20"/>
                <w:szCs w:val="20"/>
              </w:rPr>
              <w:t>1329</w:t>
            </w:r>
          </w:p>
        </w:tc>
        <w:tc>
          <w:tcPr>
            <w:tcW w:w="76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627</w:t>
            </w:r>
          </w:p>
        </w:tc>
        <w:tc>
          <w:tcPr>
            <w:tcW w:w="775"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378</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202</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48</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74</w:t>
            </w:r>
          </w:p>
        </w:tc>
      </w:tr>
      <w:tr w:rsidR="004F12E3" w:rsidRPr="00242020" w:rsidTr="00EF2524">
        <w:trPr>
          <w:cnfStyle w:val="000000010000"/>
          <w:trHeight w:hRule="exact" w:val="266"/>
        </w:trPr>
        <w:tc>
          <w:tcPr>
            <w:cnfStyle w:val="001000000000"/>
            <w:tcW w:w="452" w:type="dxa"/>
            <w:shd w:val="clear" w:color="auto" w:fill="D0CECE" w:themeFill="background2" w:themeFillShade="E6"/>
            <w:vAlign w:val="center"/>
            <w:hideMark/>
          </w:tcPr>
          <w:p w:rsidR="002B3DF4" w:rsidRPr="00242020" w:rsidRDefault="002B3DF4" w:rsidP="00EF2524">
            <w:pPr>
              <w:ind w:left="-62" w:right="-49" w:firstLine="0"/>
              <w:jc w:val="center"/>
              <w:rPr>
                <w:sz w:val="20"/>
                <w:szCs w:val="20"/>
              </w:rPr>
            </w:pPr>
            <w:r w:rsidRPr="00242020">
              <w:rPr>
                <w:sz w:val="20"/>
                <w:szCs w:val="20"/>
              </w:rPr>
              <w:t>2</w:t>
            </w:r>
          </w:p>
        </w:tc>
        <w:tc>
          <w:tcPr>
            <w:tcW w:w="2525" w:type="dxa"/>
            <w:shd w:val="clear" w:color="auto" w:fill="D0CECE" w:themeFill="background2" w:themeFillShade="E6"/>
            <w:vAlign w:val="center"/>
            <w:hideMark/>
          </w:tcPr>
          <w:p w:rsidR="002B3DF4" w:rsidRPr="00242020" w:rsidRDefault="002B3DF4" w:rsidP="002B3DF4">
            <w:pPr>
              <w:ind w:firstLine="0"/>
              <w:cnfStyle w:val="000000010000"/>
              <w:rPr>
                <w:sz w:val="20"/>
                <w:szCs w:val="20"/>
              </w:rPr>
            </w:pPr>
            <w:r w:rsidRPr="00242020">
              <w:rPr>
                <w:sz w:val="20"/>
                <w:szCs w:val="20"/>
              </w:rPr>
              <w:t>Волинська область</w:t>
            </w:r>
          </w:p>
        </w:tc>
        <w:tc>
          <w:tcPr>
            <w:tcW w:w="897" w:type="dxa"/>
            <w:shd w:val="clear" w:color="auto" w:fill="D0CECE" w:themeFill="background2" w:themeFillShade="E6"/>
            <w:vAlign w:val="center"/>
            <w:hideMark/>
          </w:tcPr>
          <w:p w:rsidR="002B3DF4" w:rsidRPr="00242020" w:rsidRDefault="002B3DF4" w:rsidP="002B3DF4">
            <w:pPr>
              <w:ind w:firstLine="0"/>
              <w:jc w:val="center"/>
              <w:cnfStyle w:val="000000010000"/>
              <w:rPr>
                <w:sz w:val="20"/>
                <w:szCs w:val="20"/>
              </w:rPr>
            </w:pPr>
            <w:r w:rsidRPr="00242020">
              <w:rPr>
                <w:sz w:val="20"/>
                <w:szCs w:val="20"/>
              </w:rPr>
              <w:t>705</w:t>
            </w:r>
          </w:p>
        </w:tc>
        <w:tc>
          <w:tcPr>
            <w:tcW w:w="76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397</w:t>
            </w:r>
          </w:p>
        </w:tc>
        <w:tc>
          <w:tcPr>
            <w:tcW w:w="81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151</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109</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28</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20</w:t>
            </w:r>
          </w:p>
        </w:tc>
        <w:tc>
          <w:tcPr>
            <w:tcW w:w="925" w:type="dxa"/>
            <w:shd w:val="clear" w:color="auto" w:fill="D0CECE" w:themeFill="background2" w:themeFillShade="E6"/>
            <w:noWrap/>
            <w:vAlign w:val="center"/>
            <w:hideMark/>
          </w:tcPr>
          <w:p w:rsidR="002B3DF4" w:rsidRPr="00242020" w:rsidRDefault="002B3DF4" w:rsidP="002B3DF4">
            <w:pPr>
              <w:ind w:firstLine="0"/>
              <w:jc w:val="center"/>
              <w:cnfStyle w:val="000000010000"/>
              <w:rPr>
                <w:b/>
                <w:i/>
                <w:iCs/>
                <w:sz w:val="20"/>
                <w:szCs w:val="20"/>
              </w:rPr>
            </w:pPr>
            <w:r w:rsidRPr="00242020">
              <w:rPr>
                <w:b/>
                <w:bCs/>
                <w:i/>
                <w:iCs/>
                <w:sz w:val="20"/>
                <w:szCs w:val="20"/>
              </w:rPr>
              <w:t>5</w:t>
            </w:r>
          </w:p>
        </w:tc>
        <w:tc>
          <w:tcPr>
            <w:tcW w:w="516" w:type="dxa"/>
            <w:shd w:val="clear" w:color="auto" w:fill="D0CECE" w:themeFill="background2" w:themeFillShade="E6"/>
            <w:noWrap/>
            <w:vAlign w:val="center"/>
            <w:hideMark/>
          </w:tcPr>
          <w:p w:rsidR="002B3DF4" w:rsidRPr="00242020" w:rsidRDefault="002B3DF4" w:rsidP="002B3DF4">
            <w:pPr>
              <w:ind w:firstLine="0"/>
              <w:jc w:val="center"/>
              <w:cnfStyle w:val="000000010000"/>
              <w:rPr>
                <w:b/>
                <w:i/>
                <w:iCs/>
                <w:sz w:val="20"/>
                <w:szCs w:val="20"/>
              </w:rPr>
            </w:pPr>
            <w:r w:rsidRPr="00242020">
              <w:rPr>
                <w:b/>
                <w:bCs/>
                <w:i/>
                <w:iCs/>
                <w:sz w:val="20"/>
                <w:szCs w:val="20"/>
              </w:rPr>
              <w:t>3</w:t>
            </w:r>
          </w:p>
        </w:tc>
        <w:tc>
          <w:tcPr>
            <w:tcW w:w="565" w:type="dxa"/>
            <w:shd w:val="clear" w:color="auto" w:fill="D0CECE" w:themeFill="background2" w:themeFillShade="E6"/>
            <w:vAlign w:val="center"/>
          </w:tcPr>
          <w:p w:rsidR="002B3DF4" w:rsidRPr="00242020" w:rsidRDefault="002B3DF4" w:rsidP="002B3DF4">
            <w:pPr>
              <w:ind w:firstLine="0"/>
              <w:jc w:val="center"/>
              <w:cnfStyle w:val="000000010000"/>
              <w:rPr>
                <w:b/>
                <w:i/>
                <w:iCs/>
                <w:sz w:val="20"/>
                <w:szCs w:val="20"/>
              </w:rPr>
            </w:pPr>
          </w:p>
        </w:tc>
        <w:tc>
          <w:tcPr>
            <w:tcW w:w="436" w:type="dxa"/>
            <w:shd w:val="clear" w:color="auto" w:fill="D0CECE" w:themeFill="background2" w:themeFillShade="E6"/>
            <w:noWrap/>
            <w:vAlign w:val="center"/>
            <w:hideMark/>
          </w:tcPr>
          <w:p w:rsidR="002B3DF4" w:rsidRPr="00242020" w:rsidRDefault="002B3DF4" w:rsidP="002B3DF4">
            <w:pPr>
              <w:ind w:firstLine="0"/>
              <w:jc w:val="center"/>
              <w:cnfStyle w:val="000000010000"/>
              <w:rPr>
                <w:b/>
                <w:i/>
                <w:iCs/>
                <w:sz w:val="20"/>
                <w:szCs w:val="20"/>
              </w:rPr>
            </w:pPr>
            <w:r w:rsidRPr="00242020">
              <w:rPr>
                <w:b/>
                <w:bCs/>
                <w:i/>
                <w:iCs/>
                <w:sz w:val="20"/>
                <w:szCs w:val="20"/>
              </w:rPr>
              <w:t>1</w:t>
            </w:r>
          </w:p>
        </w:tc>
        <w:tc>
          <w:tcPr>
            <w:tcW w:w="363" w:type="dxa"/>
            <w:shd w:val="clear" w:color="auto" w:fill="D0CECE" w:themeFill="background2" w:themeFillShade="E6"/>
            <w:vAlign w:val="center"/>
            <w:hideMark/>
          </w:tcPr>
          <w:p w:rsidR="002B3DF4" w:rsidRPr="00242020" w:rsidRDefault="002B3DF4" w:rsidP="002B3DF4">
            <w:pPr>
              <w:ind w:firstLine="0"/>
              <w:jc w:val="center"/>
              <w:cnfStyle w:val="000000010000"/>
              <w:rPr>
                <w:b/>
                <w:i/>
                <w:iCs/>
                <w:sz w:val="20"/>
                <w:szCs w:val="20"/>
              </w:rPr>
            </w:pPr>
            <w:r w:rsidRPr="00242020">
              <w:rPr>
                <w:b/>
                <w:bCs/>
                <w:i/>
                <w:iCs/>
                <w:sz w:val="20"/>
                <w:szCs w:val="20"/>
              </w:rPr>
              <w:t>1</w:t>
            </w:r>
          </w:p>
        </w:tc>
        <w:tc>
          <w:tcPr>
            <w:tcW w:w="434" w:type="dxa"/>
            <w:shd w:val="clear" w:color="auto" w:fill="D0CECE" w:themeFill="background2" w:themeFillShade="E6"/>
            <w:vAlign w:val="center"/>
          </w:tcPr>
          <w:p w:rsidR="002B3DF4" w:rsidRPr="00242020" w:rsidRDefault="002B3DF4" w:rsidP="002B3DF4">
            <w:pPr>
              <w:ind w:firstLine="0"/>
              <w:jc w:val="center"/>
              <w:cnfStyle w:val="000000010000"/>
              <w:rPr>
                <w:b/>
                <w:i/>
                <w:iCs/>
                <w:sz w:val="20"/>
                <w:szCs w:val="20"/>
              </w:rPr>
            </w:pPr>
          </w:p>
        </w:tc>
        <w:tc>
          <w:tcPr>
            <w:tcW w:w="897" w:type="dxa"/>
            <w:shd w:val="clear" w:color="auto" w:fill="D0CECE" w:themeFill="background2" w:themeFillShade="E6"/>
            <w:vAlign w:val="center"/>
            <w:hideMark/>
          </w:tcPr>
          <w:p w:rsidR="002B3DF4" w:rsidRPr="00242020" w:rsidRDefault="002B3DF4" w:rsidP="002B3DF4">
            <w:pPr>
              <w:ind w:firstLine="0"/>
              <w:jc w:val="center"/>
              <w:cnfStyle w:val="000000010000"/>
              <w:rPr>
                <w:sz w:val="20"/>
                <w:szCs w:val="20"/>
              </w:rPr>
            </w:pPr>
            <w:r w:rsidRPr="00242020">
              <w:rPr>
                <w:sz w:val="20"/>
                <w:szCs w:val="20"/>
              </w:rPr>
              <w:t>710</w:t>
            </w:r>
          </w:p>
        </w:tc>
        <w:tc>
          <w:tcPr>
            <w:tcW w:w="76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400</w:t>
            </w:r>
          </w:p>
        </w:tc>
        <w:tc>
          <w:tcPr>
            <w:tcW w:w="775"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151</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110</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29</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20</w:t>
            </w:r>
          </w:p>
        </w:tc>
      </w:tr>
      <w:tr w:rsidR="004F12E3" w:rsidRPr="00242020" w:rsidTr="00EF2524">
        <w:trPr>
          <w:cnfStyle w:val="000000100000"/>
          <w:trHeight w:hRule="exact" w:val="266"/>
        </w:trPr>
        <w:tc>
          <w:tcPr>
            <w:cnfStyle w:val="001000000000"/>
            <w:tcW w:w="452" w:type="dxa"/>
            <w:shd w:val="clear" w:color="auto" w:fill="FFFFFF" w:themeFill="background1"/>
            <w:vAlign w:val="center"/>
            <w:hideMark/>
          </w:tcPr>
          <w:p w:rsidR="002B3DF4" w:rsidRPr="00242020" w:rsidRDefault="002B3DF4" w:rsidP="00EF2524">
            <w:pPr>
              <w:ind w:left="-62" w:right="-49" w:firstLine="0"/>
              <w:jc w:val="center"/>
              <w:rPr>
                <w:sz w:val="20"/>
                <w:szCs w:val="20"/>
              </w:rPr>
            </w:pPr>
            <w:r w:rsidRPr="00242020">
              <w:rPr>
                <w:sz w:val="20"/>
                <w:szCs w:val="20"/>
              </w:rPr>
              <w:t>3</w:t>
            </w:r>
          </w:p>
        </w:tc>
        <w:tc>
          <w:tcPr>
            <w:tcW w:w="2525" w:type="dxa"/>
            <w:shd w:val="clear" w:color="auto" w:fill="FFFFFF" w:themeFill="background1"/>
            <w:vAlign w:val="center"/>
            <w:hideMark/>
          </w:tcPr>
          <w:p w:rsidR="002B3DF4" w:rsidRPr="00242020" w:rsidRDefault="002B3DF4" w:rsidP="002B3DF4">
            <w:pPr>
              <w:ind w:firstLine="0"/>
              <w:cnfStyle w:val="000000100000"/>
              <w:rPr>
                <w:sz w:val="20"/>
                <w:szCs w:val="20"/>
              </w:rPr>
            </w:pPr>
            <w:r w:rsidRPr="00242020">
              <w:rPr>
                <w:sz w:val="20"/>
                <w:szCs w:val="20"/>
              </w:rPr>
              <w:t>Дніпропетровська область</w:t>
            </w:r>
          </w:p>
        </w:tc>
        <w:tc>
          <w:tcPr>
            <w:tcW w:w="897" w:type="dxa"/>
            <w:shd w:val="clear" w:color="auto" w:fill="FFFFFF" w:themeFill="background1"/>
            <w:vAlign w:val="center"/>
            <w:hideMark/>
          </w:tcPr>
          <w:p w:rsidR="002B3DF4" w:rsidRPr="00242020" w:rsidRDefault="002B3DF4" w:rsidP="002B3DF4">
            <w:pPr>
              <w:ind w:firstLine="0"/>
              <w:jc w:val="center"/>
              <w:cnfStyle w:val="000000100000"/>
              <w:rPr>
                <w:sz w:val="20"/>
                <w:szCs w:val="20"/>
              </w:rPr>
            </w:pPr>
            <w:r w:rsidRPr="00242020">
              <w:rPr>
                <w:sz w:val="20"/>
                <w:szCs w:val="20"/>
              </w:rPr>
              <w:t>1857</w:t>
            </w:r>
          </w:p>
        </w:tc>
        <w:tc>
          <w:tcPr>
            <w:tcW w:w="76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1038</w:t>
            </w:r>
          </w:p>
        </w:tc>
        <w:tc>
          <w:tcPr>
            <w:tcW w:w="81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577</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143</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49</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50</w:t>
            </w:r>
          </w:p>
        </w:tc>
        <w:tc>
          <w:tcPr>
            <w:tcW w:w="925" w:type="dxa"/>
            <w:shd w:val="clear" w:color="auto" w:fill="FFFFFF" w:themeFill="background1"/>
            <w:noWrap/>
            <w:vAlign w:val="center"/>
            <w:hideMark/>
          </w:tcPr>
          <w:p w:rsidR="002B3DF4" w:rsidRPr="00242020" w:rsidRDefault="002B3DF4" w:rsidP="002B3DF4">
            <w:pPr>
              <w:ind w:firstLine="0"/>
              <w:jc w:val="center"/>
              <w:cnfStyle w:val="000000100000"/>
              <w:rPr>
                <w:b/>
                <w:i/>
                <w:iCs/>
                <w:sz w:val="20"/>
                <w:szCs w:val="20"/>
              </w:rPr>
            </w:pPr>
            <w:r w:rsidRPr="00242020">
              <w:rPr>
                <w:b/>
                <w:bCs/>
                <w:i/>
                <w:iCs/>
                <w:sz w:val="20"/>
                <w:szCs w:val="20"/>
              </w:rPr>
              <w:t>8</w:t>
            </w:r>
          </w:p>
        </w:tc>
        <w:tc>
          <w:tcPr>
            <w:tcW w:w="516" w:type="dxa"/>
            <w:shd w:val="clear" w:color="auto" w:fill="FFFFFF" w:themeFill="background1"/>
            <w:noWrap/>
            <w:vAlign w:val="center"/>
            <w:hideMark/>
          </w:tcPr>
          <w:p w:rsidR="002B3DF4" w:rsidRPr="00242020" w:rsidRDefault="002B3DF4" w:rsidP="002B3DF4">
            <w:pPr>
              <w:ind w:firstLine="0"/>
              <w:jc w:val="center"/>
              <w:cnfStyle w:val="000000100000"/>
              <w:rPr>
                <w:b/>
                <w:i/>
                <w:iCs/>
                <w:sz w:val="20"/>
                <w:szCs w:val="20"/>
              </w:rPr>
            </w:pPr>
            <w:r w:rsidRPr="00242020">
              <w:rPr>
                <w:b/>
                <w:bCs/>
                <w:i/>
                <w:iCs/>
                <w:sz w:val="20"/>
                <w:szCs w:val="20"/>
              </w:rPr>
              <w:t>7</w:t>
            </w:r>
          </w:p>
        </w:tc>
        <w:tc>
          <w:tcPr>
            <w:tcW w:w="565" w:type="dxa"/>
            <w:shd w:val="clear" w:color="auto" w:fill="FFFFFF" w:themeFill="background1"/>
            <w:vAlign w:val="center"/>
          </w:tcPr>
          <w:p w:rsidR="002B3DF4" w:rsidRPr="00242020" w:rsidRDefault="002B3DF4" w:rsidP="002B3DF4">
            <w:pPr>
              <w:ind w:firstLine="0"/>
              <w:jc w:val="center"/>
              <w:cnfStyle w:val="000000100000"/>
              <w:rPr>
                <w:b/>
                <w:i/>
                <w:iCs/>
                <w:sz w:val="20"/>
                <w:szCs w:val="20"/>
              </w:rPr>
            </w:pPr>
          </w:p>
        </w:tc>
        <w:tc>
          <w:tcPr>
            <w:tcW w:w="436" w:type="dxa"/>
            <w:shd w:val="clear" w:color="auto" w:fill="FFFFFF" w:themeFill="background1"/>
            <w:noWrap/>
            <w:vAlign w:val="center"/>
          </w:tcPr>
          <w:p w:rsidR="002B3DF4" w:rsidRPr="00242020" w:rsidRDefault="002B3DF4" w:rsidP="002B3DF4">
            <w:pPr>
              <w:ind w:firstLine="0"/>
              <w:jc w:val="center"/>
              <w:cnfStyle w:val="000000100000"/>
              <w:rPr>
                <w:b/>
                <w:i/>
                <w:iCs/>
                <w:sz w:val="20"/>
                <w:szCs w:val="20"/>
              </w:rPr>
            </w:pPr>
          </w:p>
        </w:tc>
        <w:tc>
          <w:tcPr>
            <w:tcW w:w="363" w:type="dxa"/>
            <w:shd w:val="clear" w:color="auto" w:fill="FFFFFF" w:themeFill="background1"/>
            <w:vAlign w:val="center"/>
          </w:tcPr>
          <w:p w:rsidR="002B3DF4" w:rsidRPr="00242020" w:rsidRDefault="002B3DF4" w:rsidP="002B3DF4">
            <w:pPr>
              <w:ind w:firstLine="0"/>
              <w:jc w:val="center"/>
              <w:cnfStyle w:val="000000100000"/>
              <w:rPr>
                <w:b/>
                <w:i/>
                <w:iCs/>
                <w:sz w:val="20"/>
                <w:szCs w:val="20"/>
              </w:rPr>
            </w:pPr>
          </w:p>
        </w:tc>
        <w:tc>
          <w:tcPr>
            <w:tcW w:w="434" w:type="dxa"/>
            <w:shd w:val="clear" w:color="auto" w:fill="FFFFFF" w:themeFill="background1"/>
            <w:vAlign w:val="center"/>
            <w:hideMark/>
          </w:tcPr>
          <w:p w:rsidR="002B3DF4" w:rsidRPr="00242020" w:rsidRDefault="002B3DF4" w:rsidP="002B3DF4">
            <w:pPr>
              <w:ind w:firstLine="0"/>
              <w:jc w:val="center"/>
              <w:cnfStyle w:val="000000100000"/>
              <w:rPr>
                <w:b/>
                <w:i/>
                <w:iCs/>
                <w:sz w:val="20"/>
                <w:szCs w:val="20"/>
              </w:rPr>
            </w:pPr>
            <w:r w:rsidRPr="00242020">
              <w:rPr>
                <w:b/>
                <w:bCs/>
                <w:i/>
                <w:iCs/>
                <w:sz w:val="20"/>
                <w:szCs w:val="20"/>
              </w:rPr>
              <w:t>1</w:t>
            </w:r>
          </w:p>
        </w:tc>
        <w:tc>
          <w:tcPr>
            <w:tcW w:w="897" w:type="dxa"/>
            <w:shd w:val="clear" w:color="auto" w:fill="FFFFFF" w:themeFill="background1"/>
            <w:vAlign w:val="center"/>
            <w:hideMark/>
          </w:tcPr>
          <w:p w:rsidR="002B3DF4" w:rsidRPr="00242020" w:rsidRDefault="002B3DF4" w:rsidP="002B3DF4">
            <w:pPr>
              <w:ind w:firstLine="0"/>
              <w:jc w:val="center"/>
              <w:cnfStyle w:val="000000100000"/>
              <w:rPr>
                <w:sz w:val="20"/>
                <w:szCs w:val="20"/>
              </w:rPr>
            </w:pPr>
            <w:r w:rsidRPr="00242020">
              <w:rPr>
                <w:sz w:val="20"/>
                <w:szCs w:val="20"/>
              </w:rPr>
              <w:t>1865</w:t>
            </w:r>
          </w:p>
        </w:tc>
        <w:tc>
          <w:tcPr>
            <w:tcW w:w="76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1045</w:t>
            </w:r>
          </w:p>
        </w:tc>
        <w:tc>
          <w:tcPr>
            <w:tcW w:w="775"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577</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143</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49</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51</w:t>
            </w:r>
          </w:p>
        </w:tc>
      </w:tr>
      <w:tr w:rsidR="004F12E3" w:rsidRPr="00242020" w:rsidTr="00EF2524">
        <w:trPr>
          <w:cnfStyle w:val="000000010000"/>
          <w:trHeight w:hRule="exact" w:val="266"/>
        </w:trPr>
        <w:tc>
          <w:tcPr>
            <w:cnfStyle w:val="001000000000"/>
            <w:tcW w:w="452" w:type="dxa"/>
            <w:shd w:val="clear" w:color="auto" w:fill="D0CECE" w:themeFill="background2" w:themeFillShade="E6"/>
            <w:vAlign w:val="center"/>
            <w:hideMark/>
          </w:tcPr>
          <w:p w:rsidR="002B3DF4" w:rsidRPr="00242020" w:rsidRDefault="002B3DF4" w:rsidP="00EF2524">
            <w:pPr>
              <w:ind w:left="-62" w:right="-49" w:firstLine="0"/>
              <w:jc w:val="center"/>
              <w:rPr>
                <w:sz w:val="20"/>
                <w:szCs w:val="20"/>
              </w:rPr>
            </w:pPr>
            <w:r w:rsidRPr="00242020">
              <w:rPr>
                <w:sz w:val="20"/>
                <w:szCs w:val="20"/>
              </w:rPr>
              <w:t>4</w:t>
            </w:r>
          </w:p>
        </w:tc>
        <w:tc>
          <w:tcPr>
            <w:tcW w:w="2525" w:type="dxa"/>
            <w:shd w:val="clear" w:color="auto" w:fill="D0CECE" w:themeFill="background2" w:themeFillShade="E6"/>
            <w:vAlign w:val="center"/>
            <w:hideMark/>
          </w:tcPr>
          <w:p w:rsidR="002B3DF4" w:rsidRPr="00242020" w:rsidRDefault="002B3DF4" w:rsidP="002B3DF4">
            <w:pPr>
              <w:ind w:firstLine="0"/>
              <w:cnfStyle w:val="000000010000"/>
              <w:rPr>
                <w:sz w:val="20"/>
                <w:szCs w:val="20"/>
              </w:rPr>
            </w:pPr>
            <w:r w:rsidRPr="00242020">
              <w:rPr>
                <w:sz w:val="20"/>
                <w:szCs w:val="20"/>
              </w:rPr>
              <w:t>Донецька область</w:t>
            </w:r>
          </w:p>
        </w:tc>
        <w:tc>
          <w:tcPr>
            <w:tcW w:w="897" w:type="dxa"/>
            <w:shd w:val="clear" w:color="auto" w:fill="D0CECE" w:themeFill="background2" w:themeFillShade="E6"/>
            <w:vAlign w:val="center"/>
            <w:hideMark/>
          </w:tcPr>
          <w:p w:rsidR="002B3DF4" w:rsidRPr="00242020" w:rsidRDefault="002B3DF4" w:rsidP="002B3DF4">
            <w:pPr>
              <w:ind w:firstLine="0"/>
              <w:jc w:val="center"/>
              <w:cnfStyle w:val="000000010000"/>
              <w:rPr>
                <w:sz w:val="20"/>
                <w:szCs w:val="20"/>
              </w:rPr>
            </w:pPr>
            <w:r w:rsidRPr="00242020">
              <w:rPr>
                <w:sz w:val="20"/>
                <w:szCs w:val="20"/>
              </w:rPr>
              <w:t>4177</w:t>
            </w:r>
          </w:p>
        </w:tc>
        <w:tc>
          <w:tcPr>
            <w:tcW w:w="76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2892</w:t>
            </w:r>
          </w:p>
        </w:tc>
        <w:tc>
          <w:tcPr>
            <w:tcW w:w="81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811</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360</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44</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70</w:t>
            </w:r>
          </w:p>
        </w:tc>
        <w:tc>
          <w:tcPr>
            <w:tcW w:w="925" w:type="dxa"/>
            <w:shd w:val="clear" w:color="auto" w:fill="D0CECE" w:themeFill="background2" w:themeFillShade="E6"/>
            <w:noWrap/>
            <w:vAlign w:val="center"/>
            <w:hideMark/>
          </w:tcPr>
          <w:p w:rsidR="002B3DF4" w:rsidRPr="00242020" w:rsidRDefault="002B3DF4" w:rsidP="002B3DF4">
            <w:pPr>
              <w:ind w:firstLine="0"/>
              <w:jc w:val="center"/>
              <w:cnfStyle w:val="000000010000"/>
              <w:rPr>
                <w:b/>
                <w:i/>
                <w:iCs/>
                <w:sz w:val="20"/>
                <w:szCs w:val="20"/>
              </w:rPr>
            </w:pPr>
            <w:r w:rsidRPr="00242020">
              <w:rPr>
                <w:b/>
                <w:bCs/>
                <w:i/>
                <w:iCs/>
                <w:sz w:val="20"/>
                <w:szCs w:val="20"/>
              </w:rPr>
              <w:t>0</w:t>
            </w:r>
          </w:p>
        </w:tc>
        <w:tc>
          <w:tcPr>
            <w:tcW w:w="516" w:type="dxa"/>
            <w:shd w:val="clear" w:color="auto" w:fill="D0CECE" w:themeFill="background2" w:themeFillShade="E6"/>
            <w:noWrap/>
            <w:vAlign w:val="center"/>
          </w:tcPr>
          <w:p w:rsidR="002B3DF4" w:rsidRPr="00242020" w:rsidRDefault="002B3DF4" w:rsidP="002B3DF4">
            <w:pPr>
              <w:ind w:firstLine="0"/>
              <w:jc w:val="center"/>
              <w:cnfStyle w:val="000000010000"/>
              <w:rPr>
                <w:b/>
                <w:i/>
                <w:iCs/>
                <w:sz w:val="20"/>
                <w:szCs w:val="20"/>
              </w:rPr>
            </w:pPr>
          </w:p>
        </w:tc>
        <w:tc>
          <w:tcPr>
            <w:tcW w:w="565" w:type="dxa"/>
            <w:shd w:val="clear" w:color="auto" w:fill="D0CECE" w:themeFill="background2" w:themeFillShade="E6"/>
            <w:vAlign w:val="center"/>
          </w:tcPr>
          <w:p w:rsidR="002B3DF4" w:rsidRPr="00242020" w:rsidRDefault="002B3DF4" w:rsidP="002B3DF4">
            <w:pPr>
              <w:ind w:firstLine="0"/>
              <w:jc w:val="center"/>
              <w:cnfStyle w:val="000000010000"/>
              <w:rPr>
                <w:b/>
                <w:i/>
                <w:iCs/>
                <w:sz w:val="20"/>
                <w:szCs w:val="20"/>
              </w:rPr>
            </w:pPr>
          </w:p>
        </w:tc>
        <w:tc>
          <w:tcPr>
            <w:tcW w:w="436" w:type="dxa"/>
            <w:shd w:val="clear" w:color="auto" w:fill="D0CECE" w:themeFill="background2" w:themeFillShade="E6"/>
            <w:noWrap/>
            <w:vAlign w:val="center"/>
          </w:tcPr>
          <w:p w:rsidR="002B3DF4" w:rsidRPr="00242020" w:rsidRDefault="002B3DF4" w:rsidP="002B3DF4">
            <w:pPr>
              <w:ind w:firstLine="0"/>
              <w:jc w:val="center"/>
              <w:cnfStyle w:val="000000010000"/>
              <w:rPr>
                <w:b/>
                <w:i/>
                <w:iCs/>
                <w:sz w:val="20"/>
                <w:szCs w:val="20"/>
              </w:rPr>
            </w:pPr>
          </w:p>
        </w:tc>
        <w:tc>
          <w:tcPr>
            <w:tcW w:w="363" w:type="dxa"/>
            <w:shd w:val="clear" w:color="auto" w:fill="D0CECE" w:themeFill="background2" w:themeFillShade="E6"/>
            <w:vAlign w:val="center"/>
          </w:tcPr>
          <w:p w:rsidR="002B3DF4" w:rsidRPr="00242020" w:rsidRDefault="002B3DF4" w:rsidP="002B3DF4">
            <w:pPr>
              <w:ind w:firstLine="0"/>
              <w:jc w:val="center"/>
              <w:cnfStyle w:val="000000010000"/>
              <w:rPr>
                <w:b/>
                <w:i/>
                <w:iCs/>
                <w:sz w:val="20"/>
                <w:szCs w:val="20"/>
              </w:rPr>
            </w:pPr>
          </w:p>
        </w:tc>
        <w:tc>
          <w:tcPr>
            <w:tcW w:w="434" w:type="dxa"/>
            <w:shd w:val="clear" w:color="auto" w:fill="D0CECE" w:themeFill="background2" w:themeFillShade="E6"/>
            <w:vAlign w:val="center"/>
          </w:tcPr>
          <w:p w:rsidR="002B3DF4" w:rsidRPr="00242020" w:rsidRDefault="002B3DF4" w:rsidP="002B3DF4">
            <w:pPr>
              <w:ind w:firstLine="0"/>
              <w:jc w:val="center"/>
              <w:cnfStyle w:val="000000010000"/>
              <w:rPr>
                <w:b/>
                <w:i/>
                <w:iCs/>
                <w:sz w:val="20"/>
                <w:szCs w:val="20"/>
              </w:rPr>
            </w:pPr>
          </w:p>
        </w:tc>
        <w:tc>
          <w:tcPr>
            <w:tcW w:w="897" w:type="dxa"/>
            <w:shd w:val="clear" w:color="auto" w:fill="D0CECE" w:themeFill="background2" w:themeFillShade="E6"/>
            <w:vAlign w:val="center"/>
            <w:hideMark/>
          </w:tcPr>
          <w:p w:rsidR="002B3DF4" w:rsidRPr="00242020" w:rsidRDefault="002B3DF4" w:rsidP="002B3DF4">
            <w:pPr>
              <w:ind w:firstLine="0"/>
              <w:jc w:val="center"/>
              <w:cnfStyle w:val="000000010000"/>
              <w:rPr>
                <w:sz w:val="20"/>
                <w:szCs w:val="20"/>
              </w:rPr>
            </w:pPr>
            <w:r w:rsidRPr="00242020">
              <w:rPr>
                <w:sz w:val="20"/>
                <w:szCs w:val="20"/>
              </w:rPr>
              <w:t>4177</w:t>
            </w:r>
          </w:p>
        </w:tc>
        <w:tc>
          <w:tcPr>
            <w:tcW w:w="76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2892</w:t>
            </w:r>
          </w:p>
        </w:tc>
        <w:tc>
          <w:tcPr>
            <w:tcW w:w="775"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811</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360</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44</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70</w:t>
            </w:r>
          </w:p>
        </w:tc>
      </w:tr>
      <w:tr w:rsidR="004F12E3" w:rsidRPr="00242020" w:rsidTr="00EF2524">
        <w:trPr>
          <w:cnfStyle w:val="000000100000"/>
          <w:trHeight w:hRule="exact" w:val="266"/>
        </w:trPr>
        <w:tc>
          <w:tcPr>
            <w:cnfStyle w:val="001000000000"/>
            <w:tcW w:w="452" w:type="dxa"/>
            <w:shd w:val="clear" w:color="auto" w:fill="FFFFFF" w:themeFill="background1"/>
            <w:vAlign w:val="center"/>
            <w:hideMark/>
          </w:tcPr>
          <w:p w:rsidR="002B3DF4" w:rsidRPr="00242020" w:rsidRDefault="002B3DF4" w:rsidP="00EF2524">
            <w:pPr>
              <w:ind w:left="-62" w:right="-49" w:firstLine="0"/>
              <w:jc w:val="center"/>
              <w:rPr>
                <w:sz w:val="20"/>
                <w:szCs w:val="20"/>
              </w:rPr>
            </w:pPr>
            <w:r w:rsidRPr="00242020">
              <w:rPr>
                <w:sz w:val="20"/>
                <w:szCs w:val="20"/>
              </w:rPr>
              <w:t>5</w:t>
            </w:r>
          </w:p>
        </w:tc>
        <w:tc>
          <w:tcPr>
            <w:tcW w:w="2525" w:type="dxa"/>
            <w:shd w:val="clear" w:color="auto" w:fill="FFFFFF" w:themeFill="background1"/>
            <w:vAlign w:val="center"/>
            <w:hideMark/>
          </w:tcPr>
          <w:p w:rsidR="002B3DF4" w:rsidRPr="00242020" w:rsidRDefault="002B3DF4" w:rsidP="002B3DF4">
            <w:pPr>
              <w:ind w:firstLine="0"/>
              <w:cnfStyle w:val="000000100000"/>
              <w:rPr>
                <w:sz w:val="20"/>
                <w:szCs w:val="20"/>
              </w:rPr>
            </w:pPr>
            <w:r w:rsidRPr="00242020">
              <w:rPr>
                <w:sz w:val="20"/>
                <w:szCs w:val="20"/>
              </w:rPr>
              <w:t>Житомирська область</w:t>
            </w:r>
          </w:p>
        </w:tc>
        <w:tc>
          <w:tcPr>
            <w:tcW w:w="897" w:type="dxa"/>
            <w:shd w:val="clear" w:color="auto" w:fill="FFFFFF" w:themeFill="background1"/>
            <w:vAlign w:val="center"/>
            <w:hideMark/>
          </w:tcPr>
          <w:p w:rsidR="002B3DF4" w:rsidRPr="00242020" w:rsidRDefault="002B3DF4" w:rsidP="002B3DF4">
            <w:pPr>
              <w:ind w:firstLine="0"/>
              <w:jc w:val="center"/>
              <w:cnfStyle w:val="000000100000"/>
              <w:rPr>
                <w:sz w:val="20"/>
                <w:szCs w:val="20"/>
              </w:rPr>
            </w:pPr>
            <w:r w:rsidRPr="00242020">
              <w:rPr>
                <w:sz w:val="20"/>
                <w:szCs w:val="20"/>
              </w:rPr>
              <w:t>1258</w:t>
            </w:r>
          </w:p>
        </w:tc>
        <w:tc>
          <w:tcPr>
            <w:tcW w:w="76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232</w:t>
            </w:r>
          </w:p>
        </w:tc>
        <w:tc>
          <w:tcPr>
            <w:tcW w:w="81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296</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666</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9</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55</w:t>
            </w:r>
          </w:p>
        </w:tc>
        <w:tc>
          <w:tcPr>
            <w:tcW w:w="925" w:type="dxa"/>
            <w:shd w:val="clear" w:color="auto" w:fill="FFFFFF" w:themeFill="background1"/>
            <w:noWrap/>
            <w:vAlign w:val="center"/>
            <w:hideMark/>
          </w:tcPr>
          <w:p w:rsidR="002B3DF4" w:rsidRPr="00242020" w:rsidRDefault="002B3DF4" w:rsidP="002B3DF4">
            <w:pPr>
              <w:ind w:firstLine="0"/>
              <w:jc w:val="center"/>
              <w:cnfStyle w:val="000000100000"/>
              <w:rPr>
                <w:b/>
                <w:i/>
                <w:iCs/>
                <w:sz w:val="20"/>
                <w:szCs w:val="20"/>
              </w:rPr>
            </w:pPr>
            <w:r w:rsidRPr="00242020">
              <w:rPr>
                <w:b/>
                <w:bCs/>
                <w:i/>
                <w:iCs/>
                <w:sz w:val="20"/>
                <w:szCs w:val="20"/>
              </w:rPr>
              <w:t>4</w:t>
            </w:r>
          </w:p>
        </w:tc>
        <w:tc>
          <w:tcPr>
            <w:tcW w:w="516" w:type="dxa"/>
            <w:shd w:val="clear" w:color="auto" w:fill="FFFFFF" w:themeFill="background1"/>
            <w:noWrap/>
            <w:vAlign w:val="center"/>
            <w:hideMark/>
          </w:tcPr>
          <w:p w:rsidR="002B3DF4" w:rsidRPr="00242020" w:rsidRDefault="002B3DF4" w:rsidP="002B3DF4">
            <w:pPr>
              <w:ind w:firstLine="0"/>
              <w:jc w:val="center"/>
              <w:cnfStyle w:val="000000100000"/>
              <w:rPr>
                <w:b/>
                <w:i/>
                <w:iCs/>
                <w:sz w:val="20"/>
                <w:szCs w:val="20"/>
              </w:rPr>
            </w:pPr>
            <w:r w:rsidRPr="00242020">
              <w:rPr>
                <w:b/>
                <w:bCs/>
                <w:i/>
                <w:iCs/>
                <w:sz w:val="20"/>
                <w:szCs w:val="20"/>
              </w:rPr>
              <w:t>2</w:t>
            </w:r>
          </w:p>
        </w:tc>
        <w:tc>
          <w:tcPr>
            <w:tcW w:w="565" w:type="dxa"/>
            <w:shd w:val="clear" w:color="auto" w:fill="FFFFFF" w:themeFill="background1"/>
            <w:vAlign w:val="center"/>
          </w:tcPr>
          <w:p w:rsidR="002B3DF4" w:rsidRPr="00242020" w:rsidRDefault="002B3DF4" w:rsidP="002B3DF4">
            <w:pPr>
              <w:ind w:firstLine="0"/>
              <w:jc w:val="center"/>
              <w:cnfStyle w:val="000000100000"/>
              <w:rPr>
                <w:b/>
                <w:i/>
                <w:iCs/>
                <w:sz w:val="20"/>
                <w:szCs w:val="20"/>
              </w:rPr>
            </w:pPr>
          </w:p>
        </w:tc>
        <w:tc>
          <w:tcPr>
            <w:tcW w:w="436" w:type="dxa"/>
            <w:shd w:val="clear" w:color="auto" w:fill="FFFFFF" w:themeFill="background1"/>
            <w:noWrap/>
            <w:vAlign w:val="center"/>
            <w:hideMark/>
          </w:tcPr>
          <w:p w:rsidR="002B3DF4" w:rsidRPr="00242020" w:rsidRDefault="002B3DF4" w:rsidP="002B3DF4">
            <w:pPr>
              <w:ind w:firstLine="0"/>
              <w:jc w:val="center"/>
              <w:cnfStyle w:val="000000100000"/>
              <w:rPr>
                <w:b/>
                <w:i/>
                <w:iCs/>
                <w:sz w:val="20"/>
                <w:szCs w:val="20"/>
              </w:rPr>
            </w:pPr>
            <w:r w:rsidRPr="00242020">
              <w:rPr>
                <w:b/>
                <w:bCs/>
                <w:i/>
                <w:iCs/>
                <w:sz w:val="20"/>
                <w:szCs w:val="20"/>
              </w:rPr>
              <w:t>2</w:t>
            </w:r>
          </w:p>
        </w:tc>
        <w:tc>
          <w:tcPr>
            <w:tcW w:w="363" w:type="dxa"/>
            <w:shd w:val="clear" w:color="auto" w:fill="FFFFFF" w:themeFill="background1"/>
            <w:vAlign w:val="center"/>
          </w:tcPr>
          <w:p w:rsidR="002B3DF4" w:rsidRPr="00242020" w:rsidRDefault="002B3DF4" w:rsidP="002B3DF4">
            <w:pPr>
              <w:ind w:firstLine="0"/>
              <w:jc w:val="center"/>
              <w:cnfStyle w:val="000000100000"/>
              <w:rPr>
                <w:b/>
                <w:i/>
                <w:iCs/>
                <w:sz w:val="20"/>
                <w:szCs w:val="20"/>
              </w:rPr>
            </w:pPr>
          </w:p>
        </w:tc>
        <w:tc>
          <w:tcPr>
            <w:tcW w:w="434" w:type="dxa"/>
            <w:shd w:val="clear" w:color="auto" w:fill="FFFFFF" w:themeFill="background1"/>
            <w:vAlign w:val="center"/>
          </w:tcPr>
          <w:p w:rsidR="002B3DF4" w:rsidRPr="00242020" w:rsidRDefault="002B3DF4" w:rsidP="002B3DF4">
            <w:pPr>
              <w:ind w:firstLine="0"/>
              <w:jc w:val="center"/>
              <w:cnfStyle w:val="000000100000"/>
              <w:rPr>
                <w:b/>
                <w:i/>
                <w:iCs/>
                <w:sz w:val="20"/>
                <w:szCs w:val="20"/>
              </w:rPr>
            </w:pPr>
          </w:p>
        </w:tc>
        <w:tc>
          <w:tcPr>
            <w:tcW w:w="897" w:type="dxa"/>
            <w:shd w:val="clear" w:color="auto" w:fill="FFFFFF" w:themeFill="background1"/>
            <w:vAlign w:val="center"/>
            <w:hideMark/>
          </w:tcPr>
          <w:p w:rsidR="002B3DF4" w:rsidRPr="00242020" w:rsidRDefault="002B3DF4" w:rsidP="002B3DF4">
            <w:pPr>
              <w:ind w:firstLine="0"/>
              <w:jc w:val="center"/>
              <w:cnfStyle w:val="000000100000"/>
              <w:rPr>
                <w:sz w:val="20"/>
                <w:szCs w:val="20"/>
              </w:rPr>
            </w:pPr>
            <w:r w:rsidRPr="00242020">
              <w:rPr>
                <w:sz w:val="20"/>
                <w:szCs w:val="20"/>
              </w:rPr>
              <w:t>1262</w:t>
            </w:r>
          </w:p>
        </w:tc>
        <w:tc>
          <w:tcPr>
            <w:tcW w:w="76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234</w:t>
            </w:r>
          </w:p>
        </w:tc>
        <w:tc>
          <w:tcPr>
            <w:tcW w:w="775"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296</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668</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9</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55</w:t>
            </w:r>
          </w:p>
        </w:tc>
      </w:tr>
      <w:tr w:rsidR="004F12E3" w:rsidRPr="00242020" w:rsidTr="00EF2524">
        <w:trPr>
          <w:cnfStyle w:val="000000010000"/>
          <w:trHeight w:hRule="exact" w:val="266"/>
        </w:trPr>
        <w:tc>
          <w:tcPr>
            <w:cnfStyle w:val="001000000000"/>
            <w:tcW w:w="452" w:type="dxa"/>
            <w:shd w:val="clear" w:color="auto" w:fill="D0CECE" w:themeFill="background2" w:themeFillShade="E6"/>
            <w:vAlign w:val="center"/>
            <w:hideMark/>
          </w:tcPr>
          <w:p w:rsidR="002B3DF4" w:rsidRPr="00242020" w:rsidRDefault="002B3DF4" w:rsidP="00EF2524">
            <w:pPr>
              <w:ind w:left="-62" w:right="-49" w:firstLine="0"/>
              <w:jc w:val="center"/>
              <w:rPr>
                <w:sz w:val="20"/>
                <w:szCs w:val="20"/>
              </w:rPr>
            </w:pPr>
            <w:r w:rsidRPr="00242020">
              <w:rPr>
                <w:sz w:val="20"/>
                <w:szCs w:val="20"/>
              </w:rPr>
              <w:t>6</w:t>
            </w:r>
          </w:p>
        </w:tc>
        <w:tc>
          <w:tcPr>
            <w:tcW w:w="2525" w:type="dxa"/>
            <w:shd w:val="clear" w:color="auto" w:fill="D0CECE" w:themeFill="background2" w:themeFillShade="E6"/>
            <w:vAlign w:val="center"/>
            <w:hideMark/>
          </w:tcPr>
          <w:p w:rsidR="002B3DF4" w:rsidRPr="00242020" w:rsidRDefault="002B3DF4" w:rsidP="002B3DF4">
            <w:pPr>
              <w:ind w:firstLine="0"/>
              <w:cnfStyle w:val="000000010000"/>
              <w:rPr>
                <w:sz w:val="20"/>
                <w:szCs w:val="20"/>
              </w:rPr>
            </w:pPr>
            <w:r w:rsidRPr="00242020">
              <w:rPr>
                <w:sz w:val="20"/>
                <w:szCs w:val="20"/>
              </w:rPr>
              <w:t>Закарпатська область</w:t>
            </w:r>
          </w:p>
        </w:tc>
        <w:tc>
          <w:tcPr>
            <w:tcW w:w="897" w:type="dxa"/>
            <w:shd w:val="clear" w:color="auto" w:fill="D0CECE" w:themeFill="background2" w:themeFillShade="E6"/>
            <w:vAlign w:val="center"/>
            <w:hideMark/>
          </w:tcPr>
          <w:p w:rsidR="002B3DF4" w:rsidRPr="00242020" w:rsidRDefault="002B3DF4" w:rsidP="002B3DF4">
            <w:pPr>
              <w:ind w:firstLine="0"/>
              <w:jc w:val="center"/>
              <w:cnfStyle w:val="000000010000"/>
              <w:rPr>
                <w:sz w:val="20"/>
                <w:szCs w:val="20"/>
              </w:rPr>
            </w:pPr>
            <w:r w:rsidRPr="00242020">
              <w:rPr>
                <w:sz w:val="20"/>
                <w:szCs w:val="20"/>
              </w:rPr>
              <w:t>430</w:t>
            </w:r>
          </w:p>
        </w:tc>
        <w:tc>
          <w:tcPr>
            <w:tcW w:w="76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183</w:t>
            </w:r>
          </w:p>
        </w:tc>
        <w:tc>
          <w:tcPr>
            <w:tcW w:w="81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194</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35</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6</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12</w:t>
            </w:r>
          </w:p>
        </w:tc>
        <w:tc>
          <w:tcPr>
            <w:tcW w:w="925" w:type="dxa"/>
            <w:shd w:val="clear" w:color="auto" w:fill="D0CECE" w:themeFill="background2" w:themeFillShade="E6"/>
            <w:noWrap/>
            <w:vAlign w:val="center"/>
            <w:hideMark/>
          </w:tcPr>
          <w:p w:rsidR="002B3DF4" w:rsidRPr="00242020" w:rsidRDefault="002B3DF4" w:rsidP="002B3DF4">
            <w:pPr>
              <w:ind w:firstLine="0"/>
              <w:jc w:val="center"/>
              <w:cnfStyle w:val="000000010000"/>
              <w:rPr>
                <w:b/>
                <w:i/>
                <w:iCs/>
                <w:sz w:val="20"/>
                <w:szCs w:val="20"/>
              </w:rPr>
            </w:pPr>
            <w:r w:rsidRPr="00242020">
              <w:rPr>
                <w:b/>
                <w:bCs/>
                <w:i/>
                <w:iCs/>
                <w:sz w:val="20"/>
                <w:szCs w:val="20"/>
              </w:rPr>
              <w:t>4</w:t>
            </w:r>
          </w:p>
        </w:tc>
        <w:tc>
          <w:tcPr>
            <w:tcW w:w="516" w:type="dxa"/>
            <w:shd w:val="clear" w:color="auto" w:fill="D0CECE" w:themeFill="background2" w:themeFillShade="E6"/>
            <w:noWrap/>
            <w:vAlign w:val="center"/>
            <w:hideMark/>
          </w:tcPr>
          <w:p w:rsidR="002B3DF4" w:rsidRPr="00242020" w:rsidRDefault="002B3DF4" w:rsidP="002B3DF4">
            <w:pPr>
              <w:ind w:firstLine="0"/>
              <w:jc w:val="center"/>
              <w:cnfStyle w:val="000000010000"/>
              <w:rPr>
                <w:b/>
                <w:i/>
                <w:iCs/>
                <w:sz w:val="20"/>
                <w:szCs w:val="20"/>
              </w:rPr>
            </w:pPr>
            <w:r w:rsidRPr="00242020">
              <w:rPr>
                <w:b/>
                <w:bCs/>
                <w:i/>
                <w:iCs/>
                <w:sz w:val="20"/>
                <w:szCs w:val="20"/>
              </w:rPr>
              <w:t>2</w:t>
            </w:r>
          </w:p>
        </w:tc>
        <w:tc>
          <w:tcPr>
            <w:tcW w:w="565" w:type="dxa"/>
            <w:shd w:val="clear" w:color="auto" w:fill="D0CECE" w:themeFill="background2" w:themeFillShade="E6"/>
            <w:vAlign w:val="center"/>
            <w:hideMark/>
          </w:tcPr>
          <w:p w:rsidR="002B3DF4" w:rsidRPr="00242020" w:rsidRDefault="002B3DF4" w:rsidP="002B3DF4">
            <w:pPr>
              <w:ind w:firstLine="0"/>
              <w:jc w:val="center"/>
              <w:cnfStyle w:val="000000010000"/>
              <w:rPr>
                <w:b/>
                <w:i/>
                <w:iCs/>
                <w:sz w:val="20"/>
                <w:szCs w:val="20"/>
              </w:rPr>
            </w:pPr>
            <w:r w:rsidRPr="00242020">
              <w:rPr>
                <w:b/>
                <w:bCs/>
                <w:i/>
                <w:iCs/>
                <w:sz w:val="20"/>
                <w:szCs w:val="20"/>
              </w:rPr>
              <w:t>1</w:t>
            </w:r>
          </w:p>
        </w:tc>
        <w:tc>
          <w:tcPr>
            <w:tcW w:w="436" w:type="dxa"/>
            <w:shd w:val="clear" w:color="auto" w:fill="D0CECE" w:themeFill="background2" w:themeFillShade="E6"/>
            <w:noWrap/>
            <w:vAlign w:val="center"/>
            <w:hideMark/>
          </w:tcPr>
          <w:p w:rsidR="002B3DF4" w:rsidRPr="00242020" w:rsidRDefault="002B3DF4" w:rsidP="002B3DF4">
            <w:pPr>
              <w:ind w:firstLine="0"/>
              <w:jc w:val="center"/>
              <w:cnfStyle w:val="000000010000"/>
              <w:rPr>
                <w:b/>
                <w:i/>
                <w:iCs/>
                <w:sz w:val="20"/>
                <w:szCs w:val="20"/>
              </w:rPr>
            </w:pPr>
            <w:r w:rsidRPr="00242020">
              <w:rPr>
                <w:b/>
                <w:bCs/>
                <w:i/>
                <w:iCs/>
                <w:sz w:val="20"/>
                <w:szCs w:val="20"/>
              </w:rPr>
              <w:t>1</w:t>
            </w:r>
          </w:p>
        </w:tc>
        <w:tc>
          <w:tcPr>
            <w:tcW w:w="363" w:type="dxa"/>
            <w:shd w:val="clear" w:color="auto" w:fill="D0CECE" w:themeFill="background2" w:themeFillShade="E6"/>
            <w:vAlign w:val="center"/>
          </w:tcPr>
          <w:p w:rsidR="002B3DF4" w:rsidRPr="00242020" w:rsidRDefault="002B3DF4" w:rsidP="002B3DF4">
            <w:pPr>
              <w:ind w:firstLine="0"/>
              <w:jc w:val="center"/>
              <w:cnfStyle w:val="000000010000"/>
              <w:rPr>
                <w:b/>
                <w:i/>
                <w:iCs/>
                <w:sz w:val="20"/>
                <w:szCs w:val="20"/>
              </w:rPr>
            </w:pPr>
          </w:p>
        </w:tc>
        <w:tc>
          <w:tcPr>
            <w:tcW w:w="434" w:type="dxa"/>
            <w:shd w:val="clear" w:color="auto" w:fill="D0CECE" w:themeFill="background2" w:themeFillShade="E6"/>
            <w:vAlign w:val="center"/>
          </w:tcPr>
          <w:p w:rsidR="002B3DF4" w:rsidRPr="00242020" w:rsidRDefault="002B3DF4" w:rsidP="002B3DF4">
            <w:pPr>
              <w:ind w:firstLine="0"/>
              <w:jc w:val="center"/>
              <w:cnfStyle w:val="000000010000"/>
              <w:rPr>
                <w:b/>
                <w:i/>
                <w:iCs/>
                <w:sz w:val="20"/>
                <w:szCs w:val="20"/>
              </w:rPr>
            </w:pPr>
          </w:p>
        </w:tc>
        <w:tc>
          <w:tcPr>
            <w:tcW w:w="897" w:type="dxa"/>
            <w:shd w:val="clear" w:color="auto" w:fill="D0CECE" w:themeFill="background2" w:themeFillShade="E6"/>
            <w:vAlign w:val="center"/>
            <w:hideMark/>
          </w:tcPr>
          <w:p w:rsidR="002B3DF4" w:rsidRPr="00242020" w:rsidRDefault="002B3DF4" w:rsidP="002B3DF4">
            <w:pPr>
              <w:ind w:firstLine="0"/>
              <w:jc w:val="center"/>
              <w:cnfStyle w:val="000000010000"/>
              <w:rPr>
                <w:sz w:val="20"/>
                <w:szCs w:val="20"/>
              </w:rPr>
            </w:pPr>
            <w:r w:rsidRPr="00242020">
              <w:rPr>
                <w:sz w:val="20"/>
                <w:szCs w:val="20"/>
              </w:rPr>
              <w:t>434</w:t>
            </w:r>
          </w:p>
        </w:tc>
        <w:tc>
          <w:tcPr>
            <w:tcW w:w="76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185</w:t>
            </w:r>
          </w:p>
        </w:tc>
        <w:tc>
          <w:tcPr>
            <w:tcW w:w="775"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195</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36</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6</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12</w:t>
            </w:r>
          </w:p>
        </w:tc>
      </w:tr>
      <w:tr w:rsidR="004F12E3" w:rsidRPr="00242020" w:rsidTr="00EF2524">
        <w:trPr>
          <w:cnfStyle w:val="000000100000"/>
          <w:trHeight w:hRule="exact" w:val="266"/>
        </w:trPr>
        <w:tc>
          <w:tcPr>
            <w:cnfStyle w:val="001000000000"/>
            <w:tcW w:w="452" w:type="dxa"/>
            <w:shd w:val="clear" w:color="auto" w:fill="FFFFFF" w:themeFill="background1"/>
            <w:vAlign w:val="center"/>
            <w:hideMark/>
          </w:tcPr>
          <w:p w:rsidR="002B3DF4" w:rsidRPr="00242020" w:rsidRDefault="002B3DF4" w:rsidP="00EF2524">
            <w:pPr>
              <w:ind w:left="-62" w:right="-49" w:firstLine="0"/>
              <w:jc w:val="center"/>
              <w:rPr>
                <w:sz w:val="20"/>
                <w:szCs w:val="20"/>
              </w:rPr>
            </w:pPr>
            <w:r w:rsidRPr="00242020">
              <w:rPr>
                <w:sz w:val="20"/>
                <w:szCs w:val="20"/>
              </w:rPr>
              <w:t>7</w:t>
            </w:r>
          </w:p>
        </w:tc>
        <w:tc>
          <w:tcPr>
            <w:tcW w:w="2525" w:type="dxa"/>
            <w:shd w:val="clear" w:color="auto" w:fill="FFFFFF" w:themeFill="background1"/>
            <w:vAlign w:val="center"/>
            <w:hideMark/>
          </w:tcPr>
          <w:p w:rsidR="002B3DF4" w:rsidRPr="00242020" w:rsidRDefault="002B3DF4" w:rsidP="002B3DF4">
            <w:pPr>
              <w:ind w:firstLine="0"/>
              <w:cnfStyle w:val="000000100000"/>
              <w:rPr>
                <w:sz w:val="20"/>
                <w:szCs w:val="20"/>
              </w:rPr>
            </w:pPr>
            <w:r w:rsidRPr="00242020">
              <w:rPr>
                <w:sz w:val="20"/>
                <w:szCs w:val="20"/>
              </w:rPr>
              <w:t>Запорізька область</w:t>
            </w:r>
          </w:p>
        </w:tc>
        <w:tc>
          <w:tcPr>
            <w:tcW w:w="897" w:type="dxa"/>
            <w:shd w:val="clear" w:color="auto" w:fill="FFFFFF" w:themeFill="background1"/>
            <w:vAlign w:val="center"/>
            <w:hideMark/>
          </w:tcPr>
          <w:p w:rsidR="002B3DF4" w:rsidRPr="00242020" w:rsidRDefault="002B3DF4" w:rsidP="002B3DF4">
            <w:pPr>
              <w:ind w:firstLine="0"/>
              <w:jc w:val="center"/>
              <w:cnfStyle w:val="000000100000"/>
              <w:rPr>
                <w:sz w:val="20"/>
                <w:szCs w:val="20"/>
              </w:rPr>
            </w:pPr>
            <w:r w:rsidRPr="00242020">
              <w:rPr>
                <w:sz w:val="20"/>
                <w:szCs w:val="20"/>
              </w:rPr>
              <w:t>1342</w:t>
            </w:r>
          </w:p>
        </w:tc>
        <w:tc>
          <w:tcPr>
            <w:tcW w:w="76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743</w:t>
            </w:r>
          </w:p>
        </w:tc>
        <w:tc>
          <w:tcPr>
            <w:tcW w:w="81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381</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106</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35</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77</w:t>
            </w:r>
          </w:p>
        </w:tc>
        <w:tc>
          <w:tcPr>
            <w:tcW w:w="925" w:type="dxa"/>
            <w:shd w:val="clear" w:color="auto" w:fill="FFFFFF" w:themeFill="background1"/>
            <w:noWrap/>
            <w:vAlign w:val="center"/>
            <w:hideMark/>
          </w:tcPr>
          <w:p w:rsidR="002B3DF4" w:rsidRPr="00242020" w:rsidRDefault="002B3DF4" w:rsidP="002B3DF4">
            <w:pPr>
              <w:ind w:firstLine="0"/>
              <w:jc w:val="center"/>
              <w:cnfStyle w:val="000000100000"/>
              <w:rPr>
                <w:b/>
                <w:i/>
                <w:iCs/>
                <w:sz w:val="20"/>
                <w:szCs w:val="20"/>
              </w:rPr>
            </w:pPr>
            <w:r w:rsidRPr="00242020">
              <w:rPr>
                <w:b/>
                <w:bCs/>
                <w:i/>
                <w:iCs/>
                <w:sz w:val="20"/>
                <w:szCs w:val="20"/>
              </w:rPr>
              <w:t>9</w:t>
            </w:r>
          </w:p>
        </w:tc>
        <w:tc>
          <w:tcPr>
            <w:tcW w:w="516" w:type="dxa"/>
            <w:shd w:val="clear" w:color="auto" w:fill="FFFFFF" w:themeFill="background1"/>
            <w:noWrap/>
            <w:vAlign w:val="center"/>
            <w:hideMark/>
          </w:tcPr>
          <w:p w:rsidR="002B3DF4" w:rsidRPr="00242020" w:rsidRDefault="002B3DF4" w:rsidP="002B3DF4">
            <w:pPr>
              <w:ind w:firstLine="0"/>
              <w:jc w:val="center"/>
              <w:cnfStyle w:val="000000100000"/>
              <w:rPr>
                <w:b/>
                <w:i/>
                <w:iCs/>
                <w:sz w:val="20"/>
                <w:szCs w:val="20"/>
              </w:rPr>
            </w:pPr>
            <w:r w:rsidRPr="00242020">
              <w:rPr>
                <w:b/>
                <w:bCs/>
                <w:i/>
                <w:iCs/>
                <w:sz w:val="20"/>
                <w:szCs w:val="20"/>
              </w:rPr>
              <w:t>8</w:t>
            </w:r>
          </w:p>
        </w:tc>
        <w:tc>
          <w:tcPr>
            <w:tcW w:w="565" w:type="dxa"/>
            <w:shd w:val="clear" w:color="auto" w:fill="FFFFFF" w:themeFill="background1"/>
            <w:vAlign w:val="center"/>
          </w:tcPr>
          <w:p w:rsidR="002B3DF4" w:rsidRPr="00242020" w:rsidRDefault="002B3DF4" w:rsidP="002B3DF4">
            <w:pPr>
              <w:ind w:firstLine="0"/>
              <w:jc w:val="center"/>
              <w:cnfStyle w:val="000000100000"/>
              <w:rPr>
                <w:b/>
                <w:i/>
                <w:iCs/>
                <w:sz w:val="20"/>
                <w:szCs w:val="20"/>
              </w:rPr>
            </w:pPr>
          </w:p>
        </w:tc>
        <w:tc>
          <w:tcPr>
            <w:tcW w:w="436" w:type="dxa"/>
            <w:shd w:val="clear" w:color="auto" w:fill="FFFFFF" w:themeFill="background1"/>
            <w:noWrap/>
            <w:vAlign w:val="center"/>
            <w:hideMark/>
          </w:tcPr>
          <w:p w:rsidR="002B3DF4" w:rsidRPr="00242020" w:rsidRDefault="002B3DF4" w:rsidP="002B3DF4">
            <w:pPr>
              <w:ind w:firstLine="0"/>
              <w:jc w:val="center"/>
              <w:cnfStyle w:val="000000100000"/>
              <w:rPr>
                <w:b/>
                <w:i/>
                <w:iCs/>
                <w:sz w:val="20"/>
                <w:szCs w:val="20"/>
              </w:rPr>
            </w:pPr>
            <w:r w:rsidRPr="00242020">
              <w:rPr>
                <w:b/>
                <w:bCs/>
                <w:i/>
                <w:iCs/>
                <w:sz w:val="20"/>
                <w:szCs w:val="20"/>
              </w:rPr>
              <w:t>1</w:t>
            </w:r>
          </w:p>
        </w:tc>
        <w:tc>
          <w:tcPr>
            <w:tcW w:w="363" w:type="dxa"/>
            <w:shd w:val="clear" w:color="auto" w:fill="FFFFFF" w:themeFill="background1"/>
            <w:vAlign w:val="center"/>
          </w:tcPr>
          <w:p w:rsidR="002B3DF4" w:rsidRPr="00242020" w:rsidRDefault="002B3DF4" w:rsidP="002B3DF4">
            <w:pPr>
              <w:ind w:firstLine="0"/>
              <w:jc w:val="center"/>
              <w:cnfStyle w:val="000000100000"/>
              <w:rPr>
                <w:b/>
                <w:i/>
                <w:iCs/>
                <w:sz w:val="20"/>
                <w:szCs w:val="20"/>
              </w:rPr>
            </w:pPr>
          </w:p>
        </w:tc>
        <w:tc>
          <w:tcPr>
            <w:tcW w:w="434" w:type="dxa"/>
            <w:shd w:val="clear" w:color="auto" w:fill="FFFFFF" w:themeFill="background1"/>
            <w:vAlign w:val="center"/>
          </w:tcPr>
          <w:p w:rsidR="002B3DF4" w:rsidRPr="00242020" w:rsidRDefault="002B3DF4" w:rsidP="002B3DF4">
            <w:pPr>
              <w:ind w:firstLine="0"/>
              <w:jc w:val="center"/>
              <w:cnfStyle w:val="000000100000"/>
              <w:rPr>
                <w:b/>
                <w:i/>
                <w:iCs/>
                <w:sz w:val="20"/>
                <w:szCs w:val="20"/>
              </w:rPr>
            </w:pPr>
          </w:p>
        </w:tc>
        <w:tc>
          <w:tcPr>
            <w:tcW w:w="897" w:type="dxa"/>
            <w:shd w:val="clear" w:color="auto" w:fill="FFFFFF" w:themeFill="background1"/>
            <w:vAlign w:val="center"/>
            <w:hideMark/>
          </w:tcPr>
          <w:p w:rsidR="002B3DF4" w:rsidRPr="00242020" w:rsidRDefault="002B3DF4" w:rsidP="002B3DF4">
            <w:pPr>
              <w:ind w:firstLine="0"/>
              <w:jc w:val="center"/>
              <w:cnfStyle w:val="000000100000"/>
              <w:rPr>
                <w:sz w:val="20"/>
                <w:szCs w:val="20"/>
              </w:rPr>
            </w:pPr>
            <w:r w:rsidRPr="00242020">
              <w:rPr>
                <w:sz w:val="20"/>
                <w:szCs w:val="20"/>
              </w:rPr>
              <w:t>1351</w:t>
            </w:r>
          </w:p>
        </w:tc>
        <w:tc>
          <w:tcPr>
            <w:tcW w:w="76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751</w:t>
            </w:r>
          </w:p>
        </w:tc>
        <w:tc>
          <w:tcPr>
            <w:tcW w:w="775"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381</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107</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35</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77</w:t>
            </w:r>
          </w:p>
        </w:tc>
      </w:tr>
      <w:tr w:rsidR="004F12E3" w:rsidRPr="00242020" w:rsidTr="00EF2524">
        <w:trPr>
          <w:cnfStyle w:val="000000010000"/>
          <w:trHeight w:hRule="exact" w:val="266"/>
        </w:trPr>
        <w:tc>
          <w:tcPr>
            <w:cnfStyle w:val="001000000000"/>
            <w:tcW w:w="452" w:type="dxa"/>
            <w:shd w:val="clear" w:color="auto" w:fill="D0CECE" w:themeFill="background2" w:themeFillShade="E6"/>
            <w:vAlign w:val="center"/>
            <w:hideMark/>
          </w:tcPr>
          <w:p w:rsidR="002B3DF4" w:rsidRPr="00242020" w:rsidRDefault="002B3DF4" w:rsidP="00EF2524">
            <w:pPr>
              <w:ind w:left="-62" w:right="-49" w:firstLine="0"/>
              <w:jc w:val="center"/>
              <w:rPr>
                <w:sz w:val="20"/>
                <w:szCs w:val="20"/>
              </w:rPr>
            </w:pPr>
            <w:r w:rsidRPr="00242020">
              <w:rPr>
                <w:sz w:val="20"/>
                <w:szCs w:val="20"/>
              </w:rPr>
              <w:t>8</w:t>
            </w:r>
          </w:p>
        </w:tc>
        <w:tc>
          <w:tcPr>
            <w:tcW w:w="2525" w:type="dxa"/>
            <w:shd w:val="clear" w:color="auto" w:fill="D0CECE" w:themeFill="background2" w:themeFillShade="E6"/>
            <w:vAlign w:val="center"/>
            <w:hideMark/>
          </w:tcPr>
          <w:p w:rsidR="002B3DF4" w:rsidRPr="00242020" w:rsidRDefault="002B3DF4" w:rsidP="002B3DF4">
            <w:pPr>
              <w:ind w:firstLine="0"/>
              <w:cnfStyle w:val="000000010000"/>
              <w:rPr>
                <w:sz w:val="20"/>
                <w:szCs w:val="20"/>
              </w:rPr>
            </w:pPr>
            <w:r w:rsidRPr="00242020">
              <w:rPr>
                <w:sz w:val="20"/>
                <w:szCs w:val="20"/>
              </w:rPr>
              <w:t>Івано-Франківська область</w:t>
            </w:r>
          </w:p>
        </w:tc>
        <w:tc>
          <w:tcPr>
            <w:tcW w:w="897" w:type="dxa"/>
            <w:shd w:val="clear" w:color="auto" w:fill="D0CECE" w:themeFill="background2" w:themeFillShade="E6"/>
            <w:vAlign w:val="center"/>
            <w:hideMark/>
          </w:tcPr>
          <w:p w:rsidR="002B3DF4" w:rsidRPr="00242020" w:rsidRDefault="002B3DF4" w:rsidP="002B3DF4">
            <w:pPr>
              <w:ind w:firstLine="0"/>
              <w:jc w:val="center"/>
              <w:cnfStyle w:val="000000010000"/>
              <w:rPr>
                <w:sz w:val="20"/>
                <w:szCs w:val="20"/>
              </w:rPr>
            </w:pPr>
            <w:r w:rsidRPr="00242020">
              <w:rPr>
                <w:sz w:val="20"/>
                <w:szCs w:val="20"/>
              </w:rPr>
              <w:t>490</w:t>
            </w:r>
          </w:p>
        </w:tc>
        <w:tc>
          <w:tcPr>
            <w:tcW w:w="76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231</w:t>
            </w:r>
          </w:p>
        </w:tc>
        <w:tc>
          <w:tcPr>
            <w:tcW w:w="81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193</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48</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13</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5</w:t>
            </w:r>
          </w:p>
        </w:tc>
        <w:tc>
          <w:tcPr>
            <w:tcW w:w="925" w:type="dxa"/>
            <w:shd w:val="clear" w:color="auto" w:fill="D0CECE" w:themeFill="background2" w:themeFillShade="E6"/>
            <w:noWrap/>
            <w:vAlign w:val="center"/>
            <w:hideMark/>
          </w:tcPr>
          <w:p w:rsidR="002B3DF4" w:rsidRPr="00242020" w:rsidRDefault="002B3DF4" w:rsidP="002B3DF4">
            <w:pPr>
              <w:ind w:firstLine="0"/>
              <w:jc w:val="center"/>
              <w:cnfStyle w:val="000000010000"/>
              <w:rPr>
                <w:b/>
                <w:i/>
                <w:iCs/>
                <w:sz w:val="20"/>
                <w:szCs w:val="20"/>
              </w:rPr>
            </w:pPr>
            <w:r w:rsidRPr="00242020">
              <w:rPr>
                <w:b/>
                <w:bCs/>
                <w:i/>
                <w:iCs/>
                <w:sz w:val="20"/>
                <w:szCs w:val="20"/>
              </w:rPr>
              <w:t>2</w:t>
            </w:r>
          </w:p>
        </w:tc>
        <w:tc>
          <w:tcPr>
            <w:tcW w:w="516" w:type="dxa"/>
            <w:shd w:val="clear" w:color="auto" w:fill="D0CECE" w:themeFill="background2" w:themeFillShade="E6"/>
            <w:noWrap/>
            <w:vAlign w:val="center"/>
            <w:hideMark/>
          </w:tcPr>
          <w:p w:rsidR="002B3DF4" w:rsidRPr="00242020" w:rsidRDefault="002B3DF4" w:rsidP="002B3DF4">
            <w:pPr>
              <w:ind w:firstLine="0"/>
              <w:jc w:val="center"/>
              <w:cnfStyle w:val="000000010000"/>
              <w:rPr>
                <w:b/>
                <w:i/>
                <w:iCs/>
                <w:sz w:val="20"/>
                <w:szCs w:val="20"/>
              </w:rPr>
            </w:pPr>
            <w:r w:rsidRPr="00242020">
              <w:rPr>
                <w:b/>
                <w:bCs/>
                <w:i/>
                <w:iCs/>
                <w:sz w:val="20"/>
                <w:szCs w:val="20"/>
              </w:rPr>
              <w:t>1</w:t>
            </w:r>
          </w:p>
        </w:tc>
        <w:tc>
          <w:tcPr>
            <w:tcW w:w="565" w:type="dxa"/>
            <w:shd w:val="clear" w:color="auto" w:fill="D0CECE" w:themeFill="background2" w:themeFillShade="E6"/>
            <w:vAlign w:val="center"/>
          </w:tcPr>
          <w:p w:rsidR="002B3DF4" w:rsidRPr="00242020" w:rsidRDefault="002B3DF4" w:rsidP="002B3DF4">
            <w:pPr>
              <w:ind w:firstLine="0"/>
              <w:jc w:val="center"/>
              <w:cnfStyle w:val="000000010000"/>
              <w:rPr>
                <w:b/>
                <w:i/>
                <w:iCs/>
                <w:sz w:val="20"/>
                <w:szCs w:val="20"/>
              </w:rPr>
            </w:pPr>
          </w:p>
        </w:tc>
        <w:tc>
          <w:tcPr>
            <w:tcW w:w="436" w:type="dxa"/>
            <w:shd w:val="clear" w:color="auto" w:fill="D0CECE" w:themeFill="background2" w:themeFillShade="E6"/>
            <w:noWrap/>
            <w:vAlign w:val="center"/>
            <w:hideMark/>
          </w:tcPr>
          <w:p w:rsidR="002B3DF4" w:rsidRPr="00242020" w:rsidRDefault="002B3DF4" w:rsidP="002B3DF4">
            <w:pPr>
              <w:ind w:firstLine="0"/>
              <w:jc w:val="center"/>
              <w:cnfStyle w:val="000000010000"/>
              <w:rPr>
                <w:b/>
                <w:i/>
                <w:iCs/>
                <w:sz w:val="20"/>
                <w:szCs w:val="20"/>
              </w:rPr>
            </w:pPr>
            <w:r w:rsidRPr="00242020">
              <w:rPr>
                <w:b/>
                <w:bCs/>
                <w:i/>
                <w:iCs/>
                <w:sz w:val="20"/>
                <w:szCs w:val="20"/>
              </w:rPr>
              <w:t>1</w:t>
            </w:r>
          </w:p>
        </w:tc>
        <w:tc>
          <w:tcPr>
            <w:tcW w:w="363" w:type="dxa"/>
            <w:shd w:val="clear" w:color="auto" w:fill="D0CECE" w:themeFill="background2" w:themeFillShade="E6"/>
            <w:vAlign w:val="center"/>
          </w:tcPr>
          <w:p w:rsidR="002B3DF4" w:rsidRPr="00242020" w:rsidRDefault="002B3DF4" w:rsidP="002B3DF4">
            <w:pPr>
              <w:ind w:firstLine="0"/>
              <w:jc w:val="center"/>
              <w:cnfStyle w:val="000000010000"/>
              <w:rPr>
                <w:b/>
                <w:i/>
                <w:iCs/>
                <w:sz w:val="20"/>
                <w:szCs w:val="20"/>
              </w:rPr>
            </w:pPr>
          </w:p>
        </w:tc>
        <w:tc>
          <w:tcPr>
            <w:tcW w:w="434" w:type="dxa"/>
            <w:shd w:val="clear" w:color="auto" w:fill="D0CECE" w:themeFill="background2" w:themeFillShade="E6"/>
            <w:vAlign w:val="center"/>
          </w:tcPr>
          <w:p w:rsidR="002B3DF4" w:rsidRPr="00242020" w:rsidRDefault="002B3DF4" w:rsidP="002B3DF4">
            <w:pPr>
              <w:ind w:firstLine="0"/>
              <w:jc w:val="center"/>
              <w:cnfStyle w:val="000000010000"/>
              <w:rPr>
                <w:b/>
                <w:i/>
                <w:iCs/>
                <w:sz w:val="20"/>
                <w:szCs w:val="20"/>
              </w:rPr>
            </w:pPr>
          </w:p>
        </w:tc>
        <w:tc>
          <w:tcPr>
            <w:tcW w:w="897" w:type="dxa"/>
            <w:shd w:val="clear" w:color="auto" w:fill="D0CECE" w:themeFill="background2" w:themeFillShade="E6"/>
            <w:vAlign w:val="center"/>
            <w:hideMark/>
          </w:tcPr>
          <w:p w:rsidR="002B3DF4" w:rsidRPr="00242020" w:rsidRDefault="002B3DF4" w:rsidP="002B3DF4">
            <w:pPr>
              <w:ind w:firstLine="0"/>
              <w:jc w:val="center"/>
              <w:cnfStyle w:val="000000010000"/>
              <w:rPr>
                <w:sz w:val="20"/>
                <w:szCs w:val="20"/>
              </w:rPr>
            </w:pPr>
            <w:r w:rsidRPr="00242020">
              <w:rPr>
                <w:sz w:val="20"/>
                <w:szCs w:val="20"/>
              </w:rPr>
              <w:t>492</w:t>
            </w:r>
          </w:p>
        </w:tc>
        <w:tc>
          <w:tcPr>
            <w:tcW w:w="76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232</w:t>
            </w:r>
          </w:p>
        </w:tc>
        <w:tc>
          <w:tcPr>
            <w:tcW w:w="775"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193</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49</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13</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5</w:t>
            </w:r>
          </w:p>
        </w:tc>
      </w:tr>
      <w:tr w:rsidR="004F12E3" w:rsidRPr="00242020" w:rsidTr="00EF2524">
        <w:trPr>
          <w:cnfStyle w:val="000000100000"/>
          <w:trHeight w:hRule="exact" w:val="266"/>
        </w:trPr>
        <w:tc>
          <w:tcPr>
            <w:cnfStyle w:val="001000000000"/>
            <w:tcW w:w="452" w:type="dxa"/>
            <w:shd w:val="clear" w:color="auto" w:fill="FFFFFF" w:themeFill="background1"/>
            <w:vAlign w:val="center"/>
            <w:hideMark/>
          </w:tcPr>
          <w:p w:rsidR="002B3DF4" w:rsidRPr="00242020" w:rsidRDefault="002B3DF4" w:rsidP="00EF2524">
            <w:pPr>
              <w:ind w:left="-62" w:right="-49" w:firstLine="0"/>
              <w:jc w:val="center"/>
              <w:rPr>
                <w:sz w:val="20"/>
                <w:szCs w:val="20"/>
              </w:rPr>
            </w:pPr>
            <w:r w:rsidRPr="00242020">
              <w:rPr>
                <w:sz w:val="20"/>
                <w:szCs w:val="20"/>
              </w:rPr>
              <w:t>9</w:t>
            </w:r>
          </w:p>
        </w:tc>
        <w:tc>
          <w:tcPr>
            <w:tcW w:w="2525" w:type="dxa"/>
            <w:shd w:val="clear" w:color="auto" w:fill="FFFFFF" w:themeFill="background1"/>
            <w:vAlign w:val="center"/>
            <w:hideMark/>
          </w:tcPr>
          <w:p w:rsidR="002B3DF4" w:rsidRPr="00242020" w:rsidRDefault="002B3DF4" w:rsidP="002B3DF4">
            <w:pPr>
              <w:ind w:firstLine="0"/>
              <w:cnfStyle w:val="000000100000"/>
              <w:rPr>
                <w:sz w:val="20"/>
                <w:szCs w:val="20"/>
              </w:rPr>
            </w:pPr>
            <w:r w:rsidRPr="00242020">
              <w:rPr>
                <w:sz w:val="20"/>
                <w:szCs w:val="20"/>
              </w:rPr>
              <w:t>Київська область</w:t>
            </w:r>
          </w:p>
        </w:tc>
        <w:tc>
          <w:tcPr>
            <w:tcW w:w="897" w:type="dxa"/>
            <w:shd w:val="clear" w:color="auto" w:fill="FFFFFF" w:themeFill="background1"/>
            <w:vAlign w:val="center"/>
            <w:hideMark/>
          </w:tcPr>
          <w:p w:rsidR="002B3DF4" w:rsidRPr="00242020" w:rsidRDefault="002B3DF4" w:rsidP="002B3DF4">
            <w:pPr>
              <w:ind w:firstLine="0"/>
              <w:jc w:val="center"/>
              <w:cnfStyle w:val="000000100000"/>
              <w:rPr>
                <w:sz w:val="20"/>
                <w:szCs w:val="20"/>
              </w:rPr>
            </w:pPr>
            <w:r w:rsidRPr="00242020">
              <w:rPr>
                <w:sz w:val="20"/>
                <w:szCs w:val="20"/>
              </w:rPr>
              <w:t>1089</w:t>
            </w:r>
          </w:p>
        </w:tc>
        <w:tc>
          <w:tcPr>
            <w:tcW w:w="76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378</w:t>
            </w:r>
          </w:p>
        </w:tc>
        <w:tc>
          <w:tcPr>
            <w:tcW w:w="81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514</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154</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7</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36</w:t>
            </w:r>
          </w:p>
        </w:tc>
        <w:tc>
          <w:tcPr>
            <w:tcW w:w="925" w:type="dxa"/>
            <w:shd w:val="clear" w:color="auto" w:fill="FFFFFF" w:themeFill="background1"/>
            <w:noWrap/>
            <w:vAlign w:val="center"/>
            <w:hideMark/>
          </w:tcPr>
          <w:p w:rsidR="002B3DF4" w:rsidRPr="00242020" w:rsidRDefault="002B3DF4" w:rsidP="002B3DF4">
            <w:pPr>
              <w:ind w:firstLine="0"/>
              <w:jc w:val="center"/>
              <w:cnfStyle w:val="000000100000"/>
              <w:rPr>
                <w:b/>
                <w:i/>
                <w:iCs/>
                <w:sz w:val="20"/>
                <w:szCs w:val="20"/>
              </w:rPr>
            </w:pPr>
            <w:r w:rsidRPr="00242020">
              <w:rPr>
                <w:b/>
                <w:bCs/>
                <w:i/>
                <w:iCs/>
                <w:sz w:val="20"/>
                <w:szCs w:val="20"/>
              </w:rPr>
              <w:t>8</w:t>
            </w:r>
          </w:p>
        </w:tc>
        <w:tc>
          <w:tcPr>
            <w:tcW w:w="516" w:type="dxa"/>
            <w:shd w:val="clear" w:color="auto" w:fill="FFFFFF" w:themeFill="background1"/>
            <w:noWrap/>
            <w:vAlign w:val="center"/>
            <w:hideMark/>
          </w:tcPr>
          <w:p w:rsidR="002B3DF4" w:rsidRPr="00242020" w:rsidRDefault="002B3DF4" w:rsidP="002B3DF4">
            <w:pPr>
              <w:ind w:firstLine="0"/>
              <w:jc w:val="center"/>
              <w:cnfStyle w:val="000000100000"/>
              <w:rPr>
                <w:b/>
                <w:i/>
                <w:iCs/>
                <w:sz w:val="20"/>
                <w:szCs w:val="20"/>
              </w:rPr>
            </w:pPr>
            <w:r w:rsidRPr="00242020">
              <w:rPr>
                <w:b/>
                <w:bCs/>
                <w:i/>
                <w:iCs/>
                <w:sz w:val="20"/>
                <w:szCs w:val="20"/>
              </w:rPr>
              <w:t>8</w:t>
            </w:r>
          </w:p>
        </w:tc>
        <w:tc>
          <w:tcPr>
            <w:tcW w:w="565" w:type="dxa"/>
            <w:shd w:val="clear" w:color="auto" w:fill="FFFFFF" w:themeFill="background1"/>
            <w:vAlign w:val="center"/>
          </w:tcPr>
          <w:p w:rsidR="002B3DF4" w:rsidRPr="00242020" w:rsidRDefault="002B3DF4" w:rsidP="002B3DF4">
            <w:pPr>
              <w:ind w:firstLine="0"/>
              <w:jc w:val="center"/>
              <w:cnfStyle w:val="000000100000"/>
              <w:rPr>
                <w:b/>
                <w:i/>
                <w:iCs/>
                <w:sz w:val="20"/>
                <w:szCs w:val="20"/>
              </w:rPr>
            </w:pPr>
          </w:p>
        </w:tc>
        <w:tc>
          <w:tcPr>
            <w:tcW w:w="436" w:type="dxa"/>
            <w:shd w:val="clear" w:color="auto" w:fill="FFFFFF" w:themeFill="background1"/>
            <w:noWrap/>
            <w:vAlign w:val="center"/>
          </w:tcPr>
          <w:p w:rsidR="002B3DF4" w:rsidRPr="00242020" w:rsidRDefault="002B3DF4" w:rsidP="002B3DF4">
            <w:pPr>
              <w:ind w:firstLine="0"/>
              <w:jc w:val="center"/>
              <w:cnfStyle w:val="000000100000"/>
              <w:rPr>
                <w:b/>
                <w:i/>
                <w:iCs/>
                <w:sz w:val="20"/>
                <w:szCs w:val="20"/>
              </w:rPr>
            </w:pPr>
          </w:p>
        </w:tc>
        <w:tc>
          <w:tcPr>
            <w:tcW w:w="363" w:type="dxa"/>
            <w:shd w:val="clear" w:color="auto" w:fill="FFFFFF" w:themeFill="background1"/>
            <w:vAlign w:val="center"/>
          </w:tcPr>
          <w:p w:rsidR="002B3DF4" w:rsidRPr="00242020" w:rsidRDefault="002B3DF4" w:rsidP="002B3DF4">
            <w:pPr>
              <w:ind w:firstLine="0"/>
              <w:jc w:val="center"/>
              <w:cnfStyle w:val="000000100000"/>
              <w:rPr>
                <w:b/>
                <w:i/>
                <w:iCs/>
                <w:sz w:val="20"/>
                <w:szCs w:val="20"/>
              </w:rPr>
            </w:pPr>
          </w:p>
        </w:tc>
        <w:tc>
          <w:tcPr>
            <w:tcW w:w="434" w:type="dxa"/>
            <w:shd w:val="clear" w:color="auto" w:fill="FFFFFF" w:themeFill="background1"/>
            <w:vAlign w:val="center"/>
          </w:tcPr>
          <w:p w:rsidR="002B3DF4" w:rsidRPr="00242020" w:rsidRDefault="002B3DF4" w:rsidP="002B3DF4">
            <w:pPr>
              <w:ind w:firstLine="0"/>
              <w:jc w:val="center"/>
              <w:cnfStyle w:val="000000100000"/>
              <w:rPr>
                <w:b/>
                <w:i/>
                <w:iCs/>
                <w:sz w:val="20"/>
                <w:szCs w:val="20"/>
              </w:rPr>
            </w:pPr>
          </w:p>
        </w:tc>
        <w:tc>
          <w:tcPr>
            <w:tcW w:w="897" w:type="dxa"/>
            <w:shd w:val="clear" w:color="auto" w:fill="FFFFFF" w:themeFill="background1"/>
            <w:vAlign w:val="center"/>
            <w:hideMark/>
          </w:tcPr>
          <w:p w:rsidR="002B3DF4" w:rsidRPr="00242020" w:rsidRDefault="002B3DF4" w:rsidP="002B3DF4">
            <w:pPr>
              <w:ind w:firstLine="0"/>
              <w:jc w:val="center"/>
              <w:cnfStyle w:val="000000100000"/>
              <w:rPr>
                <w:sz w:val="20"/>
                <w:szCs w:val="20"/>
              </w:rPr>
            </w:pPr>
            <w:r w:rsidRPr="00242020">
              <w:rPr>
                <w:sz w:val="20"/>
                <w:szCs w:val="20"/>
              </w:rPr>
              <w:t>1097</w:t>
            </w:r>
          </w:p>
        </w:tc>
        <w:tc>
          <w:tcPr>
            <w:tcW w:w="76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386</w:t>
            </w:r>
          </w:p>
        </w:tc>
        <w:tc>
          <w:tcPr>
            <w:tcW w:w="775"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514</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154</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7</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36</w:t>
            </w:r>
          </w:p>
        </w:tc>
      </w:tr>
      <w:tr w:rsidR="004F12E3" w:rsidRPr="00242020" w:rsidTr="00EF2524">
        <w:trPr>
          <w:cnfStyle w:val="000000010000"/>
          <w:trHeight w:hRule="exact" w:val="266"/>
        </w:trPr>
        <w:tc>
          <w:tcPr>
            <w:cnfStyle w:val="001000000000"/>
            <w:tcW w:w="452" w:type="dxa"/>
            <w:shd w:val="clear" w:color="auto" w:fill="D0CECE" w:themeFill="background2" w:themeFillShade="E6"/>
            <w:vAlign w:val="center"/>
            <w:hideMark/>
          </w:tcPr>
          <w:p w:rsidR="002B3DF4" w:rsidRPr="00242020" w:rsidRDefault="002B3DF4" w:rsidP="00EF2524">
            <w:pPr>
              <w:ind w:left="-62" w:right="-49" w:firstLine="0"/>
              <w:jc w:val="center"/>
              <w:rPr>
                <w:sz w:val="20"/>
                <w:szCs w:val="20"/>
              </w:rPr>
            </w:pPr>
            <w:r w:rsidRPr="00242020">
              <w:rPr>
                <w:sz w:val="20"/>
                <w:szCs w:val="20"/>
              </w:rPr>
              <w:t>10</w:t>
            </w:r>
          </w:p>
        </w:tc>
        <w:tc>
          <w:tcPr>
            <w:tcW w:w="2525" w:type="dxa"/>
            <w:shd w:val="clear" w:color="auto" w:fill="D0CECE" w:themeFill="background2" w:themeFillShade="E6"/>
            <w:vAlign w:val="center"/>
            <w:hideMark/>
          </w:tcPr>
          <w:p w:rsidR="002B3DF4" w:rsidRPr="00242020" w:rsidRDefault="002B3DF4" w:rsidP="002B3DF4">
            <w:pPr>
              <w:ind w:firstLine="0"/>
              <w:cnfStyle w:val="000000010000"/>
              <w:rPr>
                <w:sz w:val="20"/>
                <w:szCs w:val="20"/>
              </w:rPr>
            </w:pPr>
            <w:r w:rsidRPr="00242020">
              <w:rPr>
                <w:sz w:val="20"/>
                <w:szCs w:val="20"/>
              </w:rPr>
              <w:t>Кіровоградська область</w:t>
            </w:r>
          </w:p>
        </w:tc>
        <w:tc>
          <w:tcPr>
            <w:tcW w:w="897" w:type="dxa"/>
            <w:shd w:val="clear" w:color="auto" w:fill="D0CECE" w:themeFill="background2" w:themeFillShade="E6"/>
            <w:vAlign w:val="center"/>
            <w:hideMark/>
          </w:tcPr>
          <w:p w:rsidR="002B3DF4" w:rsidRPr="00242020" w:rsidRDefault="002B3DF4" w:rsidP="002B3DF4">
            <w:pPr>
              <w:ind w:firstLine="0"/>
              <w:jc w:val="center"/>
              <w:cnfStyle w:val="000000010000"/>
              <w:rPr>
                <w:sz w:val="20"/>
                <w:szCs w:val="20"/>
              </w:rPr>
            </w:pPr>
            <w:r w:rsidRPr="00242020">
              <w:rPr>
                <w:sz w:val="20"/>
                <w:szCs w:val="20"/>
              </w:rPr>
              <w:t>698</w:t>
            </w:r>
          </w:p>
        </w:tc>
        <w:tc>
          <w:tcPr>
            <w:tcW w:w="76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333</w:t>
            </w:r>
          </w:p>
        </w:tc>
        <w:tc>
          <w:tcPr>
            <w:tcW w:w="81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231</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89</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41</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4</w:t>
            </w:r>
          </w:p>
        </w:tc>
        <w:tc>
          <w:tcPr>
            <w:tcW w:w="925" w:type="dxa"/>
            <w:shd w:val="clear" w:color="auto" w:fill="D0CECE" w:themeFill="background2" w:themeFillShade="E6"/>
            <w:noWrap/>
            <w:vAlign w:val="center"/>
            <w:hideMark/>
          </w:tcPr>
          <w:p w:rsidR="002B3DF4" w:rsidRPr="00242020" w:rsidRDefault="002B3DF4" w:rsidP="002B3DF4">
            <w:pPr>
              <w:ind w:firstLine="0"/>
              <w:jc w:val="center"/>
              <w:cnfStyle w:val="000000010000"/>
              <w:rPr>
                <w:b/>
                <w:i/>
                <w:iCs/>
                <w:sz w:val="20"/>
                <w:szCs w:val="20"/>
              </w:rPr>
            </w:pPr>
            <w:r w:rsidRPr="00242020">
              <w:rPr>
                <w:b/>
                <w:bCs/>
                <w:i/>
                <w:iCs/>
                <w:sz w:val="20"/>
                <w:szCs w:val="20"/>
              </w:rPr>
              <w:t>6</w:t>
            </w:r>
          </w:p>
        </w:tc>
        <w:tc>
          <w:tcPr>
            <w:tcW w:w="516" w:type="dxa"/>
            <w:shd w:val="clear" w:color="auto" w:fill="D0CECE" w:themeFill="background2" w:themeFillShade="E6"/>
            <w:noWrap/>
            <w:vAlign w:val="center"/>
            <w:hideMark/>
          </w:tcPr>
          <w:p w:rsidR="002B3DF4" w:rsidRPr="00242020" w:rsidRDefault="002B3DF4" w:rsidP="002B3DF4">
            <w:pPr>
              <w:ind w:firstLine="0"/>
              <w:jc w:val="center"/>
              <w:cnfStyle w:val="000000010000"/>
              <w:rPr>
                <w:b/>
                <w:i/>
                <w:iCs/>
                <w:sz w:val="20"/>
                <w:szCs w:val="20"/>
              </w:rPr>
            </w:pPr>
            <w:r w:rsidRPr="00242020">
              <w:rPr>
                <w:b/>
                <w:bCs/>
                <w:i/>
                <w:iCs/>
                <w:sz w:val="20"/>
                <w:szCs w:val="20"/>
              </w:rPr>
              <w:t>5</w:t>
            </w:r>
          </w:p>
        </w:tc>
        <w:tc>
          <w:tcPr>
            <w:tcW w:w="565" w:type="dxa"/>
            <w:shd w:val="clear" w:color="auto" w:fill="D0CECE" w:themeFill="background2" w:themeFillShade="E6"/>
            <w:vAlign w:val="center"/>
            <w:hideMark/>
          </w:tcPr>
          <w:p w:rsidR="002B3DF4" w:rsidRPr="00242020" w:rsidRDefault="002B3DF4" w:rsidP="002B3DF4">
            <w:pPr>
              <w:ind w:firstLine="0"/>
              <w:jc w:val="center"/>
              <w:cnfStyle w:val="000000010000"/>
              <w:rPr>
                <w:b/>
                <w:i/>
                <w:iCs/>
                <w:sz w:val="20"/>
                <w:szCs w:val="20"/>
              </w:rPr>
            </w:pPr>
            <w:r w:rsidRPr="00242020">
              <w:rPr>
                <w:b/>
                <w:bCs/>
                <w:i/>
                <w:iCs/>
                <w:sz w:val="20"/>
                <w:szCs w:val="20"/>
              </w:rPr>
              <w:t>1</w:t>
            </w:r>
          </w:p>
        </w:tc>
        <w:tc>
          <w:tcPr>
            <w:tcW w:w="436" w:type="dxa"/>
            <w:shd w:val="clear" w:color="auto" w:fill="D0CECE" w:themeFill="background2" w:themeFillShade="E6"/>
            <w:noWrap/>
            <w:vAlign w:val="center"/>
          </w:tcPr>
          <w:p w:rsidR="002B3DF4" w:rsidRPr="00242020" w:rsidRDefault="002B3DF4" w:rsidP="002B3DF4">
            <w:pPr>
              <w:ind w:firstLine="0"/>
              <w:jc w:val="center"/>
              <w:cnfStyle w:val="000000010000"/>
              <w:rPr>
                <w:b/>
                <w:i/>
                <w:iCs/>
                <w:sz w:val="20"/>
                <w:szCs w:val="20"/>
              </w:rPr>
            </w:pPr>
          </w:p>
        </w:tc>
        <w:tc>
          <w:tcPr>
            <w:tcW w:w="363" w:type="dxa"/>
            <w:shd w:val="clear" w:color="auto" w:fill="D0CECE" w:themeFill="background2" w:themeFillShade="E6"/>
            <w:vAlign w:val="center"/>
          </w:tcPr>
          <w:p w:rsidR="002B3DF4" w:rsidRPr="00242020" w:rsidRDefault="002B3DF4" w:rsidP="002B3DF4">
            <w:pPr>
              <w:ind w:firstLine="0"/>
              <w:jc w:val="center"/>
              <w:cnfStyle w:val="000000010000"/>
              <w:rPr>
                <w:b/>
                <w:i/>
                <w:iCs/>
                <w:sz w:val="20"/>
                <w:szCs w:val="20"/>
              </w:rPr>
            </w:pPr>
          </w:p>
        </w:tc>
        <w:tc>
          <w:tcPr>
            <w:tcW w:w="434" w:type="dxa"/>
            <w:shd w:val="clear" w:color="auto" w:fill="D0CECE" w:themeFill="background2" w:themeFillShade="E6"/>
            <w:vAlign w:val="center"/>
          </w:tcPr>
          <w:p w:rsidR="002B3DF4" w:rsidRPr="00242020" w:rsidRDefault="002B3DF4" w:rsidP="002B3DF4">
            <w:pPr>
              <w:ind w:firstLine="0"/>
              <w:jc w:val="center"/>
              <w:cnfStyle w:val="000000010000"/>
              <w:rPr>
                <w:b/>
                <w:i/>
                <w:iCs/>
                <w:sz w:val="20"/>
                <w:szCs w:val="20"/>
              </w:rPr>
            </w:pPr>
          </w:p>
        </w:tc>
        <w:tc>
          <w:tcPr>
            <w:tcW w:w="897" w:type="dxa"/>
            <w:shd w:val="clear" w:color="auto" w:fill="D0CECE" w:themeFill="background2" w:themeFillShade="E6"/>
            <w:vAlign w:val="center"/>
            <w:hideMark/>
          </w:tcPr>
          <w:p w:rsidR="002B3DF4" w:rsidRPr="00242020" w:rsidRDefault="002B3DF4" w:rsidP="002B3DF4">
            <w:pPr>
              <w:ind w:firstLine="0"/>
              <w:jc w:val="center"/>
              <w:cnfStyle w:val="000000010000"/>
              <w:rPr>
                <w:sz w:val="20"/>
                <w:szCs w:val="20"/>
              </w:rPr>
            </w:pPr>
            <w:r w:rsidRPr="00242020">
              <w:rPr>
                <w:sz w:val="20"/>
                <w:szCs w:val="20"/>
              </w:rPr>
              <w:t>704</w:t>
            </w:r>
          </w:p>
        </w:tc>
        <w:tc>
          <w:tcPr>
            <w:tcW w:w="76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338</w:t>
            </w:r>
          </w:p>
        </w:tc>
        <w:tc>
          <w:tcPr>
            <w:tcW w:w="775"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232</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89</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41</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4</w:t>
            </w:r>
          </w:p>
        </w:tc>
      </w:tr>
      <w:tr w:rsidR="004F12E3" w:rsidRPr="00242020" w:rsidTr="00EF2524">
        <w:trPr>
          <w:cnfStyle w:val="000000100000"/>
          <w:trHeight w:hRule="exact" w:val="266"/>
        </w:trPr>
        <w:tc>
          <w:tcPr>
            <w:cnfStyle w:val="001000000000"/>
            <w:tcW w:w="452" w:type="dxa"/>
            <w:shd w:val="clear" w:color="auto" w:fill="FFFFFF" w:themeFill="background1"/>
            <w:vAlign w:val="center"/>
            <w:hideMark/>
          </w:tcPr>
          <w:p w:rsidR="002B3DF4" w:rsidRPr="00242020" w:rsidRDefault="002B3DF4" w:rsidP="00EF2524">
            <w:pPr>
              <w:ind w:left="-62" w:right="-49" w:firstLine="0"/>
              <w:jc w:val="center"/>
              <w:rPr>
                <w:sz w:val="20"/>
                <w:szCs w:val="20"/>
              </w:rPr>
            </w:pPr>
            <w:r w:rsidRPr="00242020">
              <w:rPr>
                <w:sz w:val="20"/>
                <w:szCs w:val="20"/>
              </w:rPr>
              <w:t>11</w:t>
            </w:r>
          </w:p>
        </w:tc>
        <w:tc>
          <w:tcPr>
            <w:tcW w:w="2525" w:type="dxa"/>
            <w:shd w:val="clear" w:color="auto" w:fill="FFFFFF" w:themeFill="background1"/>
            <w:vAlign w:val="center"/>
            <w:hideMark/>
          </w:tcPr>
          <w:p w:rsidR="002B3DF4" w:rsidRPr="00242020" w:rsidRDefault="002B3DF4" w:rsidP="002B3DF4">
            <w:pPr>
              <w:ind w:firstLine="0"/>
              <w:cnfStyle w:val="000000100000"/>
              <w:rPr>
                <w:sz w:val="20"/>
                <w:szCs w:val="20"/>
              </w:rPr>
            </w:pPr>
            <w:r w:rsidRPr="00242020">
              <w:rPr>
                <w:sz w:val="20"/>
                <w:szCs w:val="20"/>
              </w:rPr>
              <w:t>Луганська область</w:t>
            </w:r>
          </w:p>
        </w:tc>
        <w:tc>
          <w:tcPr>
            <w:tcW w:w="897" w:type="dxa"/>
            <w:shd w:val="clear" w:color="auto" w:fill="FFFFFF" w:themeFill="background1"/>
            <w:vAlign w:val="center"/>
            <w:hideMark/>
          </w:tcPr>
          <w:p w:rsidR="002B3DF4" w:rsidRPr="00242020" w:rsidRDefault="002B3DF4" w:rsidP="002B3DF4">
            <w:pPr>
              <w:ind w:firstLine="0"/>
              <w:jc w:val="center"/>
              <w:cnfStyle w:val="000000100000"/>
              <w:rPr>
                <w:sz w:val="20"/>
                <w:szCs w:val="20"/>
              </w:rPr>
            </w:pPr>
            <w:r w:rsidRPr="00242020">
              <w:rPr>
                <w:sz w:val="20"/>
                <w:szCs w:val="20"/>
              </w:rPr>
              <w:t>1680</w:t>
            </w:r>
          </w:p>
        </w:tc>
        <w:tc>
          <w:tcPr>
            <w:tcW w:w="76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875</w:t>
            </w:r>
          </w:p>
        </w:tc>
        <w:tc>
          <w:tcPr>
            <w:tcW w:w="81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471</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254</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37</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43</w:t>
            </w:r>
          </w:p>
        </w:tc>
        <w:tc>
          <w:tcPr>
            <w:tcW w:w="925" w:type="dxa"/>
            <w:shd w:val="clear" w:color="auto" w:fill="FFFFFF" w:themeFill="background1"/>
            <w:noWrap/>
            <w:vAlign w:val="center"/>
            <w:hideMark/>
          </w:tcPr>
          <w:p w:rsidR="002B3DF4" w:rsidRPr="00242020" w:rsidRDefault="002B3DF4" w:rsidP="002B3DF4">
            <w:pPr>
              <w:ind w:firstLine="0"/>
              <w:jc w:val="center"/>
              <w:cnfStyle w:val="000000100000"/>
              <w:rPr>
                <w:b/>
                <w:i/>
                <w:iCs/>
                <w:sz w:val="20"/>
                <w:szCs w:val="20"/>
              </w:rPr>
            </w:pPr>
            <w:r w:rsidRPr="00242020">
              <w:rPr>
                <w:b/>
                <w:bCs/>
                <w:i/>
                <w:iCs/>
                <w:sz w:val="20"/>
                <w:szCs w:val="20"/>
              </w:rPr>
              <w:t>0</w:t>
            </w:r>
          </w:p>
        </w:tc>
        <w:tc>
          <w:tcPr>
            <w:tcW w:w="516" w:type="dxa"/>
            <w:shd w:val="clear" w:color="auto" w:fill="FFFFFF" w:themeFill="background1"/>
            <w:noWrap/>
            <w:vAlign w:val="center"/>
          </w:tcPr>
          <w:p w:rsidR="002B3DF4" w:rsidRPr="00242020" w:rsidRDefault="002B3DF4" w:rsidP="002B3DF4">
            <w:pPr>
              <w:ind w:firstLine="0"/>
              <w:jc w:val="center"/>
              <w:cnfStyle w:val="000000100000"/>
              <w:rPr>
                <w:b/>
                <w:i/>
                <w:iCs/>
                <w:sz w:val="20"/>
                <w:szCs w:val="20"/>
              </w:rPr>
            </w:pPr>
          </w:p>
        </w:tc>
        <w:tc>
          <w:tcPr>
            <w:tcW w:w="565" w:type="dxa"/>
            <w:shd w:val="clear" w:color="auto" w:fill="FFFFFF" w:themeFill="background1"/>
            <w:vAlign w:val="center"/>
          </w:tcPr>
          <w:p w:rsidR="002B3DF4" w:rsidRPr="00242020" w:rsidRDefault="002B3DF4" w:rsidP="002B3DF4">
            <w:pPr>
              <w:ind w:firstLine="0"/>
              <w:jc w:val="center"/>
              <w:cnfStyle w:val="000000100000"/>
              <w:rPr>
                <w:b/>
                <w:i/>
                <w:iCs/>
                <w:sz w:val="20"/>
                <w:szCs w:val="20"/>
              </w:rPr>
            </w:pPr>
          </w:p>
        </w:tc>
        <w:tc>
          <w:tcPr>
            <w:tcW w:w="436" w:type="dxa"/>
            <w:shd w:val="clear" w:color="auto" w:fill="FFFFFF" w:themeFill="background1"/>
            <w:noWrap/>
            <w:vAlign w:val="center"/>
          </w:tcPr>
          <w:p w:rsidR="002B3DF4" w:rsidRPr="00242020" w:rsidRDefault="002B3DF4" w:rsidP="002B3DF4">
            <w:pPr>
              <w:ind w:firstLine="0"/>
              <w:jc w:val="center"/>
              <w:cnfStyle w:val="000000100000"/>
              <w:rPr>
                <w:b/>
                <w:i/>
                <w:iCs/>
                <w:sz w:val="20"/>
                <w:szCs w:val="20"/>
              </w:rPr>
            </w:pPr>
          </w:p>
        </w:tc>
        <w:tc>
          <w:tcPr>
            <w:tcW w:w="363" w:type="dxa"/>
            <w:shd w:val="clear" w:color="auto" w:fill="FFFFFF" w:themeFill="background1"/>
            <w:vAlign w:val="center"/>
          </w:tcPr>
          <w:p w:rsidR="002B3DF4" w:rsidRPr="00242020" w:rsidRDefault="002B3DF4" w:rsidP="002B3DF4">
            <w:pPr>
              <w:ind w:firstLine="0"/>
              <w:jc w:val="center"/>
              <w:cnfStyle w:val="000000100000"/>
              <w:rPr>
                <w:b/>
                <w:i/>
                <w:iCs/>
                <w:sz w:val="20"/>
                <w:szCs w:val="20"/>
              </w:rPr>
            </w:pPr>
          </w:p>
        </w:tc>
        <w:tc>
          <w:tcPr>
            <w:tcW w:w="434" w:type="dxa"/>
            <w:shd w:val="clear" w:color="auto" w:fill="FFFFFF" w:themeFill="background1"/>
            <w:vAlign w:val="center"/>
          </w:tcPr>
          <w:p w:rsidR="002B3DF4" w:rsidRPr="00242020" w:rsidRDefault="002B3DF4" w:rsidP="002B3DF4">
            <w:pPr>
              <w:ind w:firstLine="0"/>
              <w:jc w:val="center"/>
              <w:cnfStyle w:val="000000100000"/>
              <w:rPr>
                <w:b/>
                <w:i/>
                <w:iCs/>
                <w:sz w:val="20"/>
                <w:szCs w:val="20"/>
              </w:rPr>
            </w:pPr>
          </w:p>
        </w:tc>
        <w:tc>
          <w:tcPr>
            <w:tcW w:w="897" w:type="dxa"/>
            <w:shd w:val="clear" w:color="auto" w:fill="FFFFFF" w:themeFill="background1"/>
            <w:vAlign w:val="center"/>
            <w:hideMark/>
          </w:tcPr>
          <w:p w:rsidR="002B3DF4" w:rsidRPr="00242020" w:rsidRDefault="002B3DF4" w:rsidP="002B3DF4">
            <w:pPr>
              <w:ind w:firstLine="0"/>
              <w:jc w:val="center"/>
              <w:cnfStyle w:val="000000100000"/>
              <w:rPr>
                <w:sz w:val="20"/>
                <w:szCs w:val="20"/>
              </w:rPr>
            </w:pPr>
            <w:r w:rsidRPr="00242020">
              <w:rPr>
                <w:sz w:val="20"/>
                <w:szCs w:val="20"/>
              </w:rPr>
              <w:t>1680</w:t>
            </w:r>
          </w:p>
        </w:tc>
        <w:tc>
          <w:tcPr>
            <w:tcW w:w="76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875</w:t>
            </w:r>
          </w:p>
        </w:tc>
        <w:tc>
          <w:tcPr>
            <w:tcW w:w="775"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471</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254</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37</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43</w:t>
            </w:r>
          </w:p>
        </w:tc>
      </w:tr>
      <w:tr w:rsidR="004F12E3" w:rsidRPr="00242020" w:rsidTr="00EF2524">
        <w:trPr>
          <w:cnfStyle w:val="000000010000"/>
          <w:trHeight w:hRule="exact" w:val="266"/>
        </w:trPr>
        <w:tc>
          <w:tcPr>
            <w:cnfStyle w:val="001000000000"/>
            <w:tcW w:w="452" w:type="dxa"/>
            <w:shd w:val="clear" w:color="auto" w:fill="D0CECE" w:themeFill="background2" w:themeFillShade="E6"/>
            <w:vAlign w:val="center"/>
            <w:hideMark/>
          </w:tcPr>
          <w:p w:rsidR="002B3DF4" w:rsidRPr="00242020" w:rsidRDefault="002B3DF4" w:rsidP="00EF2524">
            <w:pPr>
              <w:ind w:left="-62" w:right="-49" w:firstLine="0"/>
              <w:jc w:val="center"/>
              <w:rPr>
                <w:sz w:val="20"/>
                <w:szCs w:val="20"/>
              </w:rPr>
            </w:pPr>
            <w:r w:rsidRPr="00242020">
              <w:rPr>
                <w:sz w:val="20"/>
                <w:szCs w:val="20"/>
              </w:rPr>
              <w:t>12</w:t>
            </w:r>
          </w:p>
        </w:tc>
        <w:tc>
          <w:tcPr>
            <w:tcW w:w="2525" w:type="dxa"/>
            <w:shd w:val="clear" w:color="auto" w:fill="D0CECE" w:themeFill="background2" w:themeFillShade="E6"/>
            <w:vAlign w:val="center"/>
            <w:hideMark/>
          </w:tcPr>
          <w:p w:rsidR="002B3DF4" w:rsidRPr="00242020" w:rsidRDefault="002B3DF4" w:rsidP="002B3DF4">
            <w:pPr>
              <w:ind w:firstLine="0"/>
              <w:cnfStyle w:val="000000010000"/>
              <w:rPr>
                <w:sz w:val="20"/>
                <w:szCs w:val="20"/>
              </w:rPr>
            </w:pPr>
            <w:r w:rsidRPr="00242020">
              <w:rPr>
                <w:sz w:val="20"/>
                <w:szCs w:val="20"/>
              </w:rPr>
              <w:t>Львівська область</w:t>
            </w:r>
          </w:p>
        </w:tc>
        <w:tc>
          <w:tcPr>
            <w:tcW w:w="897" w:type="dxa"/>
            <w:shd w:val="clear" w:color="auto" w:fill="D0CECE" w:themeFill="background2" w:themeFillShade="E6"/>
            <w:vAlign w:val="center"/>
            <w:hideMark/>
          </w:tcPr>
          <w:p w:rsidR="002B3DF4" w:rsidRPr="00242020" w:rsidRDefault="002B3DF4" w:rsidP="002B3DF4">
            <w:pPr>
              <w:ind w:firstLine="0"/>
              <w:jc w:val="center"/>
              <w:cnfStyle w:val="000000010000"/>
              <w:rPr>
                <w:sz w:val="20"/>
                <w:szCs w:val="20"/>
              </w:rPr>
            </w:pPr>
            <w:r w:rsidRPr="00242020">
              <w:rPr>
                <w:sz w:val="20"/>
                <w:szCs w:val="20"/>
              </w:rPr>
              <w:t>1653</w:t>
            </w:r>
          </w:p>
        </w:tc>
        <w:tc>
          <w:tcPr>
            <w:tcW w:w="76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727</w:t>
            </w:r>
          </w:p>
        </w:tc>
        <w:tc>
          <w:tcPr>
            <w:tcW w:w="81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423</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240</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169</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94</w:t>
            </w:r>
          </w:p>
        </w:tc>
        <w:tc>
          <w:tcPr>
            <w:tcW w:w="925" w:type="dxa"/>
            <w:shd w:val="clear" w:color="auto" w:fill="D0CECE" w:themeFill="background2" w:themeFillShade="E6"/>
            <w:noWrap/>
            <w:vAlign w:val="center"/>
            <w:hideMark/>
          </w:tcPr>
          <w:p w:rsidR="002B3DF4" w:rsidRPr="00242020" w:rsidRDefault="002B3DF4" w:rsidP="002B3DF4">
            <w:pPr>
              <w:ind w:firstLine="0"/>
              <w:jc w:val="center"/>
              <w:cnfStyle w:val="000000010000"/>
              <w:rPr>
                <w:b/>
                <w:i/>
                <w:iCs/>
                <w:sz w:val="20"/>
                <w:szCs w:val="20"/>
              </w:rPr>
            </w:pPr>
            <w:r w:rsidRPr="00242020">
              <w:rPr>
                <w:b/>
                <w:bCs/>
                <w:i/>
                <w:iCs/>
                <w:sz w:val="20"/>
                <w:szCs w:val="20"/>
              </w:rPr>
              <w:t>11</w:t>
            </w:r>
          </w:p>
        </w:tc>
        <w:tc>
          <w:tcPr>
            <w:tcW w:w="516" w:type="dxa"/>
            <w:shd w:val="clear" w:color="auto" w:fill="D0CECE" w:themeFill="background2" w:themeFillShade="E6"/>
            <w:noWrap/>
            <w:vAlign w:val="center"/>
            <w:hideMark/>
          </w:tcPr>
          <w:p w:rsidR="002B3DF4" w:rsidRPr="00242020" w:rsidRDefault="002B3DF4" w:rsidP="002B3DF4">
            <w:pPr>
              <w:ind w:firstLine="0"/>
              <w:jc w:val="center"/>
              <w:cnfStyle w:val="000000010000"/>
              <w:rPr>
                <w:b/>
                <w:i/>
                <w:iCs/>
                <w:sz w:val="20"/>
                <w:szCs w:val="20"/>
              </w:rPr>
            </w:pPr>
            <w:r w:rsidRPr="00242020">
              <w:rPr>
                <w:b/>
                <w:bCs/>
                <w:i/>
                <w:iCs/>
                <w:sz w:val="20"/>
                <w:szCs w:val="20"/>
              </w:rPr>
              <w:t>8</w:t>
            </w:r>
          </w:p>
        </w:tc>
        <w:tc>
          <w:tcPr>
            <w:tcW w:w="565" w:type="dxa"/>
            <w:shd w:val="clear" w:color="auto" w:fill="D0CECE" w:themeFill="background2" w:themeFillShade="E6"/>
            <w:vAlign w:val="center"/>
          </w:tcPr>
          <w:p w:rsidR="002B3DF4" w:rsidRPr="00242020" w:rsidRDefault="002B3DF4" w:rsidP="002B3DF4">
            <w:pPr>
              <w:ind w:firstLine="0"/>
              <w:jc w:val="center"/>
              <w:cnfStyle w:val="000000010000"/>
              <w:rPr>
                <w:b/>
                <w:i/>
                <w:iCs/>
                <w:sz w:val="20"/>
                <w:szCs w:val="20"/>
              </w:rPr>
            </w:pPr>
          </w:p>
        </w:tc>
        <w:tc>
          <w:tcPr>
            <w:tcW w:w="436" w:type="dxa"/>
            <w:shd w:val="clear" w:color="auto" w:fill="D0CECE" w:themeFill="background2" w:themeFillShade="E6"/>
            <w:noWrap/>
            <w:vAlign w:val="center"/>
            <w:hideMark/>
          </w:tcPr>
          <w:p w:rsidR="002B3DF4" w:rsidRPr="00242020" w:rsidRDefault="002B3DF4" w:rsidP="002B3DF4">
            <w:pPr>
              <w:ind w:firstLine="0"/>
              <w:jc w:val="center"/>
              <w:cnfStyle w:val="000000010000"/>
              <w:rPr>
                <w:b/>
                <w:i/>
                <w:iCs/>
                <w:sz w:val="20"/>
                <w:szCs w:val="20"/>
              </w:rPr>
            </w:pPr>
            <w:r w:rsidRPr="00242020">
              <w:rPr>
                <w:b/>
                <w:bCs/>
                <w:i/>
                <w:iCs/>
                <w:sz w:val="20"/>
                <w:szCs w:val="20"/>
              </w:rPr>
              <w:t>3</w:t>
            </w:r>
          </w:p>
        </w:tc>
        <w:tc>
          <w:tcPr>
            <w:tcW w:w="363" w:type="dxa"/>
            <w:shd w:val="clear" w:color="auto" w:fill="D0CECE" w:themeFill="background2" w:themeFillShade="E6"/>
            <w:vAlign w:val="center"/>
          </w:tcPr>
          <w:p w:rsidR="002B3DF4" w:rsidRPr="00242020" w:rsidRDefault="002B3DF4" w:rsidP="002B3DF4">
            <w:pPr>
              <w:ind w:firstLine="0"/>
              <w:jc w:val="center"/>
              <w:cnfStyle w:val="000000010000"/>
              <w:rPr>
                <w:b/>
                <w:i/>
                <w:iCs/>
                <w:sz w:val="20"/>
                <w:szCs w:val="20"/>
              </w:rPr>
            </w:pPr>
          </w:p>
        </w:tc>
        <w:tc>
          <w:tcPr>
            <w:tcW w:w="434" w:type="dxa"/>
            <w:shd w:val="clear" w:color="auto" w:fill="D0CECE" w:themeFill="background2" w:themeFillShade="E6"/>
            <w:vAlign w:val="center"/>
          </w:tcPr>
          <w:p w:rsidR="002B3DF4" w:rsidRPr="00242020" w:rsidRDefault="002B3DF4" w:rsidP="002B3DF4">
            <w:pPr>
              <w:ind w:firstLine="0"/>
              <w:jc w:val="center"/>
              <w:cnfStyle w:val="000000010000"/>
              <w:rPr>
                <w:b/>
                <w:i/>
                <w:iCs/>
                <w:sz w:val="20"/>
                <w:szCs w:val="20"/>
              </w:rPr>
            </w:pPr>
          </w:p>
        </w:tc>
        <w:tc>
          <w:tcPr>
            <w:tcW w:w="897" w:type="dxa"/>
            <w:shd w:val="clear" w:color="auto" w:fill="D0CECE" w:themeFill="background2" w:themeFillShade="E6"/>
            <w:vAlign w:val="center"/>
            <w:hideMark/>
          </w:tcPr>
          <w:p w:rsidR="002B3DF4" w:rsidRPr="00242020" w:rsidRDefault="002B3DF4" w:rsidP="002B3DF4">
            <w:pPr>
              <w:ind w:firstLine="0"/>
              <w:jc w:val="center"/>
              <w:cnfStyle w:val="000000010000"/>
              <w:rPr>
                <w:sz w:val="20"/>
                <w:szCs w:val="20"/>
              </w:rPr>
            </w:pPr>
            <w:r w:rsidRPr="00242020">
              <w:rPr>
                <w:sz w:val="20"/>
                <w:szCs w:val="20"/>
              </w:rPr>
              <w:t>1664</w:t>
            </w:r>
          </w:p>
        </w:tc>
        <w:tc>
          <w:tcPr>
            <w:tcW w:w="76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735</w:t>
            </w:r>
          </w:p>
        </w:tc>
        <w:tc>
          <w:tcPr>
            <w:tcW w:w="775"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423</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243</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169</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94</w:t>
            </w:r>
          </w:p>
        </w:tc>
      </w:tr>
      <w:tr w:rsidR="004F12E3" w:rsidRPr="00242020" w:rsidTr="00EF2524">
        <w:trPr>
          <w:cnfStyle w:val="000000100000"/>
          <w:trHeight w:hRule="exact" w:val="266"/>
        </w:trPr>
        <w:tc>
          <w:tcPr>
            <w:cnfStyle w:val="001000000000"/>
            <w:tcW w:w="452" w:type="dxa"/>
            <w:shd w:val="clear" w:color="auto" w:fill="FFFFFF" w:themeFill="background1"/>
            <w:vAlign w:val="center"/>
            <w:hideMark/>
          </w:tcPr>
          <w:p w:rsidR="002B3DF4" w:rsidRPr="00242020" w:rsidRDefault="002B3DF4" w:rsidP="00EF2524">
            <w:pPr>
              <w:ind w:left="-62" w:right="-49" w:firstLine="0"/>
              <w:jc w:val="center"/>
              <w:rPr>
                <w:sz w:val="20"/>
                <w:szCs w:val="20"/>
              </w:rPr>
            </w:pPr>
            <w:r w:rsidRPr="00242020">
              <w:rPr>
                <w:sz w:val="20"/>
                <w:szCs w:val="20"/>
              </w:rPr>
              <w:t>13</w:t>
            </w:r>
          </w:p>
        </w:tc>
        <w:tc>
          <w:tcPr>
            <w:tcW w:w="2525" w:type="dxa"/>
            <w:shd w:val="clear" w:color="auto" w:fill="FFFFFF" w:themeFill="background1"/>
            <w:vAlign w:val="center"/>
            <w:hideMark/>
          </w:tcPr>
          <w:p w:rsidR="002B3DF4" w:rsidRPr="00242020" w:rsidRDefault="002B3DF4" w:rsidP="002B3DF4">
            <w:pPr>
              <w:ind w:firstLine="0"/>
              <w:cnfStyle w:val="000000100000"/>
              <w:rPr>
                <w:sz w:val="20"/>
                <w:szCs w:val="20"/>
              </w:rPr>
            </w:pPr>
            <w:r w:rsidRPr="00242020">
              <w:rPr>
                <w:sz w:val="20"/>
                <w:szCs w:val="20"/>
              </w:rPr>
              <w:t>Миколаївська область</w:t>
            </w:r>
          </w:p>
        </w:tc>
        <w:tc>
          <w:tcPr>
            <w:tcW w:w="897" w:type="dxa"/>
            <w:shd w:val="clear" w:color="auto" w:fill="FFFFFF" w:themeFill="background1"/>
            <w:vAlign w:val="center"/>
            <w:hideMark/>
          </w:tcPr>
          <w:p w:rsidR="002B3DF4" w:rsidRPr="00242020" w:rsidRDefault="002B3DF4" w:rsidP="002B3DF4">
            <w:pPr>
              <w:ind w:firstLine="0"/>
              <w:jc w:val="center"/>
              <w:cnfStyle w:val="000000100000"/>
              <w:rPr>
                <w:sz w:val="20"/>
                <w:szCs w:val="20"/>
              </w:rPr>
            </w:pPr>
            <w:r w:rsidRPr="00242020">
              <w:rPr>
                <w:sz w:val="20"/>
                <w:szCs w:val="20"/>
              </w:rPr>
              <w:t>1124</w:t>
            </w:r>
          </w:p>
        </w:tc>
        <w:tc>
          <w:tcPr>
            <w:tcW w:w="76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476</w:t>
            </w:r>
          </w:p>
        </w:tc>
        <w:tc>
          <w:tcPr>
            <w:tcW w:w="81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336</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217</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42</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53</w:t>
            </w:r>
          </w:p>
        </w:tc>
        <w:tc>
          <w:tcPr>
            <w:tcW w:w="925" w:type="dxa"/>
            <w:shd w:val="clear" w:color="auto" w:fill="FFFFFF" w:themeFill="background1"/>
            <w:noWrap/>
            <w:vAlign w:val="center"/>
            <w:hideMark/>
          </w:tcPr>
          <w:p w:rsidR="002B3DF4" w:rsidRPr="00242020" w:rsidRDefault="00F97348" w:rsidP="002B3DF4">
            <w:pPr>
              <w:ind w:firstLine="0"/>
              <w:jc w:val="center"/>
              <w:cnfStyle w:val="000000100000"/>
              <w:rPr>
                <w:b/>
                <w:i/>
                <w:iCs/>
                <w:sz w:val="20"/>
                <w:szCs w:val="20"/>
              </w:rPr>
            </w:pPr>
            <w:r>
              <w:rPr>
                <w:b/>
                <w:bCs/>
                <w:i/>
                <w:iCs/>
                <w:sz w:val="20"/>
                <w:szCs w:val="20"/>
              </w:rPr>
              <w:t>6</w:t>
            </w:r>
          </w:p>
        </w:tc>
        <w:tc>
          <w:tcPr>
            <w:tcW w:w="516" w:type="dxa"/>
            <w:shd w:val="clear" w:color="auto" w:fill="FFFFFF" w:themeFill="background1"/>
            <w:noWrap/>
            <w:vAlign w:val="center"/>
            <w:hideMark/>
          </w:tcPr>
          <w:p w:rsidR="002B3DF4" w:rsidRPr="00242020" w:rsidRDefault="00F97348" w:rsidP="002B3DF4">
            <w:pPr>
              <w:ind w:firstLine="0"/>
              <w:jc w:val="center"/>
              <w:cnfStyle w:val="000000100000"/>
              <w:rPr>
                <w:b/>
                <w:i/>
                <w:iCs/>
                <w:sz w:val="20"/>
                <w:szCs w:val="20"/>
              </w:rPr>
            </w:pPr>
            <w:r>
              <w:rPr>
                <w:b/>
                <w:bCs/>
                <w:i/>
                <w:iCs/>
                <w:sz w:val="20"/>
                <w:szCs w:val="20"/>
              </w:rPr>
              <w:t>4</w:t>
            </w:r>
          </w:p>
        </w:tc>
        <w:tc>
          <w:tcPr>
            <w:tcW w:w="565" w:type="dxa"/>
            <w:shd w:val="clear" w:color="auto" w:fill="FFFFFF" w:themeFill="background1"/>
            <w:vAlign w:val="center"/>
          </w:tcPr>
          <w:p w:rsidR="002B3DF4" w:rsidRPr="00242020" w:rsidRDefault="002B3DF4" w:rsidP="002B3DF4">
            <w:pPr>
              <w:ind w:firstLine="0"/>
              <w:jc w:val="center"/>
              <w:cnfStyle w:val="000000100000"/>
              <w:rPr>
                <w:b/>
                <w:i/>
                <w:iCs/>
                <w:sz w:val="20"/>
                <w:szCs w:val="20"/>
              </w:rPr>
            </w:pPr>
          </w:p>
        </w:tc>
        <w:tc>
          <w:tcPr>
            <w:tcW w:w="436" w:type="dxa"/>
            <w:shd w:val="clear" w:color="auto" w:fill="FFFFFF" w:themeFill="background1"/>
            <w:noWrap/>
            <w:vAlign w:val="center"/>
            <w:hideMark/>
          </w:tcPr>
          <w:p w:rsidR="002B3DF4" w:rsidRPr="00242020" w:rsidRDefault="002B3DF4" w:rsidP="002B3DF4">
            <w:pPr>
              <w:ind w:firstLine="0"/>
              <w:jc w:val="center"/>
              <w:cnfStyle w:val="000000100000"/>
              <w:rPr>
                <w:b/>
                <w:i/>
                <w:iCs/>
                <w:sz w:val="20"/>
                <w:szCs w:val="20"/>
              </w:rPr>
            </w:pPr>
            <w:r w:rsidRPr="00242020">
              <w:rPr>
                <w:b/>
                <w:bCs/>
                <w:i/>
                <w:iCs/>
                <w:sz w:val="20"/>
                <w:szCs w:val="20"/>
              </w:rPr>
              <w:t>2</w:t>
            </w:r>
          </w:p>
        </w:tc>
        <w:tc>
          <w:tcPr>
            <w:tcW w:w="363" w:type="dxa"/>
            <w:shd w:val="clear" w:color="auto" w:fill="FFFFFF" w:themeFill="background1"/>
            <w:vAlign w:val="center"/>
          </w:tcPr>
          <w:p w:rsidR="002B3DF4" w:rsidRPr="00242020" w:rsidRDefault="002B3DF4" w:rsidP="002B3DF4">
            <w:pPr>
              <w:ind w:firstLine="0"/>
              <w:jc w:val="center"/>
              <w:cnfStyle w:val="000000100000"/>
              <w:rPr>
                <w:b/>
                <w:i/>
                <w:iCs/>
                <w:sz w:val="20"/>
                <w:szCs w:val="20"/>
              </w:rPr>
            </w:pPr>
          </w:p>
        </w:tc>
        <w:tc>
          <w:tcPr>
            <w:tcW w:w="434" w:type="dxa"/>
            <w:shd w:val="clear" w:color="auto" w:fill="FFFFFF" w:themeFill="background1"/>
            <w:vAlign w:val="center"/>
          </w:tcPr>
          <w:p w:rsidR="002B3DF4" w:rsidRPr="00242020" w:rsidRDefault="002B3DF4" w:rsidP="002B3DF4">
            <w:pPr>
              <w:ind w:firstLine="0"/>
              <w:jc w:val="center"/>
              <w:cnfStyle w:val="000000100000"/>
              <w:rPr>
                <w:b/>
                <w:i/>
                <w:iCs/>
                <w:sz w:val="20"/>
                <w:szCs w:val="20"/>
              </w:rPr>
            </w:pPr>
          </w:p>
        </w:tc>
        <w:tc>
          <w:tcPr>
            <w:tcW w:w="897" w:type="dxa"/>
            <w:shd w:val="clear" w:color="auto" w:fill="FFFFFF" w:themeFill="background1"/>
            <w:vAlign w:val="center"/>
            <w:hideMark/>
          </w:tcPr>
          <w:p w:rsidR="002B3DF4" w:rsidRPr="00242020" w:rsidRDefault="002B3DF4" w:rsidP="00F97348">
            <w:pPr>
              <w:ind w:firstLine="0"/>
              <w:jc w:val="center"/>
              <w:cnfStyle w:val="000000100000"/>
              <w:rPr>
                <w:sz w:val="20"/>
                <w:szCs w:val="20"/>
              </w:rPr>
            </w:pPr>
            <w:r w:rsidRPr="00242020">
              <w:rPr>
                <w:sz w:val="20"/>
                <w:szCs w:val="20"/>
              </w:rPr>
              <w:t>11</w:t>
            </w:r>
            <w:r w:rsidR="00F97348">
              <w:rPr>
                <w:sz w:val="20"/>
                <w:szCs w:val="20"/>
              </w:rPr>
              <w:t>30</w:t>
            </w:r>
          </w:p>
        </w:tc>
        <w:tc>
          <w:tcPr>
            <w:tcW w:w="766" w:type="dxa"/>
            <w:shd w:val="clear" w:color="auto" w:fill="FFFFFF" w:themeFill="background1"/>
            <w:noWrap/>
            <w:vAlign w:val="center"/>
            <w:hideMark/>
          </w:tcPr>
          <w:p w:rsidR="002B3DF4" w:rsidRPr="00242020" w:rsidRDefault="002B3DF4" w:rsidP="00F97348">
            <w:pPr>
              <w:ind w:firstLine="0"/>
              <w:jc w:val="center"/>
              <w:cnfStyle w:val="000000100000"/>
              <w:rPr>
                <w:sz w:val="20"/>
                <w:szCs w:val="20"/>
              </w:rPr>
            </w:pPr>
            <w:r w:rsidRPr="00242020">
              <w:rPr>
                <w:sz w:val="20"/>
                <w:szCs w:val="20"/>
              </w:rPr>
              <w:t>48</w:t>
            </w:r>
            <w:r w:rsidR="00F97348">
              <w:rPr>
                <w:sz w:val="20"/>
                <w:szCs w:val="20"/>
              </w:rPr>
              <w:t>0</w:t>
            </w:r>
          </w:p>
        </w:tc>
        <w:tc>
          <w:tcPr>
            <w:tcW w:w="775"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336</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219</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42</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53</w:t>
            </w:r>
          </w:p>
        </w:tc>
      </w:tr>
      <w:tr w:rsidR="004F12E3" w:rsidRPr="00242020" w:rsidTr="00EF2524">
        <w:trPr>
          <w:cnfStyle w:val="000000010000"/>
          <w:trHeight w:hRule="exact" w:val="266"/>
        </w:trPr>
        <w:tc>
          <w:tcPr>
            <w:cnfStyle w:val="001000000000"/>
            <w:tcW w:w="452" w:type="dxa"/>
            <w:shd w:val="clear" w:color="auto" w:fill="D0CECE" w:themeFill="background2" w:themeFillShade="E6"/>
            <w:vAlign w:val="center"/>
            <w:hideMark/>
          </w:tcPr>
          <w:p w:rsidR="002B3DF4" w:rsidRPr="00242020" w:rsidRDefault="002B3DF4" w:rsidP="00EF2524">
            <w:pPr>
              <w:ind w:left="-62" w:right="-49" w:firstLine="0"/>
              <w:jc w:val="center"/>
              <w:rPr>
                <w:sz w:val="20"/>
                <w:szCs w:val="20"/>
              </w:rPr>
            </w:pPr>
            <w:r w:rsidRPr="00242020">
              <w:rPr>
                <w:sz w:val="20"/>
                <w:szCs w:val="20"/>
              </w:rPr>
              <w:t>14</w:t>
            </w:r>
          </w:p>
        </w:tc>
        <w:tc>
          <w:tcPr>
            <w:tcW w:w="2525" w:type="dxa"/>
            <w:shd w:val="clear" w:color="auto" w:fill="D0CECE" w:themeFill="background2" w:themeFillShade="E6"/>
            <w:vAlign w:val="center"/>
            <w:hideMark/>
          </w:tcPr>
          <w:p w:rsidR="002B3DF4" w:rsidRPr="00242020" w:rsidRDefault="002B3DF4" w:rsidP="002B3DF4">
            <w:pPr>
              <w:ind w:firstLine="0"/>
              <w:cnfStyle w:val="000000010000"/>
              <w:rPr>
                <w:sz w:val="20"/>
                <w:szCs w:val="20"/>
              </w:rPr>
            </w:pPr>
            <w:r w:rsidRPr="00242020">
              <w:rPr>
                <w:sz w:val="20"/>
                <w:szCs w:val="20"/>
              </w:rPr>
              <w:t>Одеська область</w:t>
            </w:r>
          </w:p>
        </w:tc>
        <w:tc>
          <w:tcPr>
            <w:tcW w:w="897" w:type="dxa"/>
            <w:shd w:val="clear" w:color="auto" w:fill="D0CECE" w:themeFill="background2" w:themeFillShade="E6"/>
            <w:vAlign w:val="center"/>
            <w:hideMark/>
          </w:tcPr>
          <w:p w:rsidR="002B3DF4" w:rsidRPr="00242020" w:rsidRDefault="002B3DF4" w:rsidP="002B3DF4">
            <w:pPr>
              <w:ind w:firstLine="0"/>
              <w:jc w:val="center"/>
              <w:cnfStyle w:val="000000010000"/>
              <w:rPr>
                <w:sz w:val="20"/>
                <w:szCs w:val="20"/>
              </w:rPr>
            </w:pPr>
            <w:r w:rsidRPr="00242020">
              <w:rPr>
                <w:sz w:val="20"/>
                <w:szCs w:val="20"/>
              </w:rPr>
              <w:t>1473</w:t>
            </w:r>
          </w:p>
        </w:tc>
        <w:tc>
          <w:tcPr>
            <w:tcW w:w="76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590</w:t>
            </w:r>
          </w:p>
        </w:tc>
        <w:tc>
          <w:tcPr>
            <w:tcW w:w="81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490</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161</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131</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101</w:t>
            </w:r>
          </w:p>
        </w:tc>
        <w:tc>
          <w:tcPr>
            <w:tcW w:w="925" w:type="dxa"/>
            <w:shd w:val="clear" w:color="auto" w:fill="D0CECE" w:themeFill="background2" w:themeFillShade="E6"/>
            <w:noWrap/>
            <w:vAlign w:val="center"/>
            <w:hideMark/>
          </w:tcPr>
          <w:p w:rsidR="002B3DF4" w:rsidRPr="00242020" w:rsidRDefault="002B3DF4" w:rsidP="002B3DF4">
            <w:pPr>
              <w:ind w:firstLine="0"/>
              <w:jc w:val="center"/>
              <w:cnfStyle w:val="000000010000"/>
              <w:rPr>
                <w:b/>
                <w:i/>
                <w:iCs/>
                <w:sz w:val="20"/>
                <w:szCs w:val="20"/>
              </w:rPr>
            </w:pPr>
            <w:r w:rsidRPr="00242020">
              <w:rPr>
                <w:b/>
                <w:bCs/>
                <w:i/>
                <w:iCs/>
                <w:sz w:val="20"/>
                <w:szCs w:val="20"/>
              </w:rPr>
              <w:t>2</w:t>
            </w:r>
          </w:p>
        </w:tc>
        <w:tc>
          <w:tcPr>
            <w:tcW w:w="516" w:type="dxa"/>
            <w:shd w:val="clear" w:color="auto" w:fill="D0CECE" w:themeFill="background2" w:themeFillShade="E6"/>
            <w:noWrap/>
            <w:vAlign w:val="center"/>
            <w:hideMark/>
          </w:tcPr>
          <w:p w:rsidR="002B3DF4" w:rsidRPr="00242020" w:rsidRDefault="002B3DF4" w:rsidP="002B3DF4">
            <w:pPr>
              <w:ind w:firstLine="0"/>
              <w:jc w:val="center"/>
              <w:cnfStyle w:val="000000010000"/>
              <w:rPr>
                <w:b/>
                <w:i/>
                <w:iCs/>
                <w:sz w:val="20"/>
                <w:szCs w:val="20"/>
              </w:rPr>
            </w:pPr>
            <w:r w:rsidRPr="00242020">
              <w:rPr>
                <w:b/>
                <w:bCs/>
                <w:i/>
                <w:iCs/>
                <w:sz w:val="20"/>
                <w:szCs w:val="20"/>
              </w:rPr>
              <w:t>2</w:t>
            </w:r>
          </w:p>
        </w:tc>
        <w:tc>
          <w:tcPr>
            <w:tcW w:w="565" w:type="dxa"/>
            <w:shd w:val="clear" w:color="auto" w:fill="D0CECE" w:themeFill="background2" w:themeFillShade="E6"/>
            <w:vAlign w:val="center"/>
          </w:tcPr>
          <w:p w:rsidR="002B3DF4" w:rsidRPr="00242020" w:rsidRDefault="002B3DF4" w:rsidP="002B3DF4">
            <w:pPr>
              <w:ind w:firstLine="0"/>
              <w:jc w:val="center"/>
              <w:cnfStyle w:val="000000010000"/>
              <w:rPr>
                <w:b/>
                <w:i/>
                <w:iCs/>
                <w:sz w:val="20"/>
                <w:szCs w:val="20"/>
              </w:rPr>
            </w:pPr>
          </w:p>
        </w:tc>
        <w:tc>
          <w:tcPr>
            <w:tcW w:w="436" w:type="dxa"/>
            <w:shd w:val="clear" w:color="auto" w:fill="D0CECE" w:themeFill="background2" w:themeFillShade="E6"/>
            <w:noWrap/>
            <w:vAlign w:val="center"/>
          </w:tcPr>
          <w:p w:rsidR="002B3DF4" w:rsidRPr="00242020" w:rsidRDefault="002B3DF4" w:rsidP="002B3DF4">
            <w:pPr>
              <w:ind w:firstLine="0"/>
              <w:jc w:val="center"/>
              <w:cnfStyle w:val="000000010000"/>
              <w:rPr>
                <w:b/>
                <w:i/>
                <w:iCs/>
                <w:sz w:val="20"/>
                <w:szCs w:val="20"/>
              </w:rPr>
            </w:pPr>
          </w:p>
        </w:tc>
        <w:tc>
          <w:tcPr>
            <w:tcW w:w="363" w:type="dxa"/>
            <w:shd w:val="clear" w:color="auto" w:fill="D0CECE" w:themeFill="background2" w:themeFillShade="E6"/>
            <w:vAlign w:val="center"/>
          </w:tcPr>
          <w:p w:rsidR="002B3DF4" w:rsidRPr="00242020" w:rsidRDefault="002B3DF4" w:rsidP="002B3DF4">
            <w:pPr>
              <w:ind w:firstLine="0"/>
              <w:jc w:val="center"/>
              <w:cnfStyle w:val="000000010000"/>
              <w:rPr>
                <w:b/>
                <w:i/>
                <w:iCs/>
                <w:sz w:val="20"/>
                <w:szCs w:val="20"/>
              </w:rPr>
            </w:pPr>
          </w:p>
        </w:tc>
        <w:tc>
          <w:tcPr>
            <w:tcW w:w="434" w:type="dxa"/>
            <w:shd w:val="clear" w:color="auto" w:fill="D0CECE" w:themeFill="background2" w:themeFillShade="E6"/>
            <w:vAlign w:val="center"/>
          </w:tcPr>
          <w:p w:rsidR="002B3DF4" w:rsidRPr="00242020" w:rsidRDefault="002B3DF4" w:rsidP="002B3DF4">
            <w:pPr>
              <w:ind w:firstLine="0"/>
              <w:jc w:val="center"/>
              <w:cnfStyle w:val="000000010000"/>
              <w:rPr>
                <w:b/>
                <w:i/>
                <w:iCs/>
                <w:sz w:val="20"/>
                <w:szCs w:val="20"/>
              </w:rPr>
            </w:pPr>
          </w:p>
        </w:tc>
        <w:tc>
          <w:tcPr>
            <w:tcW w:w="897" w:type="dxa"/>
            <w:shd w:val="clear" w:color="auto" w:fill="D0CECE" w:themeFill="background2" w:themeFillShade="E6"/>
            <w:vAlign w:val="center"/>
            <w:hideMark/>
          </w:tcPr>
          <w:p w:rsidR="002B3DF4" w:rsidRPr="00242020" w:rsidRDefault="002B3DF4" w:rsidP="002B3DF4">
            <w:pPr>
              <w:ind w:firstLine="0"/>
              <w:jc w:val="center"/>
              <w:cnfStyle w:val="000000010000"/>
              <w:rPr>
                <w:sz w:val="20"/>
                <w:szCs w:val="20"/>
              </w:rPr>
            </w:pPr>
            <w:r w:rsidRPr="00242020">
              <w:rPr>
                <w:sz w:val="20"/>
                <w:szCs w:val="20"/>
              </w:rPr>
              <w:t>1475</w:t>
            </w:r>
          </w:p>
        </w:tc>
        <w:tc>
          <w:tcPr>
            <w:tcW w:w="76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592</w:t>
            </w:r>
          </w:p>
        </w:tc>
        <w:tc>
          <w:tcPr>
            <w:tcW w:w="775"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490</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161</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131</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101</w:t>
            </w:r>
          </w:p>
        </w:tc>
      </w:tr>
      <w:tr w:rsidR="004F12E3" w:rsidRPr="00242020" w:rsidTr="00EF2524">
        <w:trPr>
          <w:cnfStyle w:val="000000100000"/>
          <w:trHeight w:hRule="exact" w:val="266"/>
        </w:trPr>
        <w:tc>
          <w:tcPr>
            <w:cnfStyle w:val="001000000000"/>
            <w:tcW w:w="452" w:type="dxa"/>
            <w:shd w:val="clear" w:color="auto" w:fill="FFFFFF" w:themeFill="background1"/>
            <w:vAlign w:val="center"/>
            <w:hideMark/>
          </w:tcPr>
          <w:p w:rsidR="002B3DF4" w:rsidRPr="00242020" w:rsidRDefault="002B3DF4" w:rsidP="00EF2524">
            <w:pPr>
              <w:ind w:left="-62" w:right="-49" w:firstLine="0"/>
              <w:jc w:val="center"/>
              <w:rPr>
                <w:sz w:val="20"/>
                <w:szCs w:val="20"/>
              </w:rPr>
            </w:pPr>
            <w:r w:rsidRPr="00242020">
              <w:rPr>
                <w:sz w:val="20"/>
                <w:szCs w:val="20"/>
              </w:rPr>
              <w:t>15</w:t>
            </w:r>
          </w:p>
        </w:tc>
        <w:tc>
          <w:tcPr>
            <w:tcW w:w="2525" w:type="dxa"/>
            <w:shd w:val="clear" w:color="auto" w:fill="FFFFFF" w:themeFill="background1"/>
            <w:vAlign w:val="center"/>
            <w:hideMark/>
          </w:tcPr>
          <w:p w:rsidR="002B3DF4" w:rsidRPr="00242020" w:rsidRDefault="002B3DF4" w:rsidP="002B3DF4">
            <w:pPr>
              <w:ind w:firstLine="0"/>
              <w:cnfStyle w:val="000000100000"/>
              <w:rPr>
                <w:sz w:val="20"/>
                <w:szCs w:val="20"/>
              </w:rPr>
            </w:pPr>
            <w:r w:rsidRPr="00242020">
              <w:rPr>
                <w:sz w:val="20"/>
                <w:szCs w:val="20"/>
              </w:rPr>
              <w:t>Полтавська область</w:t>
            </w:r>
          </w:p>
        </w:tc>
        <w:tc>
          <w:tcPr>
            <w:tcW w:w="897" w:type="dxa"/>
            <w:shd w:val="clear" w:color="auto" w:fill="FFFFFF" w:themeFill="background1"/>
            <w:vAlign w:val="center"/>
            <w:hideMark/>
          </w:tcPr>
          <w:p w:rsidR="002B3DF4" w:rsidRPr="00242020" w:rsidRDefault="002B3DF4" w:rsidP="002B3DF4">
            <w:pPr>
              <w:ind w:firstLine="0"/>
              <w:jc w:val="center"/>
              <w:cnfStyle w:val="000000100000"/>
              <w:rPr>
                <w:sz w:val="20"/>
                <w:szCs w:val="20"/>
              </w:rPr>
            </w:pPr>
            <w:r w:rsidRPr="00242020">
              <w:rPr>
                <w:sz w:val="20"/>
                <w:szCs w:val="20"/>
              </w:rPr>
              <w:t>929</w:t>
            </w:r>
          </w:p>
        </w:tc>
        <w:tc>
          <w:tcPr>
            <w:tcW w:w="76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480</w:t>
            </w:r>
          </w:p>
        </w:tc>
        <w:tc>
          <w:tcPr>
            <w:tcW w:w="81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310</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64</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13</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62</w:t>
            </w:r>
          </w:p>
        </w:tc>
        <w:tc>
          <w:tcPr>
            <w:tcW w:w="925" w:type="dxa"/>
            <w:shd w:val="clear" w:color="auto" w:fill="FFFFFF" w:themeFill="background1"/>
            <w:noWrap/>
            <w:vAlign w:val="center"/>
            <w:hideMark/>
          </w:tcPr>
          <w:p w:rsidR="002B3DF4" w:rsidRPr="00242020" w:rsidRDefault="002B3DF4" w:rsidP="002B3DF4">
            <w:pPr>
              <w:ind w:firstLine="0"/>
              <w:jc w:val="center"/>
              <w:cnfStyle w:val="000000100000"/>
              <w:rPr>
                <w:b/>
                <w:i/>
                <w:iCs/>
                <w:sz w:val="20"/>
                <w:szCs w:val="20"/>
              </w:rPr>
            </w:pPr>
            <w:r w:rsidRPr="00242020">
              <w:rPr>
                <w:b/>
                <w:bCs/>
                <w:i/>
                <w:iCs/>
                <w:sz w:val="20"/>
                <w:szCs w:val="20"/>
              </w:rPr>
              <w:t>6</w:t>
            </w:r>
          </w:p>
        </w:tc>
        <w:tc>
          <w:tcPr>
            <w:tcW w:w="516" w:type="dxa"/>
            <w:shd w:val="clear" w:color="auto" w:fill="FFFFFF" w:themeFill="background1"/>
            <w:noWrap/>
            <w:vAlign w:val="center"/>
            <w:hideMark/>
          </w:tcPr>
          <w:p w:rsidR="002B3DF4" w:rsidRPr="00242020" w:rsidRDefault="002B3DF4" w:rsidP="002B3DF4">
            <w:pPr>
              <w:ind w:firstLine="0"/>
              <w:jc w:val="center"/>
              <w:cnfStyle w:val="000000100000"/>
              <w:rPr>
                <w:b/>
                <w:i/>
                <w:iCs/>
                <w:sz w:val="20"/>
                <w:szCs w:val="20"/>
              </w:rPr>
            </w:pPr>
            <w:r w:rsidRPr="00242020">
              <w:rPr>
                <w:b/>
                <w:bCs/>
                <w:i/>
                <w:iCs/>
                <w:sz w:val="20"/>
                <w:szCs w:val="20"/>
              </w:rPr>
              <w:t>6</w:t>
            </w:r>
          </w:p>
        </w:tc>
        <w:tc>
          <w:tcPr>
            <w:tcW w:w="565" w:type="dxa"/>
            <w:shd w:val="clear" w:color="auto" w:fill="FFFFFF" w:themeFill="background1"/>
            <w:vAlign w:val="center"/>
          </w:tcPr>
          <w:p w:rsidR="002B3DF4" w:rsidRPr="00242020" w:rsidRDefault="002B3DF4" w:rsidP="002B3DF4">
            <w:pPr>
              <w:ind w:firstLine="0"/>
              <w:jc w:val="center"/>
              <w:cnfStyle w:val="000000100000"/>
              <w:rPr>
                <w:b/>
                <w:i/>
                <w:iCs/>
                <w:sz w:val="20"/>
                <w:szCs w:val="20"/>
              </w:rPr>
            </w:pPr>
          </w:p>
        </w:tc>
        <w:tc>
          <w:tcPr>
            <w:tcW w:w="436" w:type="dxa"/>
            <w:shd w:val="clear" w:color="auto" w:fill="FFFFFF" w:themeFill="background1"/>
            <w:noWrap/>
            <w:vAlign w:val="center"/>
          </w:tcPr>
          <w:p w:rsidR="002B3DF4" w:rsidRPr="00242020" w:rsidRDefault="002B3DF4" w:rsidP="002B3DF4">
            <w:pPr>
              <w:ind w:firstLine="0"/>
              <w:jc w:val="center"/>
              <w:cnfStyle w:val="000000100000"/>
              <w:rPr>
                <w:b/>
                <w:i/>
                <w:iCs/>
                <w:sz w:val="20"/>
                <w:szCs w:val="20"/>
              </w:rPr>
            </w:pPr>
          </w:p>
        </w:tc>
        <w:tc>
          <w:tcPr>
            <w:tcW w:w="363" w:type="dxa"/>
            <w:shd w:val="clear" w:color="auto" w:fill="FFFFFF" w:themeFill="background1"/>
            <w:vAlign w:val="center"/>
          </w:tcPr>
          <w:p w:rsidR="002B3DF4" w:rsidRPr="00242020" w:rsidRDefault="002B3DF4" w:rsidP="002B3DF4">
            <w:pPr>
              <w:ind w:firstLine="0"/>
              <w:jc w:val="center"/>
              <w:cnfStyle w:val="000000100000"/>
              <w:rPr>
                <w:b/>
                <w:i/>
                <w:iCs/>
                <w:sz w:val="20"/>
                <w:szCs w:val="20"/>
              </w:rPr>
            </w:pPr>
          </w:p>
        </w:tc>
        <w:tc>
          <w:tcPr>
            <w:tcW w:w="434" w:type="dxa"/>
            <w:shd w:val="clear" w:color="auto" w:fill="FFFFFF" w:themeFill="background1"/>
            <w:vAlign w:val="center"/>
          </w:tcPr>
          <w:p w:rsidR="002B3DF4" w:rsidRPr="00242020" w:rsidRDefault="002B3DF4" w:rsidP="002B3DF4">
            <w:pPr>
              <w:ind w:firstLine="0"/>
              <w:jc w:val="center"/>
              <w:cnfStyle w:val="000000100000"/>
              <w:rPr>
                <w:b/>
                <w:i/>
                <w:iCs/>
                <w:sz w:val="20"/>
                <w:szCs w:val="20"/>
              </w:rPr>
            </w:pPr>
          </w:p>
        </w:tc>
        <w:tc>
          <w:tcPr>
            <w:tcW w:w="897" w:type="dxa"/>
            <w:shd w:val="clear" w:color="auto" w:fill="FFFFFF" w:themeFill="background1"/>
            <w:vAlign w:val="center"/>
            <w:hideMark/>
          </w:tcPr>
          <w:p w:rsidR="002B3DF4" w:rsidRPr="00242020" w:rsidRDefault="002B3DF4" w:rsidP="002B3DF4">
            <w:pPr>
              <w:ind w:firstLine="0"/>
              <w:jc w:val="center"/>
              <w:cnfStyle w:val="000000100000"/>
              <w:rPr>
                <w:sz w:val="20"/>
                <w:szCs w:val="20"/>
              </w:rPr>
            </w:pPr>
            <w:r w:rsidRPr="00242020">
              <w:rPr>
                <w:sz w:val="20"/>
                <w:szCs w:val="20"/>
              </w:rPr>
              <w:t>935</w:t>
            </w:r>
          </w:p>
        </w:tc>
        <w:tc>
          <w:tcPr>
            <w:tcW w:w="76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486</w:t>
            </w:r>
          </w:p>
        </w:tc>
        <w:tc>
          <w:tcPr>
            <w:tcW w:w="775"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310</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64</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13</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62</w:t>
            </w:r>
          </w:p>
        </w:tc>
      </w:tr>
      <w:tr w:rsidR="004F12E3" w:rsidRPr="00242020" w:rsidTr="00EF2524">
        <w:trPr>
          <w:cnfStyle w:val="000000010000"/>
          <w:trHeight w:hRule="exact" w:val="266"/>
        </w:trPr>
        <w:tc>
          <w:tcPr>
            <w:cnfStyle w:val="001000000000"/>
            <w:tcW w:w="452" w:type="dxa"/>
            <w:shd w:val="clear" w:color="auto" w:fill="D0CECE" w:themeFill="background2" w:themeFillShade="E6"/>
            <w:vAlign w:val="center"/>
            <w:hideMark/>
          </w:tcPr>
          <w:p w:rsidR="002B3DF4" w:rsidRPr="00242020" w:rsidRDefault="002B3DF4" w:rsidP="00EF2524">
            <w:pPr>
              <w:ind w:left="-62" w:right="-49" w:firstLine="0"/>
              <w:jc w:val="center"/>
              <w:rPr>
                <w:sz w:val="20"/>
                <w:szCs w:val="20"/>
              </w:rPr>
            </w:pPr>
            <w:r w:rsidRPr="00242020">
              <w:rPr>
                <w:sz w:val="20"/>
                <w:szCs w:val="20"/>
              </w:rPr>
              <w:t>16</w:t>
            </w:r>
          </w:p>
        </w:tc>
        <w:tc>
          <w:tcPr>
            <w:tcW w:w="2525" w:type="dxa"/>
            <w:shd w:val="clear" w:color="auto" w:fill="D0CECE" w:themeFill="background2" w:themeFillShade="E6"/>
            <w:vAlign w:val="center"/>
            <w:hideMark/>
          </w:tcPr>
          <w:p w:rsidR="002B3DF4" w:rsidRPr="00242020" w:rsidRDefault="002B3DF4" w:rsidP="002B3DF4">
            <w:pPr>
              <w:ind w:firstLine="0"/>
              <w:cnfStyle w:val="000000010000"/>
              <w:rPr>
                <w:sz w:val="20"/>
                <w:szCs w:val="20"/>
              </w:rPr>
            </w:pPr>
            <w:r w:rsidRPr="00242020">
              <w:rPr>
                <w:sz w:val="20"/>
                <w:szCs w:val="20"/>
              </w:rPr>
              <w:t>Рівненська область</w:t>
            </w:r>
          </w:p>
        </w:tc>
        <w:tc>
          <w:tcPr>
            <w:tcW w:w="897" w:type="dxa"/>
            <w:shd w:val="clear" w:color="auto" w:fill="D0CECE" w:themeFill="background2" w:themeFillShade="E6"/>
            <w:vAlign w:val="center"/>
            <w:hideMark/>
          </w:tcPr>
          <w:p w:rsidR="002B3DF4" w:rsidRPr="00242020" w:rsidRDefault="002B3DF4" w:rsidP="002B3DF4">
            <w:pPr>
              <w:ind w:firstLine="0"/>
              <w:jc w:val="center"/>
              <w:cnfStyle w:val="000000010000"/>
              <w:rPr>
                <w:sz w:val="20"/>
                <w:szCs w:val="20"/>
              </w:rPr>
            </w:pPr>
            <w:r w:rsidRPr="00242020">
              <w:rPr>
                <w:sz w:val="20"/>
                <w:szCs w:val="20"/>
              </w:rPr>
              <w:t>880</w:t>
            </w:r>
          </w:p>
        </w:tc>
        <w:tc>
          <w:tcPr>
            <w:tcW w:w="76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429</w:t>
            </w:r>
          </w:p>
        </w:tc>
        <w:tc>
          <w:tcPr>
            <w:tcW w:w="81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229</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151</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26</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45</w:t>
            </w:r>
          </w:p>
        </w:tc>
        <w:tc>
          <w:tcPr>
            <w:tcW w:w="925" w:type="dxa"/>
            <w:shd w:val="clear" w:color="auto" w:fill="D0CECE" w:themeFill="background2" w:themeFillShade="E6"/>
            <w:noWrap/>
            <w:vAlign w:val="center"/>
            <w:hideMark/>
          </w:tcPr>
          <w:p w:rsidR="002B3DF4" w:rsidRPr="00242020" w:rsidRDefault="00935AC5" w:rsidP="002B3DF4">
            <w:pPr>
              <w:ind w:firstLine="0"/>
              <w:jc w:val="center"/>
              <w:cnfStyle w:val="000000010000"/>
              <w:rPr>
                <w:b/>
                <w:i/>
                <w:iCs/>
                <w:sz w:val="20"/>
                <w:szCs w:val="20"/>
              </w:rPr>
            </w:pPr>
            <w:r>
              <w:rPr>
                <w:b/>
                <w:bCs/>
                <w:i/>
                <w:iCs/>
                <w:sz w:val="20"/>
                <w:szCs w:val="20"/>
              </w:rPr>
              <w:t>6</w:t>
            </w:r>
          </w:p>
        </w:tc>
        <w:tc>
          <w:tcPr>
            <w:tcW w:w="516" w:type="dxa"/>
            <w:shd w:val="clear" w:color="auto" w:fill="D0CECE" w:themeFill="background2" w:themeFillShade="E6"/>
            <w:noWrap/>
            <w:vAlign w:val="center"/>
            <w:hideMark/>
          </w:tcPr>
          <w:p w:rsidR="002B3DF4" w:rsidRPr="00242020" w:rsidRDefault="00935AC5" w:rsidP="002B3DF4">
            <w:pPr>
              <w:ind w:firstLine="0"/>
              <w:jc w:val="center"/>
              <w:cnfStyle w:val="000000010000"/>
              <w:rPr>
                <w:b/>
                <w:i/>
                <w:iCs/>
                <w:sz w:val="20"/>
                <w:szCs w:val="20"/>
              </w:rPr>
            </w:pPr>
            <w:r>
              <w:rPr>
                <w:b/>
                <w:bCs/>
                <w:i/>
                <w:iCs/>
                <w:sz w:val="20"/>
                <w:szCs w:val="20"/>
              </w:rPr>
              <w:t>6</w:t>
            </w:r>
          </w:p>
        </w:tc>
        <w:tc>
          <w:tcPr>
            <w:tcW w:w="565" w:type="dxa"/>
            <w:shd w:val="clear" w:color="auto" w:fill="D0CECE" w:themeFill="background2" w:themeFillShade="E6"/>
            <w:vAlign w:val="center"/>
          </w:tcPr>
          <w:p w:rsidR="002B3DF4" w:rsidRPr="00242020" w:rsidRDefault="002B3DF4" w:rsidP="002B3DF4">
            <w:pPr>
              <w:ind w:firstLine="0"/>
              <w:jc w:val="center"/>
              <w:cnfStyle w:val="000000010000"/>
              <w:rPr>
                <w:b/>
                <w:i/>
                <w:iCs/>
                <w:sz w:val="20"/>
                <w:szCs w:val="20"/>
              </w:rPr>
            </w:pPr>
          </w:p>
        </w:tc>
        <w:tc>
          <w:tcPr>
            <w:tcW w:w="436" w:type="dxa"/>
            <w:shd w:val="clear" w:color="auto" w:fill="D0CECE" w:themeFill="background2" w:themeFillShade="E6"/>
            <w:noWrap/>
            <w:vAlign w:val="center"/>
          </w:tcPr>
          <w:p w:rsidR="002B3DF4" w:rsidRPr="00242020" w:rsidRDefault="002B3DF4" w:rsidP="002B3DF4">
            <w:pPr>
              <w:ind w:firstLine="0"/>
              <w:jc w:val="center"/>
              <w:cnfStyle w:val="000000010000"/>
              <w:rPr>
                <w:b/>
                <w:i/>
                <w:iCs/>
                <w:sz w:val="20"/>
                <w:szCs w:val="20"/>
              </w:rPr>
            </w:pPr>
          </w:p>
        </w:tc>
        <w:tc>
          <w:tcPr>
            <w:tcW w:w="363" w:type="dxa"/>
            <w:shd w:val="clear" w:color="auto" w:fill="D0CECE" w:themeFill="background2" w:themeFillShade="E6"/>
            <w:vAlign w:val="center"/>
          </w:tcPr>
          <w:p w:rsidR="002B3DF4" w:rsidRPr="00242020" w:rsidRDefault="002B3DF4" w:rsidP="002B3DF4">
            <w:pPr>
              <w:ind w:firstLine="0"/>
              <w:jc w:val="center"/>
              <w:cnfStyle w:val="000000010000"/>
              <w:rPr>
                <w:b/>
                <w:i/>
                <w:iCs/>
                <w:sz w:val="20"/>
                <w:szCs w:val="20"/>
              </w:rPr>
            </w:pPr>
          </w:p>
        </w:tc>
        <w:tc>
          <w:tcPr>
            <w:tcW w:w="434" w:type="dxa"/>
            <w:shd w:val="clear" w:color="auto" w:fill="D0CECE" w:themeFill="background2" w:themeFillShade="E6"/>
            <w:vAlign w:val="center"/>
          </w:tcPr>
          <w:p w:rsidR="002B3DF4" w:rsidRPr="00242020" w:rsidRDefault="002B3DF4" w:rsidP="002B3DF4">
            <w:pPr>
              <w:ind w:firstLine="0"/>
              <w:jc w:val="center"/>
              <w:cnfStyle w:val="000000010000"/>
              <w:rPr>
                <w:b/>
                <w:i/>
                <w:iCs/>
                <w:sz w:val="20"/>
                <w:szCs w:val="20"/>
              </w:rPr>
            </w:pPr>
          </w:p>
        </w:tc>
        <w:tc>
          <w:tcPr>
            <w:tcW w:w="897" w:type="dxa"/>
            <w:shd w:val="clear" w:color="auto" w:fill="D0CECE" w:themeFill="background2" w:themeFillShade="E6"/>
            <w:vAlign w:val="center"/>
            <w:hideMark/>
          </w:tcPr>
          <w:p w:rsidR="002B3DF4" w:rsidRPr="00242020" w:rsidRDefault="002B3DF4" w:rsidP="00935AC5">
            <w:pPr>
              <w:ind w:firstLine="0"/>
              <w:jc w:val="center"/>
              <w:cnfStyle w:val="000000010000"/>
              <w:rPr>
                <w:sz w:val="20"/>
                <w:szCs w:val="20"/>
              </w:rPr>
            </w:pPr>
            <w:r w:rsidRPr="00242020">
              <w:rPr>
                <w:sz w:val="20"/>
                <w:szCs w:val="20"/>
              </w:rPr>
              <w:t>88</w:t>
            </w:r>
            <w:r w:rsidR="00935AC5">
              <w:rPr>
                <w:sz w:val="20"/>
                <w:szCs w:val="20"/>
              </w:rPr>
              <w:t>6</w:t>
            </w:r>
          </w:p>
        </w:tc>
        <w:tc>
          <w:tcPr>
            <w:tcW w:w="766" w:type="dxa"/>
            <w:shd w:val="clear" w:color="auto" w:fill="D0CECE" w:themeFill="background2" w:themeFillShade="E6"/>
            <w:noWrap/>
            <w:vAlign w:val="center"/>
            <w:hideMark/>
          </w:tcPr>
          <w:p w:rsidR="002B3DF4" w:rsidRPr="00242020" w:rsidRDefault="002B3DF4" w:rsidP="00935AC5">
            <w:pPr>
              <w:ind w:firstLine="0"/>
              <w:jc w:val="center"/>
              <w:cnfStyle w:val="000000010000"/>
              <w:rPr>
                <w:sz w:val="20"/>
                <w:szCs w:val="20"/>
              </w:rPr>
            </w:pPr>
            <w:r w:rsidRPr="00242020">
              <w:rPr>
                <w:sz w:val="20"/>
                <w:szCs w:val="20"/>
              </w:rPr>
              <w:t>43</w:t>
            </w:r>
            <w:r w:rsidR="00935AC5">
              <w:rPr>
                <w:sz w:val="20"/>
                <w:szCs w:val="20"/>
              </w:rPr>
              <w:t>5</w:t>
            </w:r>
          </w:p>
        </w:tc>
        <w:tc>
          <w:tcPr>
            <w:tcW w:w="775"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229</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151</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26</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45</w:t>
            </w:r>
          </w:p>
        </w:tc>
      </w:tr>
      <w:tr w:rsidR="004F12E3" w:rsidRPr="00242020" w:rsidTr="00EF2524">
        <w:trPr>
          <w:cnfStyle w:val="000000100000"/>
          <w:trHeight w:hRule="exact" w:val="266"/>
        </w:trPr>
        <w:tc>
          <w:tcPr>
            <w:cnfStyle w:val="001000000000"/>
            <w:tcW w:w="452" w:type="dxa"/>
            <w:shd w:val="clear" w:color="auto" w:fill="FFFFFF" w:themeFill="background1"/>
            <w:vAlign w:val="center"/>
            <w:hideMark/>
          </w:tcPr>
          <w:p w:rsidR="002B3DF4" w:rsidRPr="00242020" w:rsidRDefault="002B3DF4" w:rsidP="00EF2524">
            <w:pPr>
              <w:ind w:left="-62" w:right="-49" w:firstLine="0"/>
              <w:jc w:val="center"/>
              <w:rPr>
                <w:sz w:val="20"/>
                <w:szCs w:val="20"/>
              </w:rPr>
            </w:pPr>
            <w:r w:rsidRPr="00242020">
              <w:rPr>
                <w:sz w:val="20"/>
                <w:szCs w:val="20"/>
              </w:rPr>
              <w:t>17</w:t>
            </w:r>
          </w:p>
        </w:tc>
        <w:tc>
          <w:tcPr>
            <w:tcW w:w="2525" w:type="dxa"/>
            <w:shd w:val="clear" w:color="auto" w:fill="FFFFFF" w:themeFill="background1"/>
            <w:vAlign w:val="center"/>
            <w:hideMark/>
          </w:tcPr>
          <w:p w:rsidR="002B3DF4" w:rsidRPr="00242020" w:rsidRDefault="002B3DF4" w:rsidP="002B3DF4">
            <w:pPr>
              <w:ind w:firstLine="0"/>
              <w:cnfStyle w:val="000000100000"/>
              <w:rPr>
                <w:sz w:val="20"/>
                <w:szCs w:val="20"/>
              </w:rPr>
            </w:pPr>
            <w:r w:rsidRPr="00242020">
              <w:rPr>
                <w:sz w:val="20"/>
                <w:szCs w:val="20"/>
              </w:rPr>
              <w:t>Сумська область</w:t>
            </w:r>
          </w:p>
        </w:tc>
        <w:tc>
          <w:tcPr>
            <w:tcW w:w="897" w:type="dxa"/>
            <w:shd w:val="clear" w:color="auto" w:fill="FFFFFF" w:themeFill="background1"/>
            <w:vAlign w:val="center"/>
            <w:hideMark/>
          </w:tcPr>
          <w:p w:rsidR="002B3DF4" w:rsidRPr="00242020" w:rsidRDefault="002B3DF4" w:rsidP="002B3DF4">
            <w:pPr>
              <w:ind w:firstLine="0"/>
              <w:jc w:val="center"/>
              <w:cnfStyle w:val="000000100000"/>
              <w:rPr>
                <w:sz w:val="20"/>
                <w:szCs w:val="20"/>
              </w:rPr>
            </w:pPr>
            <w:r w:rsidRPr="00242020">
              <w:rPr>
                <w:sz w:val="20"/>
                <w:szCs w:val="20"/>
              </w:rPr>
              <w:t>868</w:t>
            </w:r>
          </w:p>
        </w:tc>
        <w:tc>
          <w:tcPr>
            <w:tcW w:w="76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421</w:t>
            </w:r>
          </w:p>
        </w:tc>
        <w:tc>
          <w:tcPr>
            <w:tcW w:w="81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297</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100</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18</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32</w:t>
            </w:r>
          </w:p>
        </w:tc>
        <w:tc>
          <w:tcPr>
            <w:tcW w:w="925" w:type="dxa"/>
            <w:shd w:val="clear" w:color="auto" w:fill="FFFFFF" w:themeFill="background1"/>
            <w:noWrap/>
            <w:vAlign w:val="center"/>
            <w:hideMark/>
          </w:tcPr>
          <w:p w:rsidR="002B3DF4" w:rsidRPr="00242020" w:rsidRDefault="002B3DF4" w:rsidP="002B3DF4">
            <w:pPr>
              <w:ind w:firstLine="0"/>
              <w:jc w:val="center"/>
              <w:cnfStyle w:val="000000100000"/>
              <w:rPr>
                <w:b/>
                <w:i/>
                <w:iCs/>
                <w:sz w:val="20"/>
                <w:szCs w:val="20"/>
              </w:rPr>
            </w:pPr>
            <w:r w:rsidRPr="00242020">
              <w:rPr>
                <w:b/>
                <w:bCs/>
                <w:i/>
                <w:iCs/>
                <w:sz w:val="20"/>
                <w:szCs w:val="20"/>
              </w:rPr>
              <w:t>12</w:t>
            </w:r>
          </w:p>
        </w:tc>
        <w:tc>
          <w:tcPr>
            <w:tcW w:w="516" w:type="dxa"/>
            <w:shd w:val="clear" w:color="auto" w:fill="FFFFFF" w:themeFill="background1"/>
            <w:noWrap/>
            <w:vAlign w:val="center"/>
            <w:hideMark/>
          </w:tcPr>
          <w:p w:rsidR="002B3DF4" w:rsidRPr="00242020" w:rsidRDefault="002B3DF4" w:rsidP="002B3DF4">
            <w:pPr>
              <w:ind w:firstLine="0"/>
              <w:jc w:val="center"/>
              <w:cnfStyle w:val="000000100000"/>
              <w:rPr>
                <w:b/>
                <w:i/>
                <w:iCs/>
                <w:sz w:val="20"/>
                <w:szCs w:val="20"/>
              </w:rPr>
            </w:pPr>
            <w:r w:rsidRPr="00242020">
              <w:rPr>
                <w:b/>
                <w:bCs/>
                <w:i/>
                <w:iCs/>
                <w:sz w:val="20"/>
                <w:szCs w:val="20"/>
              </w:rPr>
              <w:t>11</w:t>
            </w:r>
          </w:p>
        </w:tc>
        <w:tc>
          <w:tcPr>
            <w:tcW w:w="565" w:type="dxa"/>
            <w:shd w:val="clear" w:color="auto" w:fill="FFFFFF" w:themeFill="background1"/>
            <w:vAlign w:val="center"/>
          </w:tcPr>
          <w:p w:rsidR="002B3DF4" w:rsidRPr="00242020" w:rsidRDefault="002B3DF4" w:rsidP="002B3DF4">
            <w:pPr>
              <w:ind w:firstLine="0"/>
              <w:jc w:val="center"/>
              <w:cnfStyle w:val="000000100000"/>
              <w:rPr>
                <w:b/>
                <w:i/>
                <w:iCs/>
                <w:sz w:val="20"/>
                <w:szCs w:val="20"/>
              </w:rPr>
            </w:pPr>
          </w:p>
        </w:tc>
        <w:tc>
          <w:tcPr>
            <w:tcW w:w="436" w:type="dxa"/>
            <w:shd w:val="clear" w:color="auto" w:fill="FFFFFF" w:themeFill="background1"/>
            <w:noWrap/>
            <w:vAlign w:val="center"/>
          </w:tcPr>
          <w:p w:rsidR="002B3DF4" w:rsidRPr="00242020" w:rsidRDefault="002B3DF4" w:rsidP="002B3DF4">
            <w:pPr>
              <w:ind w:firstLine="0"/>
              <w:jc w:val="center"/>
              <w:cnfStyle w:val="000000100000"/>
              <w:rPr>
                <w:b/>
                <w:i/>
                <w:iCs/>
                <w:sz w:val="20"/>
                <w:szCs w:val="20"/>
              </w:rPr>
            </w:pPr>
          </w:p>
        </w:tc>
        <w:tc>
          <w:tcPr>
            <w:tcW w:w="363" w:type="dxa"/>
            <w:shd w:val="clear" w:color="auto" w:fill="FFFFFF" w:themeFill="background1"/>
            <w:vAlign w:val="center"/>
            <w:hideMark/>
          </w:tcPr>
          <w:p w:rsidR="002B3DF4" w:rsidRPr="00242020" w:rsidRDefault="002B3DF4" w:rsidP="002B3DF4">
            <w:pPr>
              <w:ind w:firstLine="0"/>
              <w:jc w:val="center"/>
              <w:cnfStyle w:val="000000100000"/>
              <w:rPr>
                <w:b/>
                <w:i/>
                <w:iCs/>
                <w:sz w:val="20"/>
                <w:szCs w:val="20"/>
              </w:rPr>
            </w:pPr>
            <w:r w:rsidRPr="00242020">
              <w:rPr>
                <w:b/>
                <w:bCs/>
                <w:i/>
                <w:iCs/>
                <w:sz w:val="20"/>
                <w:szCs w:val="20"/>
              </w:rPr>
              <w:t>1</w:t>
            </w:r>
          </w:p>
        </w:tc>
        <w:tc>
          <w:tcPr>
            <w:tcW w:w="434" w:type="dxa"/>
            <w:shd w:val="clear" w:color="auto" w:fill="FFFFFF" w:themeFill="background1"/>
            <w:vAlign w:val="center"/>
          </w:tcPr>
          <w:p w:rsidR="002B3DF4" w:rsidRPr="00242020" w:rsidRDefault="002B3DF4" w:rsidP="002B3DF4">
            <w:pPr>
              <w:ind w:firstLine="0"/>
              <w:jc w:val="center"/>
              <w:cnfStyle w:val="000000100000"/>
              <w:rPr>
                <w:b/>
                <w:i/>
                <w:iCs/>
                <w:sz w:val="20"/>
                <w:szCs w:val="20"/>
              </w:rPr>
            </w:pPr>
          </w:p>
        </w:tc>
        <w:tc>
          <w:tcPr>
            <w:tcW w:w="897" w:type="dxa"/>
            <w:shd w:val="clear" w:color="auto" w:fill="FFFFFF" w:themeFill="background1"/>
            <w:vAlign w:val="center"/>
            <w:hideMark/>
          </w:tcPr>
          <w:p w:rsidR="002B3DF4" w:rsidRPr="00242020" w:rsidRDefault="002B3DF4" w:rsidP="002B3DF4">
            <w:pPr>
              <w:ind w:firstLine="0"/>
              <w:jc w:val="center"/>
              <w:cnfStyle w:val="000000100000"/>
              <w:rPr>
                <w:sz w:val="20"/>
                <w:szCs w:val="20"/>
              </w:rPr>
            </w:pPr>
            <w:r w:rsidRPr="00242020">
              <w:rPr>
                <w:sz w:val="20"/>
                <w:szCs w:val="20"/>
              </w:rPr>
              <w:t>880</w:t>
            </w:r>
          </w:p>
        </w:tc>
        <w:tc>
          <w:tcPr>
            <w:tcW w:w="76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432</w:t>
            </w:r>
          </w:p>
        </w:tc>
        <w:tc>
          <w:tcPr>
            <w:tcW w:w="775"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297</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100</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19</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32</w:t>
            </w:r>
          </w:p>
        </w:tc>
      </w:tr>
      <w:tr w:rsidR="004F12E3" w:rsidRPr="00242020" w:rsidTr="00EF2524">
        <w:trPr>
          <w:cnfStyle w:val="000000010000"/>
          <w:trHeight w:hRule="exact" w:val="266"/>
        </w:trPr>
        <w:tc>
          <w:tcPr>
            <w:cnfStyle w:val="001000000000"/>
            <w:tcW w:w="452" w:type="dxa"/>
            <w:shd w:val="clear" w:color="auto" w:fill="D0CECE" w:themeFill="background2" w:themeFillShade="E6"/>
            <w:vAlign w:val="center"/>
            <w:hideMark/>
          </w:tcPr>
          <w:p w:rsidR="002B3DF4" w:rsidRPr="00242020" w:rsidRDefault="002B3DF4" w:rsidP="00EF2524">
            <w:pPr>
              <w:ind w:left="-62" w:right="-49" w:firstLine="0"/>
              <w:jc w:val="center"/>
              <w:rPr>
                <w:sz w:val="20"/>
                <w:szCs w:val="20"/>
              </w:rPr>
            </w:pPr>
            <w:r w:rsidRPr="00242020">
              <w:rPr>
                <w:sz w:val="20"/>
                <w:szCs w:val="20"/>
              </w:rPr>
              <w:t>18</w:t>
            </w:r>
          </w:p>
        </w:tc>
        <w:tc>
          <w:tcPr>
            <w:tcW w:w="2525" w:type="dxa"/>
            <w:shd w:val="clear" w:color="auto" w:fill="D0CECE" w:themeFill="background2" w:themeFillShade="E6"/>
            <w:vAlign w:val="center"/>
            <w:hideMark/>
          </w:tcPr>
          <w:p w:rsidR="002B3DF4" w:rsidRPr="00242020" w:rsidRDefault="002B3DF4" w:rsidP="002B3DF4">
            <w:pPr>
              <w:ind w:firstLine="0"/>
              <w:cnfStyle w:val="000000010000"/>
              <w:rPr>
                <w:sz w:val="20"/>
                <w:szCs w:val="20"/>
              </w:rPr>
            </w:pPr>
            <w:r w:rsidRPr="00242020">
              <w:rPr>
                <w:sz w:val="20"/>
                <w:szCs w:val="20"/>
              </w:rPr>
              <w:t>Тернопільська область</w:t>
            </w:r>
          </w:p>
        </w:tc>
        <w:tc>
          <w:tcPr>
            <w:tcW w:w="897" w:type="dxa"/>
            <w:shd w:val="clear" w:color="auto" w:fill="D0CECE" w:themeFill="background2" w:themeFillShade="E6"/>
            <w:vAlign w:val="center"/>
            <w:hideMark/>
          </w:tcPr>
          <w:p w:rsidR="002B3DF4" w:rsidRPr="00242020" w:rsidRDefault="002B3DF4" w:rsidP="002B3DF4">
            <w:pPr>
              <w:ind w:firstLine="0"/>
              <w:jc w:val="center"/>
              <w:cnfStyle w:val="000000010000"/>
              <w:rPr>
                <w:sz w:val="20"/>
                <w:szCs w:val="20"/>
              </w:rPr>
            </w:pPr>
            <w:r w:rsidRPr="00242020">
              <w:rPr>
                <w:sz w:val="20"/>
                <w:szCs w:val="20"/>
              </w:rPr>
              <w:t>776</w:t>
            </w:r>
          </w:p>
        </w:tc>
        <w:tc>
          <w:tcPr>
            <w:tcW w:w="76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285</w:t>
            </w:r>
          </w:p>
        </w:tc>
        <w:tc>
          <w:tcPr>
            <w:tcW w:w="81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295</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123</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46</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27</w:t>
            </w:r>
          </w:p>
        </w:tc>
        <w:tc>
          <w:tcPr>
            <w:tcW w:w="925" w:type="dxa"/>
            <w:shd w:val="clear" w:color="auto" w:fill="D0CECE" w:themeFill="background2" w:themeFillShade="E6"/>
            <w:noWrap/>
            <w:vAlign w:val="center"/>
            <w:hideMark/>
          </w:tcPr>
          <w:p w:rsidR="002B3DF4" w:rsidRPr="00242020" w:rsidRDefault="002B3DF4" w:rsidP="002B3DF4">
            <w:pPr>
              <w:ind w:firstLine="0"/>
              <w:jc w:val="center"/>
              <w:cnfStyle w:val="000000010000"/>
              <w:rPr>
                <w:b/>
                <w:i/>
                <w:iCs/>
                <w:sz w:val="20"/>
                <w:szCs w:val="20"/>
              </w:rPr>
            </w:pPr>
            <w:r w:rsidRPr="00242020">
              <w:rPr>
                <w:b/>
                <w:bCs/>
                <w:i/>
                <w:iCs/>
                <w:sz w:val="20"/>
                <w:szCs w:val="20"/>
              </w:rPr>
              <w:t>3</w:t>
            </w:r>
          </w:p>
        </w:tc>
        <w:tc>
          <w:tcPr>
            <w:tcW w:w="516" w:type="dxa"/>
            <w:shd w:val="clear" w:color="auto" w:fill="D0CECE" w:themeFill="background2" w:themeFillShade="E6"/>
            <w:noWrap/>
            <w:vAlign w:val="center"/>
            <w:hideMark/>
          </w:tcPr>
          <w:p w:rsidR="002B3DF4" w:rsidRPr="00242020" w:rsidRDefault="002B3DF4" w:rsidP="002B3DF4">
            <w:pPr>
              <w:ind w:firstLine="0"/>
              <w:jc w:val="center"/>
              <w:cnfStyle w:val="000000010000"/>
              <w:rPr>
                <w:b/>
                <w:i/>
                <w:iCs/>
                <w:sz w:val="20"/>
                <w:szCs w:val="20"/>
              </w:rPr>
            </w:pPr>
            <w:r w:rsidRPr="00242020">
              <w:rPr>
                <w:b/>
                <w:bCs/>
                <w:i/>
                <w:iCs/>
                <w:sz w:val="20"/>
                <w:szCs w:val="20"/>
              </w:rPr>
              <w:t>3</w:t>
            </w:r>
          </w:p>
        </w:tc>
        <w:tc>
          <w:tcPr>
            <w:tcW w:w="565" w:type="dxa"/>
            <w:shd w:val="clear" w:color="auto" w:fill="D0CECE" w:themeFill="background2" w:themeFillShade="E6"/>
            <w:vAlign w:val="center"/>
          </w:tcPr>
          <w:p w:rsidR="002B3DF4" w:rsidRPr="00242020" w:rsidRDefault="002B3DF4" w:rsidP="002B3DF4">
            <w:pPr>
              <w:ind w:firstLine="0"/>
              <w:jc w:val="center"/>
              <w:cnfStyle w:val="000000010000"/>
              <w:rPr>
                <w:b/>
                <w:i/>
                <w:iCs/>
                <w:sz w:val="20"/>
                <w:szCs w:val="20"/>
              </w:rPr>
            </w:pPr>
          </w:p>
        </w:tc>
        <w:tc>
          <w:tcPr>
            <w:tcW w:w="436" w:type="dxa"/>
            <w:shd w:val="clear" w:color="auto" w:fill="D0CECE" w:themeFill="background2" w:themeFillShade="E6"/>
            <w:noWrap/>
            <w:vAlign w:val="center"/>
          </w:tcPr>
          <w:p w:rsidR="002B3DF4" w:rsidRPr="00242020" w:rsidRDefault="002B3DF4" w:rsidP="002B3DF4">
            <w:pPr>
              <w:ind w:firstLine="0"/>
              <w:jc w:val="center"/>
              <w:cnfStyle w:val="000000010000"/>
              <w:rPr>
                <w:b/>
                <w:i/>
                <w:iCs/>
                <w:sz w:val="20"/>
                <w:szCs w:val="20"/>
              </w:rPr>
            </w:pPr>
          </w:p>
        </w:tc>
        <w:tc>
          <w:tcPr>
            <w:tcW w:w="363" w:type="dxa"/>
            <w:shd w:val="clear" w:color="auto" w:fill="D0CECE" w:themeFill="background2" w:themeFillShade="E6"/>
            <w:vAlign w:val="center"/>
          </w:tcPr>
          <w:p w:rsidR="002B3DF4" w:rsidRPr="00242020" w:rsidRDefault="002B3DF4" w:rsidP="002B3DF4">
            <w:pPr>
              <w:ind w:firstLine="0"/>
              <w:jc w:val="center"/>
              <w:cnfStyle w:val="000000010000"/>
              <w:rPr>
                <w:b/>
                <w:i/>
                <w:iCs/>
                <w:sz w:val="20"/>
                <w:szCs w:val="20"/>
              </w:rPr>
            </w:pPr>
          </w:p>
        </w:tc>
        <w:tc>
          <w:tcPr>
            <w:tcW w:w="434" w:type="dxa"/>
            <w:shd w:val="clear" w:color="auto" w:fill="D0CECE" w:themeFill="background2" w:themeFillShade="E6"/>
            <w:vAlign w:val="center"/>
          </w:tcPr>
          <w:p w:rsidR="002B3DF4" w:rsidRPr="00242020" w:rsidRDefault="002B3DF4" w:rsidP="002B3DF4">
            <w:pPr>
              <w:ind w:firstLine="0"/>
              <w:jc w:val="center"/>
              <w:cnfStyle w:val="000000010000"/>
              <w:rPr>
                <w:b/>
                <w:i/>
                <w:iCs/>
                <w:sz w:val="20"/>
                <w:szCs w:val="20"/>
              </w:rPr>
            </w:pPr>
          </w:p>
        </w:tc>
        <w:tc>
          <w:tcPr>
            <w:tcW w:w="897" w:type="dxa"/>
            <w:shd w:val="clear" w:color="auto" w:fill="D0CECE" w:themeFill="background2" w:themeFillShade="E6"/>
            <w:vAlign w:val="center"/>
            <w:hideMark/>
          </w:tcPr>
          <w:p w:rsidR="002B3DF4" w:rsidRPr="00242020" w:rsidRDefault="002B3DF4" w:rsidP="002B3DF4">
            <w:pPr>
              <w:ind w:firstLine="0"/>
              <w:jc w:val="center"/>
              <w:cnfStyle w:val="000000010000"/>
              <w:rPr>
                <w:sz w:val="20"/>
                <w:szCs w:val="20"/>
              </w:rPr>
            </w:pPr>
            <w:r w:rsidRPr="00242020">
              <w:rPr>
                <w:sz w:val="20"/>
                <w:szCs w:val="20"/>
              </w:rPr>
              <w:t>779</w:t>
            </w:r>
          </w:p>
        </w:tc>
        <w:tc>
          <w:tcPr>
            <w:tcW w:w="76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288</w:t>
            </w:r>
          </w:p>
        </w:tc>
        <w:tc>
          <w:tcPr>
            <w:tcW w:w="775"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295</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123</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46</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27</w:t>
            </w:r>
          </w:p>
        </w:tc>
      </w:tr>
      <w:tr w:rsidR="004F12E3" w:rsidRPr="00242020" w:rsidTr="00EF2524">
        <w:trPr>
          <w:cnfStyle w:val="000000100000"/>
          <w:trHeight w:hRule="exact" w:val="266"/>
        </w:trPr>
        <w:tc>
          <w:tcPr>
            <w:cnfStyle w:val="001000000000"/>
            <w:tcW w:w="452" w:type="dxa"/>
            <w:shd w:val="clear" w:color="auto" w:fill="FFFFFF" w:themeFill="background1"/>
            <w:vAlign w:val="center"/>
            <w:hideMark/>
          </w:tcPr>
          <w:p w:rsidR="002B3DF4" w:rsidRPr="00242020" w:rsidRDefault="002B3DF4" w:rsidP="00EF2524">
            <w:pPr>
              <w:ind w:left="-62" w:right="-49" w:firstLine="0"/>
              <w:jc w:val="center"/>
              <w:rPr>
                <w:sz w:val="20"/>
                <w:szCs w:val="20"/>
              </w:rPr>
            </w:pPr>
            <w:r w:rsidRPr="00242020">
              <w:rPr>
                <w:sz w:val="20"/>
                <w:szCs w:val="20"/>
              </w:rPr>
              <w:t>19</w:t>
            </w:r>
          </w:p>
        </w:tc>
        <w:tc>
          <w:tcPr>
            <w:tcW w:w="2525" w:type="dxa"/>
            <w:shd w:val="clear" w:color="auto" w:fill="FFFFFF" w:themeFill="background1"/>
            <w:vAlign w:val="center"/>
            <w:hideMark/>
          </w:tcPr>
          <w:p w:rsidR="002B3DF4" w:rsidRPr="00242020" w:rsidRDefault="002B3DF4" w:rsidP="002B3DF4">
            <w:pPr>
              <w:ind w:firstLine="0"/>
              <w:cnfStyle w:val="000000100000"/>
              <w:rPr>
                <w:sz w:val="20"/>
                <w:szCs w:val="20"/>
              </w:rPr>
            </w:pPr>
            <w:r w:rsidRPr="00242020">
              <w:rPr>
                <w:sz w:val="20"/>
                <w:szCs w:val="20"/>
              </w:rPr>
              <w:t>Харківська область</w:t>
            </w:r>
          </w:p>
        </w:tc>
        <w:tc>
          <w:tcPr>
            <w:tcW w:w="897" w:type="dxa"/>
            <w:shd w:val="clear" w:color="auto" w:fill="FFFFFF" w:themeFill="background1"/>
            <w:vAlign w:val="center"/>
            <w:hideMark/>
          </w:tcPr>
          <w:p w:rsidR="002B3DF4" w:rsidRPr="00242020" w:rsidRDefault="002B3DF4" w:rsidP="002B3DF4">
            <w:pPr>
              <w:ind w:firstLine="0"/>
              <w:jc w:val="center"/>
              <w:cnfStyle w:val="000000100000"/>
              <w:rPr>
                <w:sz w:val="20"/>
                <w:szCs w:val="20"/>
              </w:rPr>
            </w:pPr>
            <w:r w:rsidRPr="00242020">
              <w:rPr>
                <w:sz w:val="20"/>
                <w:szCs w:val="20"/>
              </w:rPr>
              <w:t>1635</w:t>
            </w:r>
          </w:p>
        </w:tc>
        <w:tc>
          <w:tcPr>
            <w:tcW w:w="76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732</w:t>
            </w:r>
          </w:p>
        </w:tc>
        <w:tc>
          <w:tcPr>
            <w:tcW w:w="81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559</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243</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30</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71</w:t>
            </w:r>
          </w:p>
        </w:tc>
        <w:tc>
          <w:tcPr>
            <w:tcW w:w="925" w:type="dxa"/>
            <w:shd w:val="clear" w:color="auto" w:fill="FFFFFF" w:themeFill="background1"/>
            <w:noWrap/>
            <w:vAlign w:val="center"/>
            <w:hideMark/>
          </w:tcPr>
          <w:p w:rsidR="002B3DF4" w:rsidRPr="00242020" w:rsidRDefault="002B3DF4" w:rsidP="002B3DF4">
            <w:pPr>
              <w:ind w:firstLine="0"/>
              <w:jc w:val="center"/>
              <w:cnfStyle w:val="000000100000"/>
              <w:rPr>
                <w:b/>
                <w:i/>
                <w:iCs/>
                <w:sz w:val="20"/>
                <w:szCs w:val="20"/>
              </w:rPr>
            </w:pPr>
            <w:r w:rsidRPr="00242020">
              <w:rPr>
                <w:b/>
                <w:bCs/>
                <w:i/>
                <w:iCs/>
                <w:sz w:val="20"/>
                <w:szCs w:val="20"/>
              </w:rPr>
              <w:t>5</w:t>
            </w:r>
          </w:p>
        </w:tc>
        <w:tc>
          <w:tcPr>
            <w:tcW w:w="516" w:type="dxa"/>
            <w:shd w:val="clear" w:color="auto" w:fill="FFFFFF" w:themeFill="background1"/>
            <w:noWrap/>
            <w:vAlign w:val="center"/>
            <w:hideMark/>
          </w:tcPr>
          <w:p w:rsidR="002B3DF4" w:rsidRPr="00242020" w:rsidRDefault="002B3DF4" w:rsidP="002B3DF4">
            <w:pPr>
              <w:ind w:firstLine="0"/>
              <w:jc w:val="center"/>
              <w:cnfStyle w:val="000000100000"/>
              <w:rPr>
                <w:b/>
                <w:i/>
                <w:iCs/>
                <w:sz w:val="20"/>
                <w:szCs w:val="20"/>
              </w:rPr>
            </w:pPr>
            <w:r w:rsidRPr="00242020">
              <w:rPr>
                <w:b/>
                <w:bCs/>
                <w:i/>
                <w:iCs/>
                <w:sz w:val="20"/>
                <w:szCs w:val="20"/>
              </w:rPr>
              <w:t>5</w:t>
            </w:r>
          </w:p>
        </w:tc>
        <w:tc>
          <w:tcPr>
            <w:tcW w:w="565" w:type="dxa"/>
            <w:shd w:val="clear" w:color="auto" w:fill="FFFFFF" w:themeFill="background1"/>
            <w:vAlign w:val="center"/>
          </w:tcPr>
          <w:p w:rsidR="002B3DF4" w:rsidRPr="00242020" w:rsidRDefault="002B3DF4" w:rsidP="002B3DF4">
            <w:pPr>
              <w:ind w:firstLine="0"/>
              <w:jc w:val="center"/>
              <w:cnfStyle w:val="000000100000"/>
              <w:rPr>
                <w:b/>
                <w:i/>
                <w:iCs/>
                <w:sz w:val="20"/>
                <w:szCs w:val="20"/>
              </w:rPr>
            </w:pPr>
          </w:p>
        </w:tc>
        <w:tc>
          <w:tcPr>
            <w:tcW w:w="436" w:type="dxa"/>
            <w:shd w:val="clear" w:color="auto" w:fill="FFFFFF" w:themeFill="background1"/>
            <w:noWrap/>
            <w:vAlign w:val="center"/>
          </w:tcPr>
          <w:p w:rsidR="002B3DF4" w:rsidRPr="00242020" w:rsidRDefault="002B3DF4" w:rsidP="002B3DF4">
            <w:pPr>
              <w:ind w:firstLine="0"/>
              <w:jc w:val="center"/>
              <w:cnfStyle w:val="000000100000"/>
              <w:rPr>
                <w:b/>
                <w:i/>
                <w:iCs/>
                <w:sz w:val="20"/>
                <w:szCs w:val="20"/>
              </w:rPr>
            </w:pPr>
          </w:p>
        </w:tc>
        <w:tc>
          <w:tcPr>
            <w:tcW w:w="363" w:type="dxa"/>
            <w:shd w:val="clear" w:color="auto" w:fill="FFFFFF" w:themeFill="background1"/>
            <w:vAlign w:val="center"/>
          </w:tcPr>
          <w:p w:rsidR="002B3DF4" w:rsidRPr="00242020" w:rsidRDefault="002B3DF4" w:rsidP="002B3DF4">
            <w:pPr>
              <w:ind w:firstLine="0"/>
              <w:jc w:val="center"/>
              <w:cnfStyle w:val="000000100000"/>
              <w:rPr>
                <w:b/>
                <w:i/>
                <w:iCs/>
                <w:sz w:val="20"/>
                <w:szCs w:val="20"/>
              </w:rPr>
            </w:pPr>
          </w:p>
        </w:tc>
        <w:tc>
          <w:tcPr>
            <w:tcW w:w="434" w:type="dxa"/>
            <w:shd w:val="clear" w:color="auto" w:fill="FFFFFF" w:themeFill="background1"/>
            <w:vAlign w:val="center"/>
          </w:tcPr>
          <w:p w:rsidR="002B3DF4" w:rsidRPr="00242020" w:rsidRDefault="002B3DF4" w:rsidP="002B3DF4">
            <w:pPr>
              <w:ind w:firstLine="0"/>
              <w:jc w:val="center"/>
              <w:cnfStyle w:val="000000100000"/>
              <w:rPr>
                <w:b/>
                <w:i/>
                <w:iCs/>
                <w:sz w:val="20"/>
                <w:szCs w:val="20"/>
              </w:rPr>
            </w:pPr>
          </w:p>
        </w:tc>
        <w:tc>
          <w:tcPr>
            <w:tcW w:w="897" w:type="dxa"/>
            <w:shd w:val="clear" w:color="auto" w:fill="FFFFFF" w:themeFill="background1"/>
            <w:vAlign w:val="center"/>
            <w:hideMark/>
          </w:tcPr>
          <w:p w:rsidR="002B3DF4" w:rsidRPr="00242020" w:rsidRDefault="002B3DF4" w:rsidP="002B3DF4">
            <w:pPr>
              <w:ind w:firstLine="0"/>
              <w:jc w:val="center"/>
              <w:cnfStyle w:val="000000100000"/>
              <w:rPr>
                <w:sz w:val="20"/>
                <w:szCs w:val="20"/>
              </w:rPr>
            </w:pPr>
            <w:r w:rsidRPr="00242020">
              <w:rPr>
                <w:sz w:val="20"/>
                <w:szCs w:val="20"/>
              </w:rPr>
              <w:t>1640</w:t>
            </w:r>
          </w:p>
        </w:tc>
        <w:tc>
          <w:tcPr>
            <w:tcW w:w="76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737</w:t>
            </w:r>
          </w:p>
        </w:tc>
        <w:tc>
          <w:tcPr>
            <w:tcW w:w="775"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559</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243</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30</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71</w:t>
            </w:r>
          </w:p>
        </w:tc>
      </w:tr>
      <w:tr w:rsidR="004F12E3" w:rsidRPr="00242020" w:rsidTr="00EF2524">
        <w:trPr>
          <w:cnfStyle w:val="000000010000"/>
          <w:trHeight w:hRule="exact" w:val="266"/>
        </w:trPr>
        <w:tc>
          <w:tcPr>
            <w:cnfStyle w:val="001000000000"/>
            <w:tcW w:w="452" w:type="dxa"/>
            <w:shd w:val="clear" w:color="auto" w:fill="D0CECE" w:themeFill="background2" w:themeFillShade="E6"/>
            <w:vAlign w:val="center"/>
            <w:hideMark/>
          </w:tcPr>
          <w:p w:rsidR="002B3DF4" w:rsidRPr="00242020" w:rsidRDefault="002B3DF4" w:rsidP="00EF2524">
            <w:pPr>
              <w:ind w:left="-62" w:right="-49" w:firstLine="0"/>
              <w:jc w:val="center"/>
              <w:rPr>
                <w:sz w:val="20"/>
                <w:szCs w:val="20"/>
              </w:rPr>
            </w:pPr>
            <w:r w:rsidRPr="00242020">
              <w:rPr>
                <w:sz w:val="20"/>
                <w:szCs w:val="20"/>
              </w:rPr>
              <w:t>20</w:t>
            </w:r>
          </w:p>
        </w:tc>
        <w:tc>
          <w:tcPr>
            <w:tcW w:w="2525" w:type="dxa"/>
            <w:shd w:val="clear" w:color="auto" w:fill="D0CECE" w:themeFill="background2" w:themeFillShade="E6"/>
            <w:vAlign w:val="center"/>
            <w:hideMark/>
          </w:tcPr>
          <w:p w:rsidR="002B3DF4" w:rsidRPr="00242020" w:rsidRDefault="002B3DF4" w:rsidP="002B3DF4">
            <w:pPr>
              <w:ind w:firstLine="0"/>
              <w:cnfStyle w:val="000000010000"/>
              <w:rPr>
                <w:sz w:val="20"/>
                <w:szCs w:val="20"/>
              </w:rPr>
            </w:pPr>
            <w:r w:rsidRPr="00242020">
              <w:rPr>
                <w:sz w:val="20"/>
                <w:szCs w:val="20"/>
              </w:rPr>
              <w:t>Херсонська область</w:t>
            </w:r>
          </w:p>
        </w:tc>
        <w:tc>
          <w:tcPr>
            <w:tcW w:w="897" w:type="dxa"/>
            <w:shd w:val="clear" w:color="auto" w:fill="D0CECE" w:themeFill="background2" w:themeFillShade="E6"/>
            <w:vAlign w:val="center"/>
            <w:hideMark/>
          </w:tcPr>
          <w:p w:rsidR="002B3DF4" w:rsidRPr="00242020" w:rsidRDefault="002B3DF4" w:rsidP="002B3DF4">
            <w:pPr>
              <w:ind w:firstLine="0"/>
              <w:jc w:val="center"/>
              <w:cnfStyle w:val="000000010000"/>
              <w:rPr>
                <w:sz w:val="20"/>
                <w:szCs w:val="20"/>
              </w:rPr>
            </w:pPr>
            <w:r w:rsidRPr="00242020">
              <w:rPr>
                <w:sz w:val="20"/>
                <w:szCs w:val="20"/>
              </w:rPr>
              <w:t>584</w:t>
            </w:r>
          </w:p>
        </w:tc>
        <w:tc>
          <w:tcPr>
            <w:tcW w:w="76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235</w:t>
            </w:r>
          </w:p>
        </w:tc>
        <w:tc>
          <w:tcPr>
            <w:tcW w:w="81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204</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88</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10</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47</w:t>
            </w:r>
          </w:p>
        </w:tc>
        <w:tc>
          <w:tcPr>
            <w:tcW w:w="925" w:type="dxa"/>
            <w:shd w:val="clear" w:color="auto" w:fill="D0CECE" w:themeFill="background2" w:themeFillShade="E6"/>
            <w:noWrap/>
            <w:vAlign w:val="center"/>
            <w:hideMark/>
          </w:tcPr>
          <w:p w:rsidR="002B3DF4" w:rsidRPr="00242020" w:rsidRDefault="002B3DF4" w:rsidP="002B3DF4">
            <w:pPr>
              <w:ind w:firstLine="0"/>
              <w:jc w:val="center"/>
              <w:cnfStyle w:val="000000010000"/>
              <w:rPr>
                <w:b/>
                <w:i/>
                <w:iCs/>
                <w:sz w:val="20"/>
                <w:szCs w:val="20"/>
              </w:rPr>
            </w:pPr>
            <w:r w:rsidRPr="00242020">
              <w:rPr>
                <w:b/>
                <w:bCs/>
                <w:i/>
                <w:iCs/>
                <w:sz w:val="20"/>
                <w:szCs w:val="20"/>
              </w:rPr>
              <w:t>1</w:t>
            </w:r>
          </w:p>
        </w:tc>
        <w:tc>
          <w:tcPr>
            <w:tcW w:w="516" w:type="dxa"/>
            <w:shd w:val="clear" w:color="auto" w:fill="D0CECE" w:themeFill="background2" w:themeFillShade="E6"/>
            <w:noWrap/>
            <w:vAlign w:val="center"/>
            <w:hideMark/>
          </w:tcPr>
          <w:p w:rsidR="002B3DF4" w:rsidRPr="00242020" w:rsidRDefault="002B3DF4" w:rsidP="002B3DF4">
            <w:pPr>
              <w:ind w:firstLine="0"/>
              <w:jc w:val="center"/>
              <w:cnfStyle w:val="000000010000"/>
              <w:rPr>
                <w:b/>
                <w:i/>
                <w:iCs/>
                <w:sz w:val="20"/>
                <w:szCs w:val="20"/>
              </w:rPr>
            </w:pPr>
            <w:r w:rsidRPr="00242020">
              <w:rPr>
                <w:b/>
                <w:bCs/>
                <w:i/>
                <w:iCs/>
                <w:sz w:val="20"/>
                <w:szCs w:val="20"/>
              </w:rPr>
              <w:t>1</w:t>
            </w:r>
          </w:p>
        </w:tc>
        <w:tc>
          <w:tcPr>
            <w:tcW w:w="565" w:type="dxa"/>
            <w:shd w:val="clear" w:color="auto" w:fill="D0CECE" w:themeFill="background2" w:themeFillShade="E6"/>
            <w:vAlign w:val="center"/>
          </w:tcPr>
          <w:p w:rsidR="002B3DF4" w:rsidRPr="00242020" w:rsidRDefault="002B3DF4" w:rsidP="002B3DF4">
            <w:pPr>
              <w:ind w:firstLine="0"/>
              <w:jc w:val="center"/>
              <w:cnfStyle w:val="000000010000"/>
              <w:rPr>
                <w:b/>
                <w:i/>
                <w:iCs/>
                <w:sz w:val="20"/>
                <w:szCs w:val="20"/>
              </w:rPr>
            </w:pPr>
          </w:p>
        </w:tc>
        <w:tc>
          <w:tcPr>
            <w:tcW w:w="436" w:type="dxa"/>
            <w:shd w:val="clear" w:color="auto" w:fill="D0CECE" w:themeFill="background2" w:themeFillShade="E6"/>
            <w:noWrap/>
            <w:vAlign w:val="center"/>
          </w:tcPr>
          <w:p w:rsidR="002B3DF4" w:rsidRPr="00242020" w:rsidRDefault="002B3DF4" w:rsidP="002B3DF4">
            <w:pPr>
              <w:ind w:firstLine="0"/>
              <w:jc w:val="center"/>
              <w:cnfStyle w:val="000000010000"/>
              <w:rPr>
                <w:b/>
                <w:i/>
                <w:iCs/>
                <w:sz w:val="20"/>
                <w:szCs w:val="20"/>
              </w:rPr>
            </w:pPr>
          </w:p>
        </w:tc>
        <w:tc>
          <w:tcPr>
            <w:tcW w:w="363" w:type="dxa"/>
            <w:shd w:val="clear" w:color="auto" w:fill="D0CECE" w:themeFill="background2" w:themeFillShade="E6"/>
            <w:vAlign w:val="center"/>
          </w:tcPr>
          <w:p w:rsidR="002B3DF4" w:rsidRPr="00242020" w:rsidRDefault="002B3DF4" w:rsidP="002B3DF4">
            <w:pPr>
              <w:ind w:firstLine="0"/>
              <w:jc w:val="center"/>
              <w:cnfStyle w:val="000000010000"/>
              <w:rPr>
                <w:b/>
                <w:i/>
                <w:iCs/>
                <w:sz w:val="20"/>
                <w:szCs w:val="20"/>
              </w:rPr>
            </w:pPr>
          </w:p>
        </w:tc>
        <w:tc>
          <w:tcPr>
            <w:tcW w:w="434" w:type="dxa"/>
            <w:shd w:val="clear" w:color="auto" w:fill="D0CECE" w:themeFill="background2" w:themeFillShade="E6"/>
            <w:vAlign w:val="center"/>
          </w:tcPr>
          <w:p w:rsidR="002B3DF4" w:rsidRPr="00242020" w:rsidRDefault="002B3DF4" w:rsidP="002B3DF4">
            <w:pPr>
              <w:ind w:firstLine="0"/>
              <w:jc w:val="center"/>
              <w:cnfStyle w:val="000000010000"/>
              <w:rPr>
                <w:b/>
                <w:i/>
                <w:iCs/>
                <w:sz w:val="20"/>
                <w:szCs w:val="20"/>
              </w:rPr>
            </w:pPr>
          </w:p>
        </w:tc>
        <w:tc>
          <w:tcPr>
            <w:tcW w:w="897" w:type="dxa"/>
            <w:shd w:val="clear" w:color="auto" w:fill="D0CECE" w:themeFill="background2" w:themeFillShade="E6"/>
            <w:vAlign w:val="center"/>
            <w:hideMark/>
          </w:tcPr>
          <w:p w:rsidR="002B3DF4" w:rsidRPr="00242020" w:rsidRDefault="002B3DF4" w:rsidP="002B3DF4">
            <w:pPr>
              <w:ind w:firstLine="0"/>
              <w:jc w:val="center"/>
              <w:cnfStyle w:val="000000010000"/>
              <w:rPr>
                <w:sz w:val="20"/>
                <w:szCs w:val="20"/>
              </w:rPr>
            </w:pPr>
            <w:r w:rsidRPr="00242020">
              <w:rPr>
                <w:sz w:val="20"/>
                <w:szCs w:val="20"/>
              </w:rPr>
              <w:t>585</w:t>
            </w:r>
          </w:p>
        </w:tc>
        <w:tc>
          <w:tcPr>
            <w:tcW w:w="76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236</w:t>
            </w:r>
          </w:p>
        </w:tc>
        <w:tc>
          <w:tcPr>
            <w:tcW w:w="775"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204</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88</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10</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47</w:t>
            </w:r>
          </w:p>
        </w:tc>
      </w:tr>
      <w:tr w:rsidR="004F12E3" w:rsidRPr="00242020" w:rsidTr="00EF2524">
        <w:trPr>
          <w:cnfStyle w:val="000000100000"/>
          <w:trHeight w:hRule="exact" w:val="266"/>
        </w:trPr>
        <w:tc>
          <w:tcPr>
            <w:cnfStyle w:val="001000000000"/>
            <w:tcW w:w="452" w:type="dxa"/>
            <w:shd w:val="clear" w:color="auto" w:fill="FFFFFF" w:themeFill="background1"/>
            <w:vAlign w:val="center"/>
            <w:hideMark/>
          </w:tcPr>
          <w:p w:rsidR="002B3DF4" w:rsidRPr="00242020" w:rsidRDefault="002B3DF4" w:rsidP="00EF2524">
            <w:pPr>
              <w:ind w:left="-62" w:right="-49" w:firstLine="0"/>
              <w:jc w:val="center"/>
              <w:rPr>
                <w:sz w:val="20"/>
                <w:szCs w:val="20"/>
              </w:rPr>
            </w:pPr>
            <w:r w:rsidRPr="00242020">
              <w:rPr>
                <w:sz w:val="20"/>
                <w:szCs w:val="20"/>
              </w:rPr>
              <w:t>21</w:t>
            </w:r>
          </w:p>
        </w:tc>
        <w:tc>
          <w:tcPr>
            <w:tcW w:w="2525" w:type="dxa"/>
            <w:shd w:val="clear" w:color="auto" w:fill="FFFFFF" w:themeFill="background1"/>
            <w:vAlign w:val="center"/>
            <w:hideMark/>
          </w:tcPr>
          <w:p w:rsidR="002B3DF4" w:rsidRPr="00242020" w:rsidRDefault="002B3DF4" w:rsidP="002B3DF4">
            <w:pPr>
              <w:ind w:firstLine="0"/>
              <w:cnfStyle w:val="000000100000"/>
              <w:rPr>
                <w:sz w:val="20"/>
                <w:szCs w:val="20"/>
              </w:rPr>
            </w:pPr>
            <w:r w:rsidRPr="00242020">
              <w:rPr>
                <w:sz w:val="20"/>
                <w:szCs w:val="20"/>
              </w:rPr>
              <w:t>Хмельницька область</w:t>
            </w:r>
          </w:p>
        </w:tc>
        <w:tc>
          <w:tcPr>
            <w:tcW w:w="897" w:type="dxa"/>
            <w:shd w:val="clear" w:color="auto" w:fill="FFFFFF" w:themeFill="background1"/>
            <w:vAlign w:val="center"/>
            <w:hideMark/>
          </w:tcPr>
          <w:p w:rsidR="002B3DF4" w:rsidRPr="00242020" w:rsidRDefault="002B3DF4" w:rsidP="002B3DF4">
            <w:pPr>
              <w:ind w:firstLine="0"/>
              <w:jc w:val="center"/>
              <w:cnfStyle w:val="000000100000"/>
              <w:rPr>
                <w:sz w:val="20"/>
                <w:szCs w:val="20"/>
              </w:rPr>
            </w:pPr>
            <w:r w:rsidRPr="00242020">
              <w:rPr>
                <w:sz w:val="20"/>
                <w:szCs w:val="20"/>
              </w:rPr>
              <w:t>607</w:t>
            </w:r>
          </w:p>
        </w:tc>
        <w:tc>
          <w:tcPr>
            <w:tcW w:w="76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285</w:t>
            </w:r>
          </w:p>
        </w:tc>
        <w:tc>
          <w:tcPr>
            <w:tcW w:w="81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231</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75</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6</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10</w:t>
            </w:r>
          </w:p>
        </w:tc>
        <w:tc>
          <w:tcPr>
            <w:tcW w:w="925" w:type="dxa"/>
            <w:shd w:val="clear" w:color="auto" w:fill="FFFFFF" w:themeFill="background1"/>
            <w:noWrap/>
            <w:vAlign w:val="center"/>
            <w:hideMark/>
          </w:tcPr>
          <w:p w:rsidR="002B3DF4" w:rsidRPr="00242020" w:rsidRDefault="002B3DF4" w:rsidP="002B3DF4">
            <w:pPr>
              <w:ind w:firstLine="0"/>
              <w:jc w:val="center"/>
              <w:cnfStyle w:val="000000100000"/>
              <w:rPr>
                <w:b/>
                <w:i/>
                <w:iCs/>
                <w:sz w:val="20"/>
                <w:szCs w:val="20"/>
              </w:rPr>
            </w:pPr>
            <w:r w:rsidRPr="00242020">
              <w:rPr>
                <w:b/>
                <w:bCs/>
                <w:i/>
                <w:iCs/>
                <w:sz w:val="20"/>
                <w:szCs w:val="20"/>
              </w:rPr>
              <w:t>7</w:t>
            </w:r>
          </w:p>
        </w:tc>
        <w:tc>
          <w:tcPr>
            <w:tcW w:w="516" w:type="dxa"/>
            <w:shd w:val="clear" w:color="auto" w:fill="FFFFFF" w:themeFill="background1"/>
            <w:noWrap/>
            <w:vAlign w:val="center"/>
            <w:hideMark/>
          </w:tcPr>
          <w:p w:rsidR="002B3DF4" w:rsidRPr="00242020" w:rsidRDefault="002B3DF4" w:rsidP="002B3DF4">
            <w:pPr>
              <w:ind w:firstLine="0"/>
              <w:jc w:val="center"/>
              <w:cnfStyle w:val="000000100000"/>
              <w:rPr>
                <w:b/>
                <w:i/>
                <w:iCs/>
                <w:sz w:val="20"/>
                <w:szCs w:val="20"/>
              </w:rPr>
            </w:pPr>
            <w:r w:rsidRPr="00242020">
              <w:rPr>
                <w:b/>
                <w:bCs/>
                <w:i/>
                <w:iCs/>
                <w:sz w:val="20"/>
                <w:szCs w:val="20"/>
              </w:rPr>
              <w:t>7</w:t>
            </w:r>
          </w:p>
        </w:tc>
        <w:tc>
          <w:tcPr>
            <w:tcW w:w="565" w:type="dxa"/>
            <w:shd w:val="clear" w:color="auto" w:fill="FFFFFF" w:themeFill="background1"/>
            <w:vAlign w:val="center"/>
          </w:tcPr>
          <w:p w:rsidR="002B3DF4" w:rsidRPr="00242020" w:rsidRDefault="002B3DF4" w:rsidP="002B3DF4">
            <w:pPr>
              <w:ind w:firstLine="0"/>
              <w:jc w:val="center"/>
              <w:cnfStyle w:val="000000100000"/>
              <w:rPr>
                <w:b/>
                <w:i/>
                <w:iCs/>
                <w:sz w:val="20"/>
                <w:szCs w:val="20"/>
              </w:rPr>
            </w:pPr>
          </w:p>
        </w:tc>
        <w:tc>
          <w:tcPr>
            <w:tcW w:w="436" w:type="dxa"/>
            <w:shd w:val="clear" w:color="auto" w:fill="FFFFFF" w:themeFill="background1"/>
            <w:noWrap/>
            <w:vAlign w:val="center"/>
          </w:tcPr>
          <w:p w:rsidR="002B3DF4" w:rsidRPr="00242020" w:rsidRDefault="002B3DF4" w:rsidP="002B3DF4">
            <w:pPr>
              <w:ind w:firstLine="0"/>
              <w:jc w:val="center"/>
              <w:cnfStyle w:val="000000100000"/>
              <w:rPr>
                <w:b/>
                <w:i/>
                <w:iCs/>
                <w:sz w:val="20"/>
                <w:szCs w:val="20"/>
              </w:rPr>
            </w:pPr>
          </w:p>
        </w:tc>
        <w:tc>
          <w:tcPr>
            <w:tcW w:w="363" w:type="dxa"/>
            <w:shd w:val="clear" w:color="auto" w:fill="FFFFFF" w:themeFill="background1"/>
            <w:vAlign w:val="center"/>
          </w:tcPr>
          <w:p w:rsidR="002B3DF4" w:rsidRPr="00242020" w:rsidRDefault="002B3DF4" w:rsidP="002B3DF4">
            <w:pPr>
              <w:ind w:firstLine="0"/>
              <w:jc w:val="center"/>
              <w:cnfStyle w:val="000000100000"/>
              <w:rPr>
                <w:b/>
                <w:i/>
                <w:iCs/>
                <w:sz w:val="20"/>
                <w:szCs w:val="20"/>
              </w:rPr>
            </w:pPr>
          </w:p>
        </w:tc>
        <w:tc>
          <w:tcPr>
            <w:tcW w:w="434" w:type="dxa"/>
            <w:shd w:val="clear" w:color="auto" w:fill="FFFFFF" w:themeFill="background1"/>
            <w:vAlign w:val="center"/>
          </w:tcPr>
          <w:p w:rsidR="002B3DF4" w:rsidRPr="00242020" w:rsidRDefault="002B3DF4" w:rsidP="002B3DF4">
            <w:pPr>
              <w:ind w:firstLine="0"/>
              <w:jc w:val="center"/>
              <w:cnfStyle w:val="000000100000"/>
              <w:rPr>
                <w:b/>
                <w:i/>
                <w:iCs/>
                <w:sz w:val="20"/>
                <w:szCs w:val="20"/>
              </w:rPr>
            </w:pPr>
          </w:p>
        </w:tc>
        <w:tc>
          <w:tcPr>
            <w:tcW w:w="897" w:type="dxa"/>
            <w:shd w:val="clear" w:color="auto" w:fill="FFFFFF" w:themeFill="background1"/>
            <w:vAlign w:val="center"/>
            <w:hideMark/>
          </w:tcPr>
          <w:p w:rsidR="002B3DF4" w:rsidRPr="00242020" w:rsidRDefault="002B3DF4" w:rsidP="002B3DF4">
            <w:pPr>
              <w:ind w:firstLine="0"/>
              <w:jc w:val="center"/>
              <w:cnfStyle w:val="000000100000"/>
              <w:rPr>
                <w:sz w:val="20"/>
                <w:szCs w:val="20"/>
              </w:rPr>
            </w:pPr>
            <w:r w:rsidRPr="00242020">
              <w:rPr>
                <w:sz w:val="20"/>
                <w:szCs w:val="20"/>
              </w:rPr>
              <w:t>614</w:t>
            </w:r>
          </w:p>
        </w:tc>
        <w:tc>
          <w:tcPr>
            <w:tcW w:w="76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292</w:t>
            </w:r>
          </w:p>
        </w:tc>
        <w:tc>
          <w:tcPr>
            <w:tcW w:w="775"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231</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75</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6</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10</w:t>
            </w:r>
          </w:p>
        </w:tc>
      </w:tr>
      <w:tr w:rsidR="004F12E3" w:rsidRPr="00242020" w:rsidTr="00EF2524">
        <w:trPr>
          <w:cnfStyle w:val="000000010000"/>
          <w:trHeight w:hRule="exact" w:val="266"/>
        </w:trPr>
        <w:tc>
          <w:tcPr>
            <w:cnfStyle w:val="001000000000"/>
            <w:tcW w:w="452" w:type="dxa"/>
            <w:shd w:val="clear" w:color="auto" w:fill="D0CECE" w:themeFill="background2" w:themeFillShade="E6"/>
            <w:vAlign w:val="center"/>
            <w:hideMark/>
          </w:tcPr>
          <w:p w:rsidR="002B3DF4" w:rsidRPr="00242020" w:rsidRDefault="002B3DF4" w:rsidP="00EF2524">
            <w:pPr>
              <w:ind w:left="-62" w:right="-49" w:firstLine="0"/>
              <w:jc w:val="center"/>
              <w:rPr>
                <w:sz w:val="20"/>
                <w:szCs w:val="20"/>
              </w:rPr>
            </w:pPr>
            <w:r w:rsidRPr="00242020">
              <w:rPr>
                <w:sz w:val="20"/>
                <w:szCs w:val="20"/>
              </w:rPr>
              <w:t>22</w:t>
            </w:r>
          </w:p>
        </w:tc>
        <w:tc>
          <w:tcPr>
            <w:tcW w:w="2525" w:type="dxa"/>
            <w:shd w:val="clear" w:color="auto" w:fill="D0CECE" w:themeFill="background2" w:themeFillShade="E6"/>
            <w:vAlign w:val="center"/>
            <w:hideMark/>
          </w:tcPr>
          <w:p w:rsidR="002B3DF4" w:rsidRPr="00242020" w:rsidRDefault="002B3DF4" w:rsidP="002B3DF4">
            <w:pPr>
              <w:ind w:firstLine="0"/>
              <w:cnfStyle w:val="000000010000"/>
              <w:rPr>
                <w:sz w:val="20"/>
                <w:szCs w:val="20"/>
              </w:rPr>
            </w:pPr>
            <w:r w:rsidRPr="00242020">
              <w:rPr>
                <w:sz w:val="20"/>
                <w:szCs w:val="20"/>
              </w:rPr>
              <w:t>Черкаська область</w:t>
            </w:r>
          </w:p>
        </w:tc>
        <w:tc>
          <w:tcPr>
            <w:tcW w:w="897" w:type="dxa"/>
            <w:shd w:val="clear" w:color="auto" w:fill="D0CECE" w:themeFill="background2" w:themeFillShade="E6"/>
            <w:vAlign w:val="center"/>
            <w:hideMark/>
          </w:tcPr>
          <w:p w:rsidR="002B3DF4" w:rsidRPr="00242020" w:rsidRDefault="002B3DF4" w:rsidP="002B3DF4">
            <w:pPr>
              <w:ind w:firstLine="0"/>
              <w:jc w:val="center"/>
              <w:cnfStyle w:val="000000010000"/>
              <w:rPr>
                <w:sz w:val="20"/>
                <w:szCs w:val="20"/>
              </w:rPr>
            </w:pPr>
            <w:r w:rsidRPr="00242020">
              <w:rPr>
                <w:sz w:val="20"/>
                <w:szCs w:val="20"/>
              </w:rPr>
              <w:t>827</w:t>
            </w:r>
          </w:p>
        </w:tc>
        <w:tc>
          <w:tcPr>
            <w:tcW w:w="76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373</w:t>
            </w:r>
          </w:p>
        </w:tc>
        <w:tc>
          <w:tcPr>
            <w:tcW w:w="81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309</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83</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18</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44</w:t>
            </w:r>
          </w:p>
        </w:tc>
        <w:tc>
          <w:tcPr>
            <w:tcW w:w="925" w:type="dxa"/>
            <w:shd w:val="clear" w:color="auto" w:fill="D0CECE" w:themeFill="background2" w:themeFillShade="E6"/>
            <w:noWrap/>
            <w:vAlign w:val="center"/>
            <w:hideMark/>
          </w:tcPr>
          <w:p w:rsidR="002B3DF4" w:rsidRPr="00242020" w:rsidRDefault="002B3DF4" w:rsidP="002B3DF4">
            <w:pPr>
              <w:ind w:firstLine="0"/>
              <w:jc w:val="center"/>
              <w:cnfStyle w:val="000000010000"/>
              <w:rPr>
                <w:b/>
                <w:i/>
                <w:iCs/>
                <w:sz w:val="20"/>
                <w:szCs w:val="20"/>
              </w:rPr>
            </w:pPr>
            <w:r w:rsidRPr="00242020">
              <w:rPr>
                <w:b/>
                <w:bCs/>
                <w:i/>
                <w:iCs/>
                <w:sz w:val="20"/>
                <w:szCs w:val="20"/>
              </w:rPr>
              <w:t>4</w:t>
            </w:r>
          </w:p>
        </w:tc>
        <w:tc>
          <w:tcPr>
            <w:tcW w:w="516" w:type="dxa"/>
            <w:shd w:val="clear" w:color="auto" w:fill="D0CECE" w:themeFill="background2" w:themeFillShade="E6"/>
            <w:noWrap/>
            <w:vAlign w:val="center"/>
            <w:hideMark/>
          </w:tcPr>
          <w:p w:rsidR="002B3DF4" w:rsidRPr="00242020" w:rsidRDefault="002B3DF4" w:rsidP="002B3DF4">
            <w:pPr>
              <w:ind w:firstLine="0"/>
              <w:jc w:val="center"/>
              <w:cnfStyle w:val="000000010000"/>
              <w:rPr>
                <w:b/>
                <w:i/>
                <w:iCs/>
                <w:sz w:val="20"/>
                <w:szCs w:val="20"/>
              </w:rPr>
            </w:pPr>
            <w:r w:rsidRPr="00242020">
              <w:rPr>
                <w:b/>
                <w:bCs/>
                <w:i/>
                <w:iCs/>
                <w:sz w:val="20"/>
                <w:szCs w:val="20"/>
              </w:rPr>
              <w:t>1</w:t>
            </w:r>
          </w:p>
        </w:tc>
        <w:tc>
          <w:tcPr>
            <w:tcW w:w="565" w:type="dxa"/>
            <w:shd w:val="clear" w:color="auto" w:fill="D0CECE" w:themeFill="background2" w:themeFillShade="E6"/>
            <w:vAlign w:val="center"/>
            <w:hideMark/>
          </w:tcPr>
          <w:p w:rsidR="002B3DF4" w:rsidRPr="00242020" w:rsidRDefault="002B3DF4" w:rsidP="002B3DF4">
            <w:pPr>
              <w:ind w:firstLine="0"/>
              <w:jc w:val="center"/>
              <w:cnfStyle w:val="000000010000"/>
              <w:rPr>
                <w:b/>
                <w:i/>
                <w:iCs/>
                <w:sz w:val="20"/>
                <w:szCs w:val="20"/>
              </w:rPr>
            </w:pPr>
            <w:r w:rsidRPr="00242020">
              <w:rPr>
                <w:b/>
                <w:bCs/>
                <w:i/>
                <w:iCs/>
                <w:sz w:val="20"/>
                <w:szCs w:val="20"/>
              </w:rPr>
              <w:t>1</w:t>
            </w:r>
          </w:p>
        </w:tc>
        <w:tc>
          <w:tcPr>
            <w:tcW w:w="436" w:type="dxa"/>
            <w:shd w:val="clear" w:color="auto" w:fill="D0CECE" w:themeFill="background2" w:themeFillShade="E6"/>
            <w:noWrap/>
            <w:vAlign w:val="center"/>
            <w:hideMark/>
          </w:tcPr>
          <w:p w:rsidR="002B3DF4" w:rsidRPr="00242020" w:rsidRDefault="002B3DF4" w:rsidP="002B3DF4">
            <w:pPr>
              <w:ind w:firstLine="0"/>
              <w:jc w:val="center"/>
              <w:cnfStyle w:val="000000010000"/>
              <w:rPr>
                <w:b/>
                <w:i/>
                <w:iCs/>
                <w:sz w:val="20"/>
                <w:szCs w:val="20"/>
              </w:rPr>
            </w:pPr>
            <w:r w:rsidRPr="00242020">
              <w:rPr>
                <w:b/>
                <w:bCs/>
                <w:i/>
                <w:iCs/>
                <w:sz w:val="20"/>
                <w:szCs w:val="20"/>
              </w:rPr>
              <w:t>1</w:t>
            </w:r>
          </w:p>
        </w:tc>
        <w:tc>
          <w:tcPr>
            <w:tcW w:w="363" w:type="dxa"/>
            <w:shd w:val="clear" w:color="auto" w:fill="D0CECE" w:themeFill="background2" w:themeFillShade="E6"/>
            <w:vAlign w:val="center"/>
          </w:tcPr>
          <w:p w:rsidR="002B3DF4" w:rsidRPr="00242020" w:rsidRDefault="002B3DF4" w:rsidP="002B3DF4">
            <w:pPr>
              <w:ind w:firstLine="0"/>
              <w:jc w:val="center"/>
              <w:cnfStyle w:val="000000010000"/>
              <w:rPr>
                <w:b/>
                <w:i/>
                <w:iCs/>
                <w:sz w:val="20"/>
                <w:szCs w:val="20"/>
              </w:rPr>
            </w:pPr>
          </w:p>
        </w:tc>
        <w:tc>
          <w:tcPr>
            <w:tcW w:w="434" w:type="dxa"/>
            <w:shd w:val="clear" w:color="auto" w:fill="D0CECE" w:themeFill="background2" w:themeFillShade="E6"/>
            <w:vAlign w:val="center"/>
            <w:hideMark/>
          </w:tcPr>
          <w:p w:rsidR="002B3DF4" w:rsidRPr="00242020" w:rsidRDefault="002B3DF4" w:rsidP="002B3DF4">
            <w:pPr>
              <w:ind w:firstLine="0"/>
              <w:jc w:val="center"/>
              <w:cnfStyle w:val="000000010000"/>
              <w:rPr>
                <w:b/>
                <w:i/>
                <w:iCs/>
                <w:sz w:val="20"/>
                <w:szCs w:val="20"/>
              </w:rPr>
            </w:pPr>
            <w:r w:rsidRPr="00242020">
              <w:rPr>
                <w:b/>
                <w:bCs/>
                <w:i/>
                <w:iCs/>
                <w:sz w:val="20"/>
                <w:szCs w:val="20"/>
              </w:rPr>
              <w:t>1</w:t>
            </w:r>
          </w:p>
        </w:tc>
        <w:tc>
          <w:tcPr>
            <w:tcW w:w="897" w:type="dxa"/>
            <w:shd w:val="clear" w:color="auto" w:fill="D0CECE" w:themeFill="background2" w:themeFillShade="E6"/>
            <w:vAlign w:val="center"/>
            <w:hideMark/>
          </w:tcPr>
          <w:p w:rsidR="002B3DF4" w:rsidRPr="00242020" w:rsidRDefault="002B3DF4" w:rsidP="002B3DF4">
            <w:pPr>
              <w:ind w:firstLine="0"/>
              <w:jc w:val="center"/>
              <w:cnfStyle w:val="000000010000"/>
              <w:rPr>
                <w:sz w:val="20"/>
                <w:szCs w:val="20"/>
              </w:rPr>
            </w:pPr>
            <w:r w:rsidRPr="00242020">
              <w:rPr>
                <w:sz w:val="20"/>
                <w:szCs w:val="20"/>
              </w:rPr>
              <w:t>831</w:t>
            </w:r>
          </w:p>
        </w:tc>
        <w:tc>
          <w:tcPr>
            <w:tcW w:w="76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374</w:t>
            </w:r>
          </w:p>
        </w:tc>
        <w:tc>
          <w:tcPr>
            <w:tcW w:w="775"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310</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84</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18</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45</w:t>
            </w:r>
          </w:p>
        </w:tc>
      </w:tr>
      <w:tr w:rsidR="004F12E3" w:rsidRPr="00242020" w:rsidTr="00EF2524">
        <w:trPr>
          <w:cnfStyle w:val="000000100000"/>
          <w:trHeight w:hRule="exact" w:val="266"/>
        </w:trPr>
        <w:tc>
          <w:tcPr>
            <w:cnfStyle w:val="001000000000"/>
            <w:tcW w:w="452" w:type="dxa"/>
            <w:shd w:val="clear" w:color="auto" w:fill="FFFFFF" w:themeFill="background1"/>
            <w:vAlign w:val="center"/>
            <w:hideMark/>
          </w:tcPr>
          <w:p w:rsidR="002B3DF4" w:rsidRPr="00242020" w:rsidRDefault="002B3DF4" w:rsidP="00EF2524">
            <w:pPr>
              <w:ind w:left="-62" w:right="-49" w:firstLine="0"/>
              <w:jc w:val="center"/>
              <w:rPr>
                <w:sz w:val="20"/>
                <w:szCs w:val="20"/>
              </w:rPr>
            </w:pPr>
            <w:r w:rsidRPr="00242020">
              <w:rPr>
                <w:sz w:val="20"/>
                <w:szCs w:val="20"/>
              </w:rPr>
              <w:t>23</w:t>
            </w:r>
          </w:p>
        </w:tc>
        <w:tc>
          <w:tcPr>
            <w:tcW w:w="2525" w:type="dxa"/>
            <w:shd w:val="clear" w:color="auto" w:fill="FFFFFF" w:themeFill="background1"/>
            <w:vAlign w:val="center"/>
            <w:hideMark/>
          </w:tcPr>
          <w:p w:rsidR="002B3DF4" w:rsidRPr="00242020" w:rsidRDefault="002B3DF4" w:rsidP="002B3DF4">
            <w:pPr>
              <w:ind w:firstLine="0"/>
              <w:cnfStyle w:val="000000100000"/>
              <w:rPr>
                <w:sz w:val="20"/>
                <w:szCs w:val="20"/>
              </w:rPr>
            </w:pPr>
            <w:r w:rsidRPr="00242020">
              <w:rPr>
                <w:sz w:val="20"/>
                <w:szCs w:val="20"/>
              </w:rPr>
              <w:t>Чернівецька область</w:t>
            </w:r>
          </w:p>
        </w:tc>
        <w:tc>
          <w:tcPr>
            <w:tcW w:w="897" w:type="dxa"/>
            <w:shd w:val="clear" w:color="auto" w:fill="FFFFFF" w:themeFill="background1"/>
            <w:vAlign w:val="center"/>
            <w:hideMark/>
          </w:tcPr>
          <w:p w:rsidR="002B3DF4" w:rsidRPr="00242020" w:rsidRDefault="002B3DF4" w:rsidP="002B3DF4">
            <w:pPr>
              <w:ind w:firstLine="0"/>
              <w:jc w:val="center"/>
              <w:cnfStyle w:val="000000100000"/>
              <w:rPr>
                <w:sz w:val="20"/>
                <w:szCs w:val="20"/>
              </w:rPr>
            </w:pPr>
            <w:r w:rsidRPr="00242020">
              <w:rPr>
                <w:sz w:val="20"/>
                <w:szCs w:val="20"/>
              </w:rPr>
              <w:t>501</w:t>
            </w:r>
          </w:p>
        </w:tc>
        <w:tc>
          <w:tcPr>
            <w:tcW w:w="76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235</w:t>
            </w:r>
          </w:p>
        </w:tc>
        <w:tc>
          <w:tcPr>
            <w:tcW w:w="81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156</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58</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44</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8</w:t>
            </w:r>
          </w:p>
        </w:tc>
        <w:tc>
          <w:tcPr>
            <w:tcW w:w="925" w:type="dxa"/>
            <w:shd w:val="clear" w:color="auto" w:fill="FFFFFF" w:themeFill="background1"/>
            <w:noWrap/>
            <w:vAlign w:val="center"/>
            <w:hideMark/>
          </w:tcPr>
          <w:p w:rsidR="002B3DF4" w:rsidRPr="00242020" w:rsidRDefault="002B3DF4" w:rsidP="002B3DF4">
            <w:pPr>
              <w:ind w:firstLine="0"/>
              <w:jc w:val="center"/>
              <w:cnfStyle w:val="000000100000"/>
              <w:rPr>
                <w:b/>
                <w:i/>
                <w:iCs/>
                <w:sz w:val="20"/>
                <w:szCs w:val="20"/>
              </w:rPr>
            </w:pPr>
            <w:r w:rsidRPr="00242020">
              <w:rPr>
                <w:b/>
                <w:bCs/>
                <w:i/>
                <w:iCs/>
                <w:sz w:val="20"/>
                <w:szCs w:val="20"/>
              </w:rPr>
              <w:t>1</w:t>
            </w:r>
          </w:p>
        </w:tc>
        <w:tc>
          <w:tcPr>
            <w:tcW w:w="516" w:type="dxa"/>
            <w:shd w:val="clear" w:color="auto" w:fill="FFFFFF" w:themeFill="background1"/>
            <w:noWrap/>
            <w:vAlign w:val="center"/>
            <w:hideMark/>
          </w:tcPr>
          <w:p w:rsidR="002B3DF4" w:rsidRPr="00242020" w:rsidRDefault="002B3DF4" w:rsidP="002B3DF4">
            <w:pPr>
              <w:ind w:firstLine="0"/>
              <w:jc w:val="center"/>
              <w:cnfStyle w:val="000000100000"/>
              <w:rPr>
                <w:b/>
                <w:i/>
                <w:iCs/>
                <w:sz w:val="20"/>
                <w:szCs w:val="20"/>
              </w:rPr>
            </w:pPr>
            <w:r w:rsidRPr="00242020">
              <w:rPr>
                <w:b/>
                <w:bCs/>
                <w:i/>
                <w:iCs/>
                <w:sz w:val="20"/>
                <w:szCs w:val="20"/>
              </w:rPr>
              <w:t>1</w:t>
            </w:r>
          </w:p>
        </w:tc>
        <w:tc>
          <w:tcPr>
            <w:tcW w:w="565" w:type="dxa"/>
            <w:shd w:val="clear" w:color="auto" w:fill="FFFFFF" w:themeFill="background1"/>
            <w:vAlign w:val="center"/>
          </w:tcPr>
          <w:p w:rsidR="002B3DF4" w:rsidRPr="00242020" w:rsidRDefault="002B3DF4" w:rsidP="002B3DF4">
            <w:pPr>
              <w:ind w:firstLine="0"/>
              <w:jc w:val="center"/>
              <w:cnfStyle w:val="000000100000"/>
              <w:rPr>
                <w:b/>
                <w:i/>
                <w:iCs/>
                <w:sz w:val="20"/>
                <w:szCs w:val="20"/>
              </w:rPr>
            </w:pPr>
          </w:p>
        </w:tc>
        <w:tc>
          <w:tcPr>
            <w:tcW w:w="436" w:type="dxa"/>
            <w:shd w:val="clear" w:color="auto" w:fill="FFFFFF" w:themeFill="background1"/>
            <w:noWrap/>
            <w:vAlign w:val="center"/>
          </w:tcPr>
          <w:p w:rsidR="002B3DF4" w:rsidRPr="00242020" w:rsidRDefault="002B3DF4" w:rsidP="002B3DF4">
            <w:pPr>
              <w:ind w:firstLine="0"/>
              <w:jc w:val="center"/>
              <w:cnfStyle w:val="000000100000"/>
              <w:rPr>
                <w:b/>
                <w:i/>
                <w:iCs/>
                <w:sz w:val="20"/>
                <w:szCs w:val="20"/>
              </w:rPr>
            </w:pPr>
          </w:p>
        </w:tc>
        <w:tc>
          <w:tcPr>
            <w:tcW w:w="363" w:type="dxa"/>
            <w:shd w:val="clear" w:color="auto" w:fill="FFFFFF" w:themeFill="background1"/>
            <w:vAlign w:val="center"/>
          </w:tcPr>
          <w:p w:rsidR="002B3DF4" w:rsidRPr="00242020" w:rsidRDefault="002B3DF4" w:rsidP="002B3DF4">
            <w:pPr>
              <w:ind w:firstLine="0"/>
              <w:jc w:val="center"/>
              <w:cnfStyle w:val="000000100000"/>
              <w:rPr>
                <w:b/>
                <w:i/>
                <w:iCs/>
                <w:sz w:val="20"/>
                <w:szCs w:val="20"/>
              </w:rPr>
            </w:pPr>
          </w:p>
        </w:tc>
        <w:tc>
          <w:tcPr>
            <w:tcW w:w="434" w:type="dxa"/>
            <w:shd w:val="clear" w:color="auto" w:fill="FFFFFF" w:themeFill="background1"/>
            <w:vAlign w:val="center"/>
          </w:tcPr>
          <w:p w:rsidR="002B3DF4" w:rsidRPr="00242020" w:rsidRDefault="002B3DF4" w:rsidP="002B3DF4">
            <w:pPr>
              <w:ind w:firstLine="0"/>
              <w:jc w:val="center"/>
              <w:cnfStyle w:val="000000100000"/>
              <w:rPr>
                <w:b/>
                <w:i/>
                <w:iCs/>
                <w:sz w:val="20"/>
                <w:szCs w:val="20"/>
              </w:rPr>
            </w:pPr>
          </w:p>
        </w:tc>
        <w:tc>
          <w:tcPr>
            <w:tcW w:w="897" w:type="dxa"/>
            <w:shd w:val="clear" w:color="auto" w:fill="FFFFFF" w:themeFill="background1"/>
            <w:vAlign w:val="center"/>
            <w:hideMark/>
          </w:tcPr>
          <w:p w:rsidR="002B3DF4" w:rsidRPr="00242020" w:rsidRDefault="002B3DF4" w:rsidP="002B3DF4">
            <w:pPr>
              <w:ind w:firstLine="0"/>
              <w:jc w:val="center"/>
              <w:cnfStyle w:val="000000100000"/>
              <w:rPr>
                <w:sz w:val="20"/>
                <w:szCs w:val="20"/>
              </w:rPr>
            </w:pPr>
            <w:r w:rsidRPr="00242020">
              <w:rPr>
                <w:sz w:val="20"/>
                <w:szCs w:val="20"/>
              </w:rPr>
              <w:t>502</w:t>
            </w:r>
          </w:p>
        </w:tc>
        <w:tc>
          <w:tcPr>
            <w:tcW w:w="76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236</w:t>
            </w:r>
          </w:p>
        </w:tc>
        <w:tc>
          <w:tcPr>
            <w:tcW w:w="775"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156</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58</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44</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8</w:t>
            </w:r>
          </w:p>
        </w:tc>
      </w:tr>
      <w:tr w:rsidR="004F12E3" w:rsidRPr="00242020" w:rsidTr="00EF2524">
        <w:trPr>
          <w:cnfStyle w:val="000000010000"/>
          <w:trHeight w:hRule="exact" w:val="266"/>
        </w:trPr>
        <w:tc>
          <w:tcPr>
            <w:cnfStyle w:val="001000000000"/>
            <w:tcW w:w="452" w:type="dxa"/>
            <w:shd w:val="clear" w:color="auto" w:fill="D0CECE" w:themeFill="background2" w:themeFillShade="E6"/>
            <w:vAlign w:val="center"/>
            <w:hideMark/>
          </w:tcPr>
          <w:p w:rsidR="002B3DF4" w:rsidRPr="00242020" w:rsidRDefault="002B3DF4" w:rsidP="00EF2524">
            <w:pPr>
              <w:ind w:left="-62" w:right="-49" w:firstLine="0"/>
              <w:jc w:val="center"/>
              <w:rPr>
                <w:sz w:val="20"/>
                <w:szCs w:val="20"/>
              </w:rPr>
            </w:pPr>
            <w:r w:rsidRPr="00242020">
              <w:rPr>
                <w:sz w:val="20"/>
                <w:szCs w:val="20"/>
              </w:rPr>
              <w:t>24</w:t>
            </w:r>
          </w:p>
        </w:tc>
        <w:tc>
          <w:tcPr>
            <w:tcW w:w="2525" w:type="dxa"/>
            <w:shd w:val="clear" w:color="auto" w:fill="D0CECE" w:themeFill="background2" w:themeFillShade="E6"/>
            <w:vAlign w:val="center"/>
            <w:hideMark/>
          </w:tcPr>
          <w:p w:rsidR="002B3DF4" w:rsidRPr="00242020" w:rsidRDefault="002B3DF4" w:rsidP="002B3DF4">
            <w:pPr>
              <w:ind w:firstLine="0"/>
              <w:cnfStyle w:val="000000010000"/>
              <w:rPr>
                <w:sz w:val="20"/>
                <w:szCs w:val="20"/>
              </w:rPr>
            </w:pPr>
            <w:r w:rsidRPr="00242020">
              <w:rPr>
                <w:sz w:val="20"/>
                <w:szCs w:val="20"/>
              </w:rPr>
              <w:t>Чернігівська область</w:t>
            </w:r>
          </w:p>
        </w:tc>
        <w:tc>
          <w:tcPr>
            <w:tcW w:w="897" w:type="dxa"/>
            <w:shd w:val="clear" w:color="auto" w:fill="D0CECE" w:themeFill="background2" w:themeFillShade="E6"/>
            <w:vAlign w:val="center"/>
            <w:hideMark/>
          </w:tcPr>
          <w:p w:rsidR="002B3DF4" w:rsidRPr="00242020" w:rsidRDefault="002B3DF4" w:rsidP="002B3DF4">
            <w:pPr>
              <w:ind w:firstLine="0"/>
              <w:jc w:val="center"/>
              <w:cnfStyle w:val="000000010000"/>
              <w:rPr>
                <w:sz w:val="20"/>
                <w:szCs w:val="20"/>
              </w:rPr>
            </w:pPr>
            <w:r w:rsidRPr="00242020">
              <w:rPr>
                <w:sz w:val="20"/>
                <w:szCs w:val="20"/>
              </w:rPr>
              <w:t>671</w:t>
            </w:r>
          </w:p>
        </w:tc>
        <w:tc>
          <w:tcPr>
            <w:tcW w:w="76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277</w:t>
            </w:r>
          </w:p>
        </w:tc>
        <w:tc>
          <w:tcPr>
            <w:tcW w:w="81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196</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143</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26</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29</w:t>
            </w:r>
          </w:p>
        </w:tc>
        <w:tc>
          <w:tcPr>
            <w:tcW w:w="925" w:type="dxa"/>
            <w:shd w:val="clear" w:color="auto" w:fill="D0CECE" w:themeFill="background2" w:themeFillShade="E6"/>
            <w:noWrap/>
            <w:vAlign w:val="center"/>
            <w:hideMark/>
          </w:tcPr>
          <w:p w:rsidR="002B3DF4" w:rsidRPr="00242020" w:rsidRDefault="002B3DF4" w:rsidP="002B3DF4">
            <w:pPr>
              <w:ind w:firstLine="0"/>
              <w:jc w:val="center"/>
              <w:cnfStyle w:val="000000010000"/>
              <w:rPr>
                <w:b/>
                <w:i/>
                <w:iCs/>
                <w:sz w:val="20"/>
                <w:szCs w:val="20"/>
              </w:rPr>
            </w:pPr>
            <w:r w:rsidRPr="00242020">
              <w:rPr>
                <w:b/>
                <w:bCs/>
                <w:i/>
                <w:iCs/>
                <w:sz w:val="20"/>
                <w:szCs w:val="20"/>
              </w:rPr>
              <w:t>11</w:t>
            </w:r>
          </w:p>
        </w:tc>
        <w:tc>
          <w:tcPr>
            <w:tcW w:w="516" w:type="dxa"/>
            <w:shd w:val="clear" w:color="auto" w:fill="D0CECE" w:themeFill="background2" w:themeFillShade="E6"/>
            <w:noWrap/>
            <w:vAlign w:val="center"/>
            <w:hideMark/>
          </w:tcPr>
          <w:p w:rsidR="002B3DF4" w:rsidRPr="00242020" w:rsidRDefault="002B3DF4" w:rsidP="002B3DF4">
            <w:pPr>
              <w:ind w:firstLine="0"/>
              <w:jc w:val="center"/>
              <w:cnfStyle w:val="000000010000"/>
              <w:rPr>
                <w:b/>
                <w:i/>
                <w:iCs/>
                <w:sz w:val="20"/>
                <w:szCs w:val="20"/>
              </w:rPr>
            </w:pPr>
            <w:r w:rsidRPr="00242020">
              <w:rPr>
                <w:b/>
                <w:bCs/>
                <w:i/>
                <w:iCs/>
                <w:sz w:val="20"/>
                <w:szCs w:val="20"/>
              </w:rPr>
              <w:t>7</w:t>
            </w:r>
          </w:p>
        </w:tc>
        <w:tc>
          <w:tcPr>
            <w:tcW w:w="565" w:type="dxa"/>
            <w:shd w:val="clear" w:color="auto" w:fill="D0CECE" w:themeFill="background2" w:themeFillShade="E6"/>
            <w:vAlign w:val="center"/>
          </w:tcPr>
          <w:p w:rsidR="002B3DF4" w:rsidRPr="00242020" w:rsidRDefault="002B3DF4" w:rsidP="002B3DF4">
            <w:pPr>
              <w:ind w:firstLine="0"/>
              <w:jc w:val="center"/>
              <w:cnfStyle w:val="000000010000"/>
              <w:rPr>
                <w:b/>
                <w:i/>
                <w:iCs/>
                <w:sz w:val="20"/>
                <w:szCs w:val="20"/>
              </w:rPr>
            </w:pPr>
          </w:p>
        </w:tc>
        <w:tc>
          <w:tcPr>
            <w:tcW w:w="436" w:type="dxa"/>
            <w:shd w:val="clear" w:color="auto" w:fill="D0CECE" w:themeFill="background2" w:themeFillShade="E6"/>
            <w:noWrap/>
            <w:vAlign w:val="center"/>
            <w:hideMark/>
          </w:tcPr>
          <w:p w:rsidR="002B3DF4" w:rsidRPr="00242020" w:rsidRDefault="002B3DF4" w:rsidP="002B3DF4">
            <w:pPr>
              <w:ind w:firstLine="0"/>
              <w:jc w:val="center"/>
              <w:cnfStyle w:val="000000010000"/>
              <w:rPr>
                <w:b/>
                <w:i/>
                <w:iCs/>
                <w:sz w:val="20"/>
                <w:szCs w:val="20"/>
              </w:rPr>
            </w:pPr>
            <w:r w:rsidRPr="00242020">
              <w:rPr>
                <w:b/>
                <w:bCs/>
                <w:i/>
                <w:iCs/>
                <w:sz w:val="20"/>
                <w:szCs w:val="20"/>
              </w:rPr>
              <w:t>4</w:t>
            </w:r>
          </w:p>
        </w:tc>
        <w:tc>
          <w:tcPr>
            <w:tcW w:w="363" w:type="dxa"/>
            <w:shd w:val="clear" w:color="auto" w:fill="D0CECE" w:themeFill="background2" w:themeFillShade="E6"/>
            <w:vAlign w:val="center"/>
          </w:tcPr>
          <w:p w:rsidR="002B3DF4" w:rsidRPr="00242020" w:rsidRDefault="002B3DF4" w:rsidP="002B3DF4">
            <w:pPr>
              <w:ind w:firstLine="0"/>
              <w:jc w:val="center"/>
              <w:cnfStyle w:val="000000010000"/>
              <w:rPr>
                <w:b/>
                <w:i/>
                <w:iCs/>
                <w:sz w:val="20"/>
                <w:szCs w:val="20"/>
              </w:rPr>
            </w:pPr>
          </w:p>
        </w:tc>
        <w:tc>
          <w:tcPr>
            <w:tcW w:w="434" w:type="dxa"/>
            <w:shd w:val="clear" w:color="auto" w:fill="D0CECE" w:themeFill="background2" w:themeFillShade="E6"/>
            <w:vAlign w:val="center"/>
          </w:tcPr>
          <w:p w:rsidR="002B3DF4" w:rsidRPr="00242020" w:rsidRDefault="002B3DF4" w:rsidP="002B3DF4">
            <w:pPr>
              <w:ind w:firstLine="0"/>
              <w:jc w:val="center"/>
              <w:cnfStyle w:val="000000010000"/>
              <w:rPr>
                <w:b/>
                <w:i/>
                <w:iCs/>
                <w:sz w:val="20"/>
                <w:szCs w:val="20"/>
              </w:rPr>
            </w:pPr>
          </w:p>
        </w:tc>
        <w:tc>
          <w:tcPr>
            <w:tcW w:w="897" w:type="dxa"/>
            <w:shd w:val="clear" w:color="auto" w:fill="D0CECE" w:themeFill="background2" w:themeFillShade="E6"/>
            <w:vAlign w:val="center"/>
            <w:hideMark/>
          </w:tcPr>
          <w:p w:rsidR="002B3DF4" w:rsidRPr="00242020" w:rsidRDefault="002B3DF4" w:rsidP="002B3DF4">
            <w:pPr>
              <w:ind w:firstLine="0"/>
              <w:jc w:val="center"/>
              <w:cnfStyle w:val="000000010000"/>
              <w:rPr>
                <w:sz w:val="20"/>
                <w:szCs w:val="20"/>
              </w:rPr>
            </w:pPr>
            <w:r w:rsidRPr="00242020">
              <w:rPr>
                <w:sz w:val="20"/>
                <w:szCs w:val="20"/>
              </w:rPr>
              <w:t>682</w:t>
            </w:r>
          </w:p>
        </w:tc>
        <w:tc>
          <w:tcPr>
            <w:tcW w:w="76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284</w:t>
            </w:r>
          </w:p>
        </w:tc>
        <w:tc>
          <w:tcPr>
            <w:tcW w:w="775"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196</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147</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26</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29</w:t>
            </w:r>
          </w:p>
        </w:tc>
      </w:tr>
      <w:tr w:rsidR="004F12E3" w:rsidRPr="00242020" w:rsidTr="00EF2524">
        <w:trPr>
          <w:cnfStyle w:val="000000100000"/>
          <w:trHeight w:hRule="exact" w:val="266"/>
        </w:trPr>
        <w:tc>
          <w:tcPr>
            <w:cnfStyle w:val="001000000000"/>
            <w:tcW w:w="452" w:type="dxa"/>
            <w:shd w:val="clear" w:color="auto" w:fill="FFFFFF" w:themeFill="background1"/>
            <w:vAlign w:val="center"/>
            <w:hideMark/>
          </w:tcPr>
          <w:p w:rsidR="002B3DF4" w:rsidRPr="00242020" w:rsidRDefault="002B3DF4" w:rsidP="00EF2524">
            <w:pPr>
              <w:ind w:left="-62" w:right="-49" w:firstLine="0"/>
              <w:jc w:val="center"/>
              <w:rPr>
                <w:sz w:val="20"/>
                <w:szCs w:val="20"/>
              </w:rPr>
            </w:pPr>
            <w:r w:rsidRPr="00242020">
              <w:rPr>
                <w:sz w:val="20"/>
                <w:szCs w:val="20"/>
              </w:rPr>
              <w:t>25</w:t>
            </w:r>
          </w:p>
        </w:tc>
        <w:tc>
          <w:tcPr>
            <w:tcW w:w="2525" w:type="dxa"/>
            <w:shd w:val="clear" w:color="auto" w:fill="FFFFFF" w:themeFill="background1"/>
            <w:vAlign w:val="center"/>
            <w:hideMark/>
          </w:tcPr>
          <w:p w:rsidR="002B3DF4" w:rsidRPr="00242020" w:rsidRDefault="002B3DF4" w:rsidP="002B3DF4">
            <w:pPr>
              <w:ind w:firstLine="0"/>
              <w:cnfStyle w:val="000000100000"/>
              <w:rPr>
                <w:sz w:val="20"/>
                <w:szCs w:val="20"/>
              </w:rPr>
            </w:pPr>
            <w:r w:rsidRPr="00242020">
              <w:rPr>
                <w:sz w:val="20"/>
                <w:szCs w:val="20"/>
              </w:rPr>
              <w:t>м. Київ</w:t>
            </w:r>
          </w:p>
        </w:tc>
        <w:tc>
          <w:tcPr>
            <w:tcW w:w="897" w:type="dxa"/>
            <w:shd w:val="clear" w:color="auto" w:fill="FFFFFF" w:themeFill="background1"/>
            <w:vAlign w:val="center"/>
            <w:hideMark/>
          </w:tcPr>
          <w:p w:rsidR="002B3DF4" w:rsidRPr="00242020" w:rsidRDefault="002B3DF4" w:rsidP="002B3DF4">
            <w:pPr>
              <w:ind w:firstLine="0"/>
              <w:jc w:val="center"/>
              <w:cnfStyle w:val="000000100000"/>
              <w:rPr>
                <w:sz w:val="20"/>
                <w:szCs w:val="20"/>
              </w:rPr>
            </w:pPr>
            <w:r w:rsidRPr="00242020">
              <w:rPr>
                <w:sz w:val="20"/>
                <w:szCs w:val="20"/>
              </w:rPr>
              <w:t>1152</w:t>
            </w:r>
          </w:p>
        </w:tc>
        <w:tc>
          <w:tcPr>
            <w:tcW w:w="76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473</w:t>
            </w:r>
          </w:p>
        </w:tc>
        <w:tc>
          <w:tcPr>
            <w:tcW w:w="81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505</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42</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116</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16</w:t>
            </w:r>
          </w:p>
        </w:tc>
        <w:tc>
          <w:tcPr>
            <w:tcW w:w="925" w:type="dxa"/>
            <w:shd w:val="clear" w:color="auto" w:fill="FFFFFF" w:themeFill="background1"/>
            <w:noWrap/>
            <w:vAlign w:val="center"/>
            <w:hideMark/>
          </w:tcPr>
          <w:p w:rsidR="002B3DF4" w:rsidRPr="00242020" w:rsidRDefault="002B3DF4" w:rsidP="002B3DF4">
            <w:pPr>
              <w:ind w:firstLine="0"/>
              <w:jc w:val="center"/>
              <w:cnfStyle w:val="000000100000"/>
              <w:rPr>
                <w:b/>
                <w:i/>
                <w:iCs/>
                <w:sz w:val="20"/>
                <w:szCs w:val="20"/>
              </w:rPr>
            </w:pPr>
            <w:r w:rsidRPr="00242020">
              <w:rPr>
                <w:b/>
                <w:bCs/>
                <w:i/>
                <w:iCs/>
                <w:sz w:val="20"/>
                <w:szCs w:val="20"/>
              </w:rPr>
              <w:t>2</w:t>
            </w:r>
          </w:p>
        </w:tc>
        <w:tc>
          <w:tcPr>
            <w:tcW w:w="516" w:type="dxa"/>
            <w:shd w:val="clear" w:color="auto" w:fill="FFFFFF" w:themeFill="background1"/>
            <w:noWrap/>
            <w:vAlign w:val="center"/>
            <w:hideMark/>
          </w:tcPr>
          <w:p w:rsidR="002B3DF4" w:rsidRPr="00242020" w:rsidRDefault="002B3DF4" w:rsidP="002B3DF4">
            <w:pPr>
              <w:ind w:firstLine="0"/>
              <w:jc w:val="center"/>
              <w:cnfStyle w:val="000000100000"/>
              <w:rPr>
                <w:b/>
                <w:i/>
                <w:iCs/>
                <w:sz w:val="20"/>
                <w:szCs w:val="20"/>
              </w:rPr>
            </w:pPr>
            <w:r w:rsidRPr="00242020">
              <w:rPr>
                <w:b/>
                <w:bCs/>
                <w:i/>
                <w:iCs/>
                <w:sz w:val="20"/>
                <w:szCs w:val="20"/>
              </w:rPr>
              <w:t>2</w:t>
            </w:r>
          </w:p>
        </w:tc>
        <w:tc>
          <w:tcPr>
            <w:tcW w:w="565" w:type="dxa"/>
            <w:shd w:val="clear" w:color="auto" w:fill="FFFFFF" w:themeFill="background1"/>
            <w:vAlign w:val="center"/>
          </w:tcPr>
          <w:p w:rsidR="002B3DF4" w:rsidRPr="00242020" w:rsidRDefault="002B3DF4" w:rsidP="002B3DF4">
            <w:pPr>
              <w:ind w:firstLine="0"/>
              <w:jc w:val="center"/>
              <w:cnfStyle w:val="000000100000"/>
              <w:rPr>
                <w:b/>
                <w:i/>
                <w:iCs/>
                <w:sz w:val="20"/>
                <w:szCs w:val="20"/>
              </w:rPr>
            </w:pPr>
          </w:p>
        </w:tc>
        <w:tc>
          <w:tcPr>
            <w:tcW w:w="436" w:type="dxa"/>
            <w:shd w:val="clear" w:color="auto" w:fill="FFFFFF" w:themeFill="background1"/>
            <w:noWrap/>
            <w:vAlign w:val="center"/>
          </w:tcPr>
          <w:p w:rsidR="002B3DF4" w:rsidRPr="00242020" w:rsidRDefault="002B3DF4" w:rsidP="002B3DF4">
            <w:pPr>
              <w:ind w:firstLine="0"/>
              <w:jc w:val="center"/>
              <w:cnfStyle w:val="000000100000"/>
              <w:rPr>
                <w:b/>
                <w:i/>
                <w:iCs/>
                <w:sz w:val="20"/>
                <w:szCs w:val="20"/>
              </w:rPr>
            </w:pPr>
          </w:p>
        </w:tc>
        <w:tc>
          <w:tcPr>
            <w:tcW w:w="363" w:type="dxa"/>
            <w:shd w:val="clear" w:color="auto" w:fill="FFFFFF" w:themeFill="background1"/>
            <w:vAlign w:val="center"/>
          </w:tcPr>
          <w:p w:rsidR="002B3DF4" w:rsidRPr="00242020" w:rsidRDefault="002B3DF4" w:rsidP="002B3DF4">
            <w:pPr>
              <w:ind w:firstLine="0"/>
              <w:jc w:val="center"/>
              <w:cnfStyle w:val="000000100000"/>
              <w:rPr>
                <w:b/>
                <w:i/>
                <w:iCs/>
                <w:sz w:val="20"/>
                <w:szCs w:val="20"/>
              </w:rPr>
            </w:pPr>
          </w:p>
        </w:tc>
        <w:tc>
          <w:tcPr>
            <w:tcW w:w="434" w:type="dxa"/>
            <w:shd w:val="clear" w:color="auto" w:fill="FFFFFF" w:themeFill="background1"/>
            <w:vAlign w:val="center"/>
          </w:tcPr>
          <w:p w:rsidR="002B3DF4" w:rsidRPr="00242020" w:rsidRDefault="002B3DF4" w:rsidP="002B3DF4">
            <w:pPr>
              <w:ind w:firstLine="0"/>
              <w:jc w:val="center"/>
              <w:cnfStyle w:val="000000100000"/>
              <w:rPr>
                <w:b/>
                <w:i/>
                <w:iCs/>
                <w:sz w:val="20"/>
                <w:szCs w:val="20"/>
              </w:rPr>
            </w:pPr>
          </w:p>
        </w:tc>
        <w:tc>
          <w:tcPr>
            <w:tcW w:w="897" w:type="dxa"/>
            <w:shd w:val="clear" w:color="auto" w:fill="FFFFFF" w:themeFill="background1"/>
            <w:vAlign w:val="center"/>
            <w:hideMark/>
          </w:tcPr>
          <w:p w:rsidR="002B3DF4" w:rsidRPr="00242020" w:rsidRDefault="002B3DF4" w:rsidP="002B3DF4">
            <w:pPr>
              <w:ind w:firstLine="0"/>
              <w:jc w:val="center"/>
              <w:cnfStyle w:val="000000100000"/>
              <w:rPr>
                <w:sz w:val="20"/>
                <w:szCs w:val="20"/>
              </w:rPr>
            </w:pPr>
            <w:r w:rsidRPr="00242020">
              <w:rPr>
                <w:sz w:val="20"/>
                <w:szCs w:val="20"/>
              </w:rPr>
              <w:t>1154</w:t>
            </w:r>
          </w:p>
        </w:tc>
        <w:tc>
          <w:tcPr>
            <w:tcW w:w="76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475</w:t>
            </w:r>
          </w:p>
        </w:tc>
        <w:tc>
          <w:tcPr>
            <w:tcW w:w="775"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505</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42</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116</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16</w:t>
            </w:r>
          </w:p>
        </w:tc>
      </w:tr>
      <w:tr w:rsidR="004F12E3" w:rsidRPr="00242020" w:rsidTr="00EF2524">
        <w:trPr>
          <w:cnfStyle w:val="000000010000"/>
          <w:trHeight w:hRule="exact" w:val="266"/>
        </w:trPr>
        <w:tc>
          <w:tcPr>
            <w:cnfStyle w:val="001000000000"/>
            <w:tcW w:w="2977" w:type="dxa"/>
            <w:gridSpan w:val="2"/>
            <w:shd w:val="clear" w:color="auto" w:fill="D0CECE" w:themeFill="background2" w:themeFillShade="E6"/>
            <w:hideMark/>
          </w:tcPr>
          <w:p w:rsidR="002B3DF4" w:rsidRPr="00242020" w:rsidRDefault="002B3DF4" w:rsidP="002B3DF4">
            <w:pPr>
              <w:ind w:firstLine="0"/>
              <w:jc w:val="center"/>
              <w:rPr>
                <w:sz w:val="20"/>
                <w:szCs w:val="20"/>
              </w:rPr>
            </w:pPr>
            <w:r w:rsidRPr="00242020">
              <w:rPr>
                <w:sz w:val="20"/>
                <w:szCs w:val="20"/>
              </w:rPr>
              <w:t>Усього</w:t>
            </w:r>
          </w:p>
        </w:tc>
        <w:tc>
          <w:tcPr>
            <w:tcW w:w="897" w:type="dxa"/>
            <w:shd w:val="clear" w:color="auto" w:fill="D0CECE" w:themeFill="background2" w:themeFillShade="E6"/>
            <w:vAlign w:val="center"/>
            <w:hideMark/>
          </w:tcPr>
          <w:p w:rsidR="002B3DF4" w:rsidRPr="00242020" w:rsidRDefault="002B3DF4" w:rsidP="002B3DF4">
            <w:pPr>
              <w:ind w:firstLine="0"/>
              <w:jc w:val="center"/>
              <w:cnfStyle w:val="000000010000"/>
              <w:rPr>
                <w:b/>
                <w:i/>
                <w:iCs/>
                <w:sz w:val="20"/>
                <w:szCs w:val="20"/>
              </w:rPr>
            </w:pPr>
            <w:r w:rsidRPr="00242020">
              <w:rPr>
                <w:b/>
                <w:bCs/>
                <w:i/>
                <w:iCs/>
                <w:sz w:val="20"/>
                <w:szCs w:val="20"/>
              </w:rPr>
              <w:t>28718</w:t>
            </w:r>
          </w:p>
        </w:tc>
        <w:tc>
          <w:tcPr>
            <w:tcW w:w="766" w:type="dxa"/>
            <w:shd w:val="clear" w:color="auto" w:fill="D0CECE" w:themeFill="background2" w:themeFillShade="E6"/>
            <w:noWrap/>
            <w:vAlign w:val="center"/>
            <w:hideMark/>
          </w:tcPr>
          <w:p w:rsidR="002B3DF4" w:rsidRPr="00242020" w:rsidRDefault="002B3DF4" w:rsidP="002B3DF4">
            <w:pPr>
              <w:ind w:firstLine="0"/>
              <w:jc w:val="center"/>
              <w:cnfStyle w:val="000000010000"/>
              <w:rPr>
                <w:b/>
                <w:i/>
                <w:iCs/>
                <w:sz w:val="20"/>
                <w:szCs w:val="20"/>
              </w:rPr>
            </w:pPr>
            <w:r w:rsidRPr="00242020">
              <w:rPr>
                <w:b/>
                <w:bCs/>
                <w:i/>
                <w:iCs/>
                <w:sz w:val="20"/>
                <w:szCs w:val="20"/>
              </w:rPr>
              <w:t>13933</w:t>
            </w:r>
          </w:p>
        </w:tc>
        <w:tc>
          <w:tcPr>
            <w:tcW w:w="816" w:type="dxa"/>
            <w:shd w:val="clear" w:color="auto" w:fill="D0CECE" w:themeFill="background2" w:themeFillShade="E6"/>
            <w:noWrap/>
            <w:vAlign w:val="center"/>
            <w:hideMark/>
          </w:tcPr>
          <w:p w:rsidR="002B3DF4" w:rsidRPr="00242020" w:rsidRDefault="002B3DF4" w:rsidP="002B3DF4">
            <w:pPr>
              <w:ind w:firstLine="0"/>
              <w:jc w:val="center"/>
              <w:cnfStyle w:val="000000010000"/>
              <w:rPr>
                <w:b/>
                <w:i/>
                <w:iCs/>
                <w:sz w:val="20"/>
                <w:szCs w:val="20"/>
              </w:rPr>
            </w:pPr>
            <w:r w:rsidRPr="00242020">
              <w:rPr>
                <w:b/>
                <w:bCs/>
                <w:i/>
                <w:iCs/>
                <w:sz w:val="20"/>
                <w:szCs w:val="20"/>
              </w:rPr>
              <w:t>8737</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b/>
                <w:i/>
                <w:iCs/>
                <w:sz w:val="20"/>
                <w:szCs w:val="20"/>
              </w:rPr>
            </w:pPr>
            <w:r w:rsidRPr="00242020">
              <w:rPr>
                <w:b/>
                <w:bCs/>
                <w:i/>
                <w:iCs/>
                <w:sz w:val="20"/>
                <w:szCs w:val="20"/>
              </w:rPr>
              <w:t>3952</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b/>
                <w:i/>
                <w:iCs/>
                <w:sz w:val="20"/>
                <w:szCs w:val="20"/>
              </w:rPr>
            </w:pPr>
            <w:r w:rsidRPr="00242020">
              <w:rPr>
                <w:b/>
                <w:bCs/>
                <w:i/>
                <w:iCs/>
                <w:sz w:val="20"/>
                <w:szCs w:val="20"/>
              </w:rPr>
              <w:t>1012</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b/>
                <w:sz w:val="20"/>
                <w:szCs w:val="20"/>
              </w:rPr>
            </w:pPr>
            <w:r w:rsidRPr="00242020">
              <w:rPr>
                <w:b/>
                <w:bCs/>
                <w:sz w:val="20"/>
                <w:szCs w:val="20"/>
              </w:rPr>
              <w:t>1084</w:t>
            </w:r>
          </w:p>
        </w:tc>
        <w:tc>
          <w:tcPr>
            <w:tcW w:w="925" w:type="dxa"/>
            <w:shd w:val="clear" w:color="auto" w:fill="D0CECE" w:themeFill="background2" w:themeFillShade="E6"/>
            <w:noWrap/>
            <w:vAlign w:val="center"/>
            <w:hideMark/>
          </w:tcPr>
          <w:p w:rsidR="002B3DF4" w:rsidRPr="00242020" w:rsidRDefault="002B3DF4" w:rsidP="00935AC5">
            <w:pPr>
              <w:ind w:firstLine="0"/>
              <w:jc w:val="center"/>
              <w:cnfStyle w:val="000000010000"/>
              <w:rPr>
                <w:b/>
                <w:i/>
                <w:iCs/>
                <w:sz w:val="20"/>
                <w:szCs w:val="20"/>
              </w:rPr>
            </w:pPr>
            <w:r w:rsidRPr="00242020">
              <w:rPr>
                <w:b/>
                <w:bCs/>
                <w:i/>
                <w:iCs/>
                <w:sz w:val="20"/>
                <w:szCs w:val="20"/>
              </w:rPr>
              <w:t>1</w:t>
            </w:r>
            <w:r w:rsidR="00935AC5">
              <w:rPr>
                <w:b/>
                <w:bCs/>
                <w:i/>
                <w:iCs/>
                <w:sz w:val="20"/>
                <w:szCs w:val="20"/>
              </w:rPr>
              <w:t>40</w:t>
            </w:r>
          </w:p>
        </w:tc>
        <w:tc>
          <w:tcPr>
            <w:tcW w:w="516" w:type="dxa"/>
            <w:shd w:val="clear" w:color="auto" w:fill="D0CECE" w:themeFill="background2" w:themeFillShade="E6"/>
            <w:noWrap/>
            <w:vAlign w:val="center"/>
            <w:hideMark/>
          </w:tcPr>
          <w:p w:rsidR="002B3DF4" w:rsidRPr="00242020" w:rsidRDefault="002B3DF4" w:rsidP="00935AC5">
            <w:pPr>
              <w:ind w:firstLine="0"/>
              <w:jc w:val="center"/>
              <w:cnfStyle w:val="000000010000"/>
              <w:rPr>
                <w:b/>
                <w:i/>
                <w:iCs/>
                <w:sz w:val="20"/>
                <w:szCs w:val="20"/>
              </w:rPr>
            </w:pPr>
            <w:r w:rsidRPr="00242020">
              <w:rPr>
                <w:b/>
                <w:bCs/>
                <w:i/>
                <w:iCs/>
                <w:sz w:val="20"/>
                <w:szCs w:val="20"/>
              </w:rPr>
              <w:t>11</w:t>
            </w:r>
            <w:r w:rsidR="00935AC5">
              <w:rPr>
                <w:b/>
                <w:bCs/>
                <w:i/>
                <w:iCs/>
                <w:sz w:val="20"/>
                <w:szCs w:val="20"/>
              </w:rPr>
              <w:t>4</w:t>
            </w:r>
          </w:p>
        </w:tc>
        <w:tc>
          <w:tcPr>
            <w:tcW w:w="565" w:type="dxa"/>
            <w:shd w:val="clear" w:color="auto" w:fill="D0CECE" w:themeFill="background2" w:themeFillShade="E6"/>
            <w:vAlign w:val="center"/>
            <w:hideMark/>
          </w:tcPr>
          <w:p w:rsidR="002B3DF4" w:rsidRPr="00242020" w:rsidRDefault="002B3DF4" w:rsidP="002B3DF4">
            <w:pPr>
              <w:ind w:firstLine="0"/>
              <w:jc w:val="center"/>
              <w:cnfStyle w:val="000000010000"/>
              <w:rPr>
                <w:b/>
                <w:i/>
                <w:iCs/>
                <w:sz w:val="20"/>
                <w:szCs w:val="20"/>
              </w:rPr>
            </w:pPr>
            <w:r w:rsidRPr="00242020">
              <w:rPr>
                <w:b/>
                <w:bCs/>
                <w:i/>
                <w:iCs/>
                <w:sz w:val="20"/>
                <w:szCs w:val="20"/>
              </w:rPr>
              <w:t>3</w:t>
            </w:r>
          </w:p>
        </w:tc>
        <w:tc>
          <w:tcPr>
            <w:tcW w:w="436" w:type="dxa"/>
            <w:shd w:val="clear" w:color="auto" w:fill="D0CECE" w:themeFill="background2" w:themeFillShade="E6"/>
            <w:noWrap/>
            <w:vAlign w:val="center"/>
            <w:hideMark/>
          </w:tcPr>
          <w:p w:rsidR="002B3DF4" w:rsidRPr="00242020" w:rsidRDefault="002B3DF4" w:rsidP="002B3DF4">
            <w:pPr>
              <w:ind w:firstLine="0"/>
              <w:jc w:val="center"/>
              <w:cnfStyle w:val="000000010000"/>
              <w:rPr>
                <w:b/>
                <w:i/>
                <w:iCs/>
                <w:sz w:val="20"/>
                <w:szCs w:val="20"/>
              </w:rPr>
            </w:pPr>
            <w:r w:rsidRPr="00242020">
              <w:rPr>
                <w:b/>
                <w:bCs/>
                <w:i/>
                <w:iCs/>
                <w:sz w:val="20"/>
                <w:szCs w:val="20"/>
              </w:rPr>
              <w:t>18</w:t>
            </w:r>
          </w:p>
        </w:tc>
        <w:tc>
          <w:tcPr>
            <w:tcW w:w="363" w:type="dxa"/>
            <w:shd w:val="clear" w:color="auto" w:fill="D0CECE" w:themeFill="background2" w:themeFillShade="E6"/>
            <w:vAlign w:val="center"/>
            <w:hideMark/>
          </w:tcPr>
          <w:p w:rsidR="002B3DF4" w:rsidRPr="00242020" w:rsidRDefault="002B3DF4" w:rsidP="002B3DF4">
            <w:pPr>
              <w:ind w:firstLine="0"/>
              <w:jc w:val="center"/>
              <w:cnfStyle w:val="000000010000"/>
              <w:rPr>
                <w:b/>
                <w:i/>
                <w:iCs/>
                <w:sz w:val="20"/>
                <w:szCs w:val="20"/>
              </w:rPr>
            </w:pPr>
            <w:r w:rsidRPr="00242020">
              <w:rPr>
                <w:b/>
                <w:bCs/>
                <w:i/>
                <w:iCs/>
                <w:sz w:val="20"/>
                <w:szCs w:val="20"/>
              </w:rPr>
              <w:t>2</w:t>
            </w:r>
          </w:p>
        </w:tc>
        <w:tc>
          <w:tcPr>
            <w:tcW w:w="434" w:type="dxa"/>
            <w:shd w:val="clear" w:color="auto" w:fill="D0CECE" w:themeFill="background2" w:themeFillShade="E6"/>
            <w:vAlign w:val="center"/>
            <w:hideMark/>
          </w:tcPr>
          <w:p w:rsidR="002B3DF4" w:rsidRPr="00242020" w:rsidRDefault="002B3DF4" w:rsidP="002B3DF4">
            <w:pPr>
              <w:ind w:firstLine="0"/>
              <w:jc w:val="center"/>
              <w:cnfStyle w:val="000000010000"/>
              <w:rPr>
                <w:b/>
                <w:i/>
                <w:iCs/>
                <w:sz w:val="20"/>
                <w:szCs w:val="20"/>
              </w:rPr>
            </w:pPr>
            <w:r w:rsidRPr="00242020">
              <w:rPr>
                <w:b/>
                <w:bCs/>
                <w:i/>
                <w:iCs/>
                <w:sz w:val="20"/>
                <w:szCs w:val="20"/>
              </w:rPr>
              <w:t>3</w:t>
            </w:r>
          </w:p>
        </w:tc>
        <w:tc>
          <w:tcPr>
            <w:tcW w:w="897" w:type="dxa"/>
            <w:shd w:val="clear" w:color="auto" w:fill="D0CECE" w:themeFill="background2" w:themeFillShade="E6"/>
            <w:vAlign w:val="center"/>
            <w:hideMark/>
          </w:tcPr>
          <w:p w:rsidR="002B3DF4" w:rsidRPr="00242020" w:rsidRDefault="002B3DF4" w:rsidP="00935AC5">
            <w:pPr>
              <w:ind w:firstLine="0"/>
              <w:jc w:val="center"/>
              <w:cnfStyle w:val="000000010000"/>
              <w:rPr>
                <w:b/>
                <w:sz w:val="20"/>
                <w:szCs w:val="20"/>
              </w:rPr>
            </w:pPr>
            <w:r w:rsidRPr="00242020">
              <w:rPr>
                <w:b/>
                <w:bCs/>
                <w:sz w:val="20"/>
                <w:szCs w:val="20"/>
              </w:rPr>
              <w:t>2885</w:t>
            </w:r>
            <w:r w:rsidR="00935AC5">
              <w:rPr>
                <w:b/>
                <w:bCs/>
                <w:sz w:val="20"/>
                <w:szCs w:val="20"/>
              </w:rPr>
              <w:t>8</w:t>
            </w:r>
          </w:p>
        </w:tc>
        <w:tc>
          <w:tcPr>
            <w:tcW w:w="766" w:type="dxa"/>
            <w:shd w:val="clear" w:color="auto" w:fill="D0CECE" w:themeFill="background2" w:themeFillShade="E6"/>
            <w:noWrap/>
            <w:vAlign w:val="center"/>
            <w:hideMark/>
          </w:tcPr>
          <w:p w:rsidR="002B3DF4" w:rsidRPr="00242020" w:rsidRDefault="002B3DF4" w:rsidP="00935AC5">
            <w:pPr>
              <w:ind w:firstLine="0"/>
              <w:jc w:val="center"/>
              <w:cnfStyle w:val="000000010000"/>
              <w:rPr>
                <w:b/>
                <w:sz w:val="20"/>
                <w:szCs w:val="20"/>
              </w:rPr>
            </w:pPr>
            <w:r w:rsidRPr="00242020">
              <w:rPr>
                <w:b/>
                <w:bCs/>
                <w:sz w:val="20"/>
                <w:szCs w:val="20"/>
              </w:rPr>
              <w:t>1404</w:t>
            </w:r>
            <w:r w:rsidR="00935AC5">
              <w:rPr>
                <w:b/>
                <w:bCs/>
                <w:sz w:val="20"/>
                <w:szCs w:val="20"/>
              </w:rPr>
              <w:t>7</w:t>
            </w:r>
          </w:p>
        </w:tc>
        <w:tc>
          <w:tcPr>
            <w:tcW w:w="775" w:type="dxa"/>
            <w:shd w:val="clear" w:color="auto" w:fill="D0CECE" w:themeFill="background2" w:themeFillShade="E6"/>
            <w:noWrap/>
            <w:vAlign w:val="center"/>
            <w:hideMark/>
          </w:tcPr>
          <w:p w:rsidR="002B3DF4" w:rsidRPr="00242020" w:rsidRDefault="002B3DF4" w:rsidP="002B3DF4">
            <w:pPr>
              <w:ind w:firstLine="0"/>
              <w:jc w:val="center"/>
              <w:cnfStyle w:val="000000010000"/>
              <w:rPr>
                <w:b/>
                <w:sz w:val="20"/>
                <w:szCs w:val="20"/>
              </w:rPr>
            </w:pPr>
            <w:r w:rsidRPr="00242020">
              <w:rPr>
                <w:b/>
                <w:bCs/>
                <w:sz w:val="20"/>
                <w:szCs w:val="20"/>
              </w:rPr>
              <w:t>8740</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b/>
                <w:sz w:val="20"/>
                <w:szCs w:val="20"/>
              </w:rPr>
            </w:pPr>
            <w:r w:rsidRPr="00242020">
              <w:rPr>
                <w:b/>
                <w:bCs/>
                <w:sz w:val="20"/>
                <w:szCs w:val="20"/>
              </w:rPr>
              <w:t>3970</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b/>
                <w:sz w:val="20"/>
                <w:szCs w:val="20"/>
              </w:rPr>
            </w:pPr>
            <w:r w:rsidRPr="00242020">
              <w:rPr>
                <w:b/>
                <w:bCs/>
                <w:sz w:val="20"/>
                <w:szCs w:val="20"/>
              </w:rPr>
              <w:t>1014</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b/>
                <w:sz w:val="20"/>
                <w:szCs w:val="20"/>
              </w:rPr>
            </w:pPr>
            <w:r w:rsidRPr="00242020">
              <w:rPr>
                <w:b/>
                <w:bCs/>
                <w:sz w:val="20"/>
                <w:szCs w:val="20"/>
              </w:rPr>
              <w:t>1087</w:t>
            </w:r>
          </w:p>
        </w:tc>
      </w:tr>
      <w:tr w:rsidR="004F12E3" w:rsidRPr="00242020" w:rsidTr="00EF2524">
        <w:trPr>
          <w:cnfStyle w:val="000000100000"/>
          <w:trHeight w:hRule="exact" w:val="266"/>
        </w:trPr>
        <w:tc>
          <w:tcPr>
            <w:cnfStyle w:val="001000000000"/>
            <w:tcW w:w="2977" w:type="dxa"/>
            <w:gridSpan w:val="2"/>
            <w:shd w:val="clear" w:color="auto" w:fill="FFFFFF" w:themeFill="background1"/>
            <w:hideMark/>
          </w:tcPr>
          <w:p w:rsidR="002B3DF4" w:rsidRPr="00242020" w:rsidRDefault="002B3DF4" w:rsidP="002B3DF4">
            <w:pPr>
              <w:ind w:firstLine="0"/>
              <w:jc w:val="both"/>
              <w:rPr>
                <w:b w:val="0"/>
                <w:sz w:val="20"/>
                <w:szCs w:val="20"/>
              </w:rPr>
            </w:pPr>
            <w:r w:rsidRPr="00242020">
              <w:rPr>
                <w:sz w:val="20"/>
                <w:szCs w:val="20"/>
              </w:rPr>
              <w:t>у т.ч. - апарат Фонду</w:t>
            </w:r>
          </w:p>
        </w:tc>
        <w:tc>
          <w:tcPr>
            <w:tcW w:w="897" w:type="dxa"/>
            <w:shd w:val="clear" w:color="auto" w:fill="FFFFFF" w:themeFill="background1"/>
            <w:vAlign w:val="center"/>
          </w:tcPr>
          <w:p w:rsidR="002B3DF4" w:rsidRPr="00242020" w:rsidRDefault="002B3DF4" w:rsidP="002B3DF4">
            <w:pPr>
              <w:ind w:firstLine="0"/>
              <w:jc w:val="center"/>
              <w:cnfStyle w:val="000000100000"/>
              <w:rPr>
                <w:sz w:val="20"/>
                <w:szCs w:val="20"/>
                <w:highlight w:val="magenta"/>
              </w:rPr>
            </w:pPr>
          </w:p>
        </w:tc>
        <w:tc>
          <w:tcPr>
            <w:tcW w:w="766" w:type="dxa"/>
            <w:shd w:val="clear" w:color="auto" w:fill="FFFFFF" w:themeFill="background1"/>
            <w:noWrap/>
            <w:vAlign w:val="center"/>
          </w:tcPr>
          <w:p w:rsidR="002B3DF4" w:rsidRPr="00242020" w:rsidRDefault="002B3DF4" w:rsidP="002B3DF4">
            <w:pPr>
              <w:ind w:firstLine="0"/>
              <w:jc w:val="center"/>
              <w:cnfStyle w:val="000000100000"/>
              <w:rPr>
                <w:sz w:val="20"/>
                <w:szCs w:val="20"/>
                <w:highlight w:val="magenta"/>
              </w:rPr>
            </w:pPr>
          </w:p>
        </w:tc>
        <w:tc>
          <w:tcPr>
            <w:tcW w:w="816" w:type="dxa"/>
            <w:shd w:val="clear" w:color="auto" w:fill="FFFFFF" w:themeFill="background1"/>
            <w:noWrap/>
            <w:vAlign w:val="center"/>
          </w:tcPr>
          <w:p w:rsidR="002B3DF4" w:rsidRPr="00242020" w:rsidRDefault="002B3DF4" w:rsidP="002B3DF4">
            <w:pPr>
              <w:ind w:firstLine="0"/>
              <w:jc w:val="center"/>
              <w:cnfStyle w:val="000000100000"/>
              <w:rPr>
                <w:sz w:val="20"/>
                <w:szCs w:val="20"/>
                <w:highlight w:val="magenta"/>
              </w:rPr>
            </w:pPr>
          </w:p>
        </w:tc>
        <w:tc>
          <w:tcPr>
            <w:tcW w:w="656" w:type="dxa"/>
            <w:shd w:val="clear" w:color="auto" w:fill="FFFFFF" w:themeFill="background1"/>
            <w:noWrap/>
            <w:vAlign w:val="center"/>
          </w:tcPr>
          <w:p w:rsidR="002B3DF4" w:rsidRPr="00242020" w:rsidRDefault="002B3DF4" w:rsidP="002B3DF4">
            <w:pPr>
              <w:ind w:firstLine="0"/>
              <w:jc w:val="center"/>
              <w:cnfStyle w:val="000000100000"/>
              <w:rPr>
                <w:sz w:val="20"/>
                <w:szCs w:val="20"/>
                <w:highlight w:val="magenta"/>
              </w:rPr>
            </w:pPr>
          </w:p>
        </w:tc>
        <w:tc>
          <w:tcPr>
            <w:tcW w:w="656" w:type="dxa"/>
            <w:shd w:val="clear" w:color="auto" w:fill="FFFFFF" w:themeFill="background1"/>
            <w:noWrap/>
            <w:vAlign w:val="center"/>
          </w:tcPr>
          <w:p w:rsidR="002B3DF4" w:rsidRPr="00242020" w:rsidRDefault="002B3DF4" w:rsidP="002B3DF4">
            <w:pPr>
              <w:ind w:firstLine="0"/>
              <w:jc w:val="center"/>
              <w:cnfStyle w:val="000000100000"/>
              <w:rPr>
                <w:sz w:val="20"/>
                <w:szCs w:val="20"/>
                <w:highlight w:val="magenta"/>
              </w:rPr>
            </w:pPr>
          </w:p>
        </w:tc>
        <w:tc>
          <w:tcPr>
            <w:tcW w:w="656" w:type="dxa"/>
            <w:shd w:val="clear" w:color="auto" w:fill="FFFFFF" w:themeFill="background1"/>
            <w:noWrap/>
            <w:vAlign w:val="center"/>
          </w:tcPr>
          <w:p w:rsidR="002B3DF4" w:rsidRPr="00242020" w:rsidRDefault="002B3DF4" w:rsidP="002B3DF4">
            <w:pPr>
              <w:ind w:firstLine="0"/>
              <w:jc w:val="center"/>
              <w:cnfStyle w:val="000000100000"/>
              <w:rPr>
                <w:sz w:val="20"/>
                <w:szCs w:val="20"/>
                <w:highlight w:val="magenta"/>
              </w:rPr>
            </w:pPr>
          </w:p>
        </w:tc>
        <w:tc>
          <w:tcPr>
            <w:tcW w:w="925" w:type="dxa"/>
            <w:shd w:val="clear" w:color="auto" w:fill="FFFFFF" w:themeFill="background1"/>
            <w:noWrap/>
            <w:vAlign w:val="center"/>
            <w:hideMark/>
          </w:tcPr>
          <w:p w:rsidR="002B3DF4" w:rsidRPr="00242020" w:rsidRDefault="00F97348" w:rsidP="002B3DF4">
            <w:pPr>
              <w:ind w:firstLine="0"/>
              <w:jc w:val="center"/>
              <w:cnfStyle w:val="000000100000"/>
              <w:rPr>
                <w:b/>
                <w:i/>
                <w:iCs/>
                <w:sz w:val="20"/>
                <w:szCs w:val="20"/>
              </w:rPr>
            </w:pPr>
            <w:r>
              <w:rPr>
                <w:b/>
                <w:bCs/>
                <w:i/>
                <w:iCs/>
                <w:sz w:val="20"/>
                <w:szCs w:val="20"/>
              </w:rPr>
              <w:t>3</w:t>
            </w:r>
          </w:p>
        </w:tc>
        <w:tc>
          <w:tcPr>
            <w:tcW w:w="516" w:type="dxa"/>
            <w:shd w:val="clear" w:color="auto" w:fill="FFFFFF" w:themeFill="background1"/>
            <w:noWrap/>
            <w:vAlign w:val="center"/>
            <w:hideMark/>
          </w:tcPr>
          <w:p w:rsidR="002B3DF4" w:rsidRPr="00242020" w:rsidRDefault="00F97348" w:rsidP="002B3DF4">
            <w:pPr>
              <w:ind w:firstLine="0"/>
              <w:jc w:val="center"/>
              <w:cnfStyle w:val="000000100000"/>
              <w:rPr>
                <w:b/>
                <w:bCs/>
                <w:i/>
                <w:iCs/>
                <w:sz w:val="20"/>
                <w:szCs w:val="20"/>
              </w:rPr>
            </w:pPr>
            <w:r>
              <w:rPr>
                <w:b/>
                <w:bCs/>
                <w:i/>
                <w:iCs/>
                <w:sz w:val="20"/>
                <w:szCs w:val="20"/>
              </w:rPr>
              <w:t>3</w:t>
            </w:r>
          </w:p>
        </w:tc>
        <w:tc>
          <w:tcPr>
            <w:tcW w:w="565" w:type="dxa"/>
            <w:shd w:val="clear" w:color="auto" w:fill="FFFFFF" w:themeFill="background1"/>
            <w:vAlign w:val="center"/>
          </w:tcPr>
          <w:p w:rsidR="002B3DF4" w:rsidRPr="00242020" w:rsidRDefault="002B3DF4" w:rsidP="002B3DF4">
            <w:pPr>
              <w:ind w:firstLine="0"/>
              <w:jc w:val="center"/>
              <w:cnfStyle w:val="000000100000"/>
              <w:rPr>
                <w:b/>
                <w:bCs/>
                <w:i/>
                <w:iCs/>
                <w:sz w:val="20"/>
                <w:szCs w:val="20"/>
              </w:rPr>
            </w:pPr>
          </w:p>
        </w:tc>
        <w:tc>
          <w:tcPr>
            <w:tcW w:w="436" w:type="dxa"/>
            <w:shd w:val="clear" w:color="auto" w:fill="FFFFFF" w:themeFill="background1"/>
            <w:noWrap/>
            <w:vAlign w:val="center"/>
          </w:tcPr>
          <w:p w:rsidR="002B3DF4" w:rsidRPr="00242020" w:rsidRDefault="002B3DF4" w:rsidP="002B3DF4">
            <w:pPr>
              <w:ind w:firstLine="0"/>
              <w:jc w:val="center"/>
              <w:cnfStyle w:val="000000100000"/>
              <w:rPr>
                <w:b/>
                <w:bCs/>
                <w:i/>
                <w:iCs/>
                <w:sz w:val="20"/>
                <w:szCs w:val="20"/>
              </w:rPr>
            </w:pPr>
          </w:p>
        </w:tc>
        <w:tc>
          <w:tcPr>
            <w:tcW w:w="363" w:type="dxa"/>
            <w:shd w:val="clear" w:color="auto" w:fill="FFFFFF" w:themeFill="background1"/>
            <w:vAlign w:val="center"/>
          </w:tcPr>
          <w:p w:rsidR="002B3DF4" w:rsidRPr="00242020" w:rsidRDefault="002B3DF4" w:rsidP="002B3DF4">
            <w:pPr>
              <w:ind w:firstLine="0"/>
              <w:jc w:val="center"/>
              <w:cnfStyle w:val="000000100000"/>
              <w:rPr>
                <w:b/>
                <w:bCs/>
                <w:i/>
                <w:iCs/>
                <w:sz w:val="20"/>
                <w:szCs w:val="20"/>
              </w:rPr>
            </w:pPr>
          </w:p>
        </w:tc>
        <w:tc>
          <w:tcPr>
            <w:tcW w:w="434" w:type="dxa"/>
            <w:shd w:val="clear" w:color="auto" w:fill="FFFFFF" w:themeFill="background1"/>
            <w:vAlign w:val="center"/>
          </w:tcPr>
          <w:p w:rsidR="002B3DF4" w:rsidRPr="00242020" w:rsidRDefault="002B3DF4" w:rsidP="002B3DF4">
            <w:pPr>
              <w:ind w:firstLine="0"/>
              <w:jc w:val="center"/>
              <w:cnfStyle w:val="000000100000"/>
              <w:rPr>
                <w:b/>
                <w:bCs/>
                <w:i/>
                <w:iCs/>
                <w:sz w:val="20"/>
                <w:szCs w:val="20"/>
              </w:rPr>
            </w:pPr>
          </w:p>
        </w:tc>
        <w:tc>
          <w:tcPr>
            <w:tcW w:w="897" w:type="dxa"/>
            <w:shd w:val="clear" w:color="auto" w:fill="FFFFFF" w:themeFill="background1"/>
            <w:vAlign w:val="center"/>
          </w:tcPr>
          <w:p w:rsidR="002B3DF4" w:rsidRPr="00242020" w:rsidRDefault="002B3DF4" w:rsidP="002B3DF4">
            <w:pPr>
              <w:ind w:firstLine="0"/>
              <w:jc w:val="center"/>
              <w:cnfStyle w:val="000000100000"/>
              <w:rPr>
                <w:bCs/>
                <w:sz w:val="20"/>
                <w:szCs w:val="20"/>
                <w:highlight w:val="magenta"/>
              </w:rPr>
            </w:pPr>
          </w:p>
        </w:tc>
        <w:tc>
          <w:tcPr>
            <w:tcW w:w="766" w:type="dxa"/>
            <w:shd w:val="clear" w:color="auto" w:fill="FFFFFF" w:themeFill="background1"/>
            <w:noWrap/>
            <w:vAlign w:val="center"/>
          </w:tcPr>
          <w:p w:rsidR="002B3DF4" w:rsidRPr="00242020" w:rsidRDefault="002B3DF4" w:rsidP="002B3DF4">
            <w:pPr>
              <w:ind w:firstLine="0"/>
              <w:jc w:val="center"/>
              <w:cnfStyle w:val="000000100000"/>
              <w:rPr>
                <w:sz w:val="20"/>
                <w:szCs w:val="20"/>
                <w:highlight w:val="magenta"/>
              </w:rPr>
            </w:pPr>
          </w:p>
        </w:tc>
        <w:tc>
          <w:tcPr>
            <w:tcW w:w="775" w:type="dxa"/>
            <w:shd w:val="clear" w:color="auto" w:fill="FFFFFF" w:themeFill="background1"/>
            <w:noWrap/>
            <w:vAlign w:val="center"/>
          </w:tcPr>
          <w:p w:rsidR="002B3DF4" w:rsidRPr="00242020" w:rsidRDefault="002B3DF4" w:rsidP="002B3DF4">
            <w:pPr>
              <w:ind w:firstLine="0"/>
              <w:jc w:val="center"/>
              <w:cnfStyle w:val="000000100000"/>
              <w:rPr>
                <w:sz w:val="20"/>
                <w:szCs w:val="20"/>
                <w:highlight w:val="magenta"/>
              </w:rPr>
            </w:pPr>
          </w:p>
        </w:tc>
        <w:tc>
          <w:tcPr>
            <w:tcW w:w="656" w:type="dxa"/>
            <w:shd w:val="clear" w:color="auto" w:fill="FFFFFF" w:themeFill="background1"/>
            <w:noWrap/>
            <w:vAlign w:val="center"/>
          </w:tcPr>
          <w:p w:rsidR="002B3DF4" w:rsidRPr="00242020" w:rsidRDefault="002B3DF4" w:rsidP="002B3DF4">
            <w:pPr>
              <w:ind w:firstLine="0"/>
              <w:jc w:val="center"/>
              <w:cnfStyle w:val="000000100000"/>
              <w:rPr>
                <w:sz w:val="20"/>
                <w:szCs w:val="20"/>
                <w:highlight w:val="magenta"/>
              </w:rPr>
            </w:pPr>
          </w:p>
        </w:tc>
        <w:tc>
          <w:tcPr>
            <w:tcW w:w="656" w:type="dxa"/>
            <w:shd w:val="clear" w:color="auto" w:fill="FFFFFF" w:themeFill="background1"/>
            <w:noWrap/>
            <w:vAlign w:val="center"/>
          </w:tcPr>
          <w:p w:rsidR="002B3DF4" w:rsidRPr="00242020" w:rsidRDefault="002B3DF4" w:rsidP="002B3DF4">
            <w:pPr>
              <w:ind w:firstLine="0"/>
              <w:jc w:val="center"/>
              <w:cnfStyle w:val="000000100000"/>
              <w:rPr>
                <w:sz w:val="20"/>
                <w:szCs w:val="20"/>
                <w:highlight w:val="magenta"/>
              </w:rPr>
            </w:pPr>
          </w:p>
        </w:tc>
        <w:tc>
          <w:tcPr>
            <w:tcW w:w="656" w:type="dxa"/>
            <w:shd w:val="clear" w:color="auto" w:fill="FFFFFF" w:themeFill="background1"/>
            <w:noWrap/>
            <w:vAlign w:val="center"/>
          </w:tcPr>
          <w:p w:rsidR="002B3DF4" w:rsidRPr="00242020" w:rsidRDefault="002B3DF4" w:rsidP="002B3DF4">
            <w:pPr>
              <w:ind w:firstLine="0"/>
              <w:jc w:val="center"/>
              <w:cnfStyle w:val="000000100000"/>
              <w:rPr>
                <w:sz w:val="20"/>
                <w:szCs w:val="20"/>
                <w:highlight w:val="magenta"/>
              </w:rPr>
            </w:pPr>
          </w:p>
        </w:tc>
      </w:tr>
      <w:tr w:rsidR="004F12E3" w:rsidRPr="00242020" w:rsidTr="00EF2524">
        <w:trPr>
          <w:cnfStyle w:val="000000010000"/>
          <w:trHeight w:hRule="exact" w:val="266"/>
        </w:trPr>
        <w:tc>
          <w:tcPr>
            <w:cnfStyle w:val="001000000000"/>
            <w:tcW w:w="452" w:type="dxa"/>
            <w:shd w:val="clear" w:color="auto" w:fill="D0CECE" w:themeFill="background2" w:themeFillShade="E6"/>
            <w:vAlign w:val="center"/>
            <w:hideMark/>
          </w:tcPr>
          <w:p w:rsidR="002B3DF4" w:rsidRPr="00242020" w:rsidRDefault="002B3DF4" w:rsidP="002B3DF4">
            <w:pPr>
              <w:ind w:firstLine="0"/>
              <w:jc w:val="center"/>
              <w:rPr>
                <w:sz w:val="20"/>
                <w:szCs w:val="20"/>
              </w:rPr>
            </w:pPr>
            <w:r w:rsidRPr="00242020">
              <w:rPr>
                <w:sz w:val="20"/>
                <w:szCs w:val="20"/>
              </w:rPr>
              <w:t>1</w:t>
            </w:r>
          </w:p>
        </w:tc>
        <w:tc>
          <w:tcPr>
            <w:tcW w:w="2525" w:type="dxa"/>
            <w:shd w:val="clear" w:color="auto" w:fill="D0CECE" w:themeFill="background2" w:themeFillShade="E6"/>
            <w:vAlign w:val="center"/>
            <w:hideMark/>
          </w:tcPr>
          <w:p w:rsidR="002B3DF4" w:rsidRPr="00242020" w:rsidRDefault="002B3DF4" w:rsidP="00052F2E">
            <w:pPr>
              <w:ind w:left="-89" w:right="-118" w:firstLine="0"/>
              <w:cnfStyle w:val="000000010000"/>
              <w:rPr>
                <w:spacing w:val="-8"/>
                <w:sz w:val="20"/>
              </w:rPr>
            </w:pPr>
            <w:r w:rsidRPr="00242020">
              <w:rPr>
                <w:sz w:val="20"/>
              </w:rPr>
              <w:t>АР Крим та м. Севастополь</w:t>
            </w:r>
          </w:p>
        </w:tc>
        <w:tc>
          <w:tcPr>
            <w:tcW w:w="897" w:type="dxa"/>
            <w:shd w:val="clear" w:color="auto" w:fill="D0CECE" w:themeFill="background2" w:themeFillShade="E6"/>
            <w:vAlign w:val="center"/>
            <w:hideMark/>
          </w:tcPr>
          <w:p w:rsidR="002B3DF4" w:rsidRPr="00242020" w:rsidRDefault="002B3DF4" w:rsidP="002B3DF4">
            <w:pPr>
              <w:ind w:firstLine="0"/>
              <w:jc w:val="center"/>
              <w:cnfStyle w:val="000000010000"/>
              <w:rPr>
                <w:sz w:val="20"/>
                <w:szCs w:val="20"/>
              </w:rPr>
            </w:pPr>
            <w:r w:rsidRPr="00242020">
              <w:rPr>
                <w:sz w:val="20"/>
                <w:szCs w:val="20"/>
              </w:rPr>
              <w:t>215</w:t>
            </w:r>
          </w:p>
        </w:tc>
        <w:tc>
          <w:tcPr>
            <w:tcW w:w="76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120</w:t>
            </w:r>
          </w:p>
        </w:tc>
        <w:tc>
          <w:tcPr>
            <w:tcW w:w="81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51</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30</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5</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9</w:t>
            </w:r>
          </w:p>
        </w:tc>
        <w:tc>
          <w:tcPr>
            <w:tcW w:w="925" w:type="dxa"/>
            <w:shd w:val="clear" w:color="auto" w:fill="D0CECE" w:themeFill="background2" w:themeFillShade="E6"/>
            <w:noWrap/>
            <w:vAlign w:val="center"/>
            <w:hideMark/>
          </w:tcPr>
          <w:p w:rsidR="002B3DF4" w:rsidRPr="00242020" w:rsidRDefault="002B3DF4" w:rsidP="002B3DF4">
            <w:pPr>
              <w:ind w:firstLine="0"/>
              <w:jc w:val="center"/>
              <w:cnfStyle w:val="000000010000"/>
              <w:rPr>
                <w:b/>
                <w:i/>
                <w:iCs/>
                <w:sz w:val="20"/>
                <w:szCs w:val="20"/>
              </w:rPr>
            </w:pPr>
            <w:r w:rsidRPr="00242020">
              <w:rPr>
                <w:b/>
                <w:bCs/>
                <w:i/>
                <w:iCs/>
                <w:sz w:val="20"/>
                <w:szCs w:val="20"/>
              </w:rPr>
              <w:t>0</w:t>
            </w:r>
          </w:p>
        </w:tc>
        <w:tc>
          <w:tcPr>
            <w:tcW w:w="516" w:type="dxa"/>
            <w:shd w:val="clear" w:color="auto" w:fill="D0CECE" w:themeFill="background2" w:themeFillShade="E6"/>
            <w:noWrap/>
            <w:vAlign w:val="center"/>
          </w:tcPr>
          <w:p w:rsidR="002B3DF4" w:rsidRPr="00242020" w:rsidRDefault="002B3DF4" w:rsidP="002B3DF4">
            <w:pPr>
              <w:ind w:firstLine="0"/>
              <w:jc w:val="center"/>
              <w:cnfStyle w:val="000000010000"/>
              <w:rPr>
                <w:b/>
                <w:bCs/>
                <w:i/>
                <w:iCs/>
                <w:sz w:val="20"/>
                <w:szCs w:val="20"/>
              </w:rPr>
            </w:pPr>
          </w:p>
        </w:tc>
        <w:tc>
          <w:tcPr>
            <w:tcW w:w="565" w:type="dxa"/>
            <w:shd w:val="clear" w:color="auto" w:fill="D0CECE" w:themeFill="background2" w:themeFillShade="E6"/>
            <w:vAlign w:val="center"/>
          </w:tcPr>
          <w:p w:rsidR="002B3DF4" w:rsidRPr="00242020" w:rsidRDefault="002B3DF4" w:rsidP="002B3DF4">
            <w:pPr>
              <w:ind w:firstLine="0"/>
              <w:jc w:val="center"/>
              <w:cnfStyle w:val="000000010000"/>
              <w:rPr>
                <w:b/>
                <w:bCs/>
                <w:i/>
                <w:iCs/>
                <w:sz w:val="20"/>
                <w:szCs w:val="20"/>
              </w:rPr>
            </w:pPr>
          </w:p>
        </w:tc>
        <w:tc>
          <w:tcPr>
            <w:tcW w:w="436" w:type="dxa"/>
            <w:shd w:val="clear" w:color="auto" w:fill="D0CECE" w:themeFill="background2" w:themeFillShade="E6"/>
            <w:noWrap/>
            <w:vAlign w:val="center"/>
          </w:tcPr>
          <w:p w:rsidR="002B3DF4" w:rsidRPr="00242020" w:rsidRDefault="002B3DF4" w:rsidP="002B3DF4">
            <w:pPr>
              <w:ind w:firstLine="0"/>
              <w:jc w:val="center"/>
              <w:cnfStyle w:val="000000010000"/>
              <w:rPr>
                <w:b/>
                <w:bCs/>
                <w:i/>
                <w:iCs/>
                <w:sz w:val="20"/>
                <w:szCs w:val="20"/>
              </w:rPr>
            </w:pPr>
          </w:p>
        </w:tc>
        <w:tc>
          <w:tcPr>
            <w:tcW w:w="363" w:type="dxa"/>
            <w:shd w:val="clear" w:color="auto" w:fill="D0CECE" w:themeFill="background2" w:themeFillShade="E6"/>
            <w:vAlign w:val="center"/>
          </w:tcPr>
          <w:p w:rsidR="002B3DF4" w:rsidRPr="00242020" w:rsidRDefault="002B3DF4" w:rsidP="002B3DF4">
            <w:pPr>
              <w:ind w:firstLine="0"/>
              <w:jc w:val="center"/>
              <w:cnfStyle w:val="000000010000"/>
              <w:rPr>
                <w:b/>
                <w:bCs/>
                <w:i/>
                <w:iCs/>
                <w:sz w:val="20"/>
                <w:szCs w:val="20"/>
              </w:rPr>
            </w:pPr>
          </w:p>
        </w:tc>
        <w:tc>
          <w:tcPr>
            <w:tcW w:w="434" w:type="dxa"/>
            <w:shd w:val="clear" w:color="auto" w:fill="D0CECE" w:themeFill="background2" w:themeFillShade="E6"/>
            <w:vAlign w:val="center"/>
          </w:tcPr>
          <w:p w:rsidR="002B3DF4" w:rsidRPr="00242020" w:rsidRDefault="002B3DF4" w:rsidP="002B3DF4">
            <w:pPr>
              <w:ind w:firstLine="0"/>
              <w:jc w:val="center"/>
              <w:cnfStyle w:val="000000010000"/>
              <w:rPr>
                <w:b/>
                <w:bCs/>
                <w:i/>
                <w:iCs/>
                <w:sz w:val="20"/>
                <w:szCs w:val="20"/>
              </w:rPr>
            </w:pPr>
          </w:p>
        </w:tc>
        <w:tc>
          <w:tcPr>
            <w:tcW w:w="897" w:type="dxa"/>
            <w:shd w:val="clear" w:color="auto" w:fill="D0CECE" w:themeFill="background2" w:themeFillShade="E6"/>
            <w:vAlign w:val="center"/>
            <w:hideMark/>
          </w:tcPr>
          <w:p w:rsidR="002B3DF4" w:rsidRPr="00242020" w:rsidRDefault="002B3DF4" w:rsidP="002B3DF4">
            <w:pPr>
              <w:ind w:firstLine="0"/>
              <w:jc w:val="center"/>
              <w:cnfStyle w:val="000000010000"/>
              <w:rPr>
                <w:bCs/>
                <w:sz w:val="20"/>
                <w:szCs w:val="20"/>
              </w:rPr>
            </w:pPr>
            <w:r w:rsidRPr="00242020">
              <w:rPr>
                <w:sz w:val="20"/>
                <w:szCs w:val="20"/>
              </w:rPr>
              <w:t>215</w:t>
            </w:r>
          </w:p>
        </w:tc>
        <w:tc>
          <w:tcPr>
            <w:tcW w:w="76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120</w:t>
            </w:r>
          </w:p>
        </w:tc>
        <w:tc>
          <w:tcPr>
            <w:tcW w:w="775"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51</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30</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5</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sz w:val="20"/>
                <w:szCs w:val="20"/>
              </w:rPr>
            </w:pPr>
            <w:r w:rsidRPr="00242020">
              <w:rPr>
                <w:sz w:val="20"/>
                <w:szCs w:val="20"/>
              </w:rPr>
              <w:t>9</w:t>
            </w:r>
          </w:p>
        </w:tc>
      </w:tr>
      <w:tr w:rsidR="004F12E3" w:rsidRPr="00242020" w:rsidTr="00EF2524">
        <w:trPr>
          <w:cnfStyle w:val="000000100000"/>
          <w:trHeight w:hRule="exact" w:val="266"/>
        </w:trPr>
        <w:tc>
          <w:tcPr>
            <w:cnfStyle w:val="001000000000"/>
            <w:tcW w:w="452" w:type="dxa"/>
            <w:shd w:val="clear" w:color="auto" w:fill="FFFFFF" w:themeFill="background1"/>
            <w:vAlign w:val="center"/>
            <w:hideMark/>
          </w:tcPr>
          <w:p w:rsidR="002B3DF4" w:rsidRPr="00242020" w:rsidRDefault="002B3DF4" w:rsidP="002B3DF4">
            <w:pPr>
              <w:ind w:firstLine="0"/>
              <w:jc w:val="center"/>
              <w:rPr>
                <w:sz w:val="20"/>
                <w:szCs w:val="20"/>
              </w:rPr>
            </w:pPr>
            <w:r w:rsidRPr="00242020">
              <w:rPr>
                <w:sz w:val="20"/>
                <w:szCs w:val="20"/>
              </w:rPr>
              <w:t>2</w:t>
            </w:r>
          </w:p>
        </w:tc>
        <w:tc>
          <w:tcPr>
            <w:tcW w:w="2525" w:type="dxa"/>
            <w:shd w:val="clear" w:color="auto" w:fill="FFFFFF" w:themeFill="background1"/>
            <w:vAlign w:val="center"/>
            <w:hideMark/>
          </w:tcPr>
          <w:p w:rsidR="002B3DF4" w:rsidRPr="00242020" w:rsidRDefault="002B3DF4" w:rsidP="00135105">
            <w:pPr>
              <w:ind w:left="-89" w:right="-118" w:firstLine="0"/>
              <w:cnfStyle w:val="000000100000"/>
              <w:rPr>
                <w:sz w:val="20"/>
              </w:rPr>
            </w:pPr>
            <w:r w:rsidRPr="00242020">
              <w:rPr>
                <w:sz w:val="20"/>
              </w:rPr>
              <w:t>АР Крим</w:t>
            </w:r>
          </w:p>
        </w:tc>
        <w:tc>
          <w:tcPr>
            <w:tcW w:w="897" w:type="dxa"/>
            <w:shd w:val="clear" w:color="auto" w:fill="FFFFFF" w:themeFill="background1"/>
            <w:vAlign w:val="center"/>
            <w:hideMark/>
          </w:tcPr>
          <w:p w:rsidR="002B3DF4" w:rsidRPr="00242020" w:rsidRDefault="002B3DF4" w:rsidP="002B3DF4">
            <w:pPr>
              <w:ind w:firstLine="0"/>
              <w:jc w:val="center"/>
              <w:cnfStyle w:val="000000100000"/>
              <w:rPr>
                <w:sz w:val="20"/>
                <w:szCs w:val="20"/>
              </w:rPr>
            </w:pPr>
            <w:r w:rsidRPr="00242020">
              <w:rPr>
                <w:sz w:val="20"/>
                <w:szCs w:val="20"/>
              </w:rPr>
              <w:t>393</w:t>
            </w:r>
          </w:p>
        </w:tc>
        <w:tc>
          <w:tcPr>
            <w:tcW w:w="76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214</w:t>
            </w:r>
          </w:p>
        </w:tc>
        <w:tc>
          <w:tcPr>
            <w:tcW w:w="81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90</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48</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20</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21</w:t>
            </w:r>
          </w:p>
        </w:tc>
        <w:tc>
          <w:tcPr>
            <w:tcW w:w="925" w:type="dxa"/>
            <w:shd w:val="clear" w:color="auto" w:fill="FFFFFF" w:themeFill="background1"/>
            <w:noWrap/>
            <w:vAlign w:val="center"/>
            <w:hideMark/>
          </w:tcPr>
          <w:p w:rsidR="00135105" w:rsidRPr="00242020" w:rsidRDefault="002B3DF4" w:rsidP="002B3DF4">
            <w:pPr>
              <w:ind w:firstLine="0"/>
              <w:jc w:val="center"/>
              <w:cnfStyle w:val="000000100000"/>
              <w:rPr>
                <w:b/>
                <w:i/>
                <w:iCs/>
                <w:sz w:val="20"/>
                <w:szCs w:val="20"/>
              </w:rPr>
            </w:pPr>
            <w:r w:rsidRPr="00242020">
              <w:rPr>
                <w:b/>
                <w:bCs/>
                <w:i/>
                <w:iCs/>
                <w:sz w:val="20"/>
                <w:szCs w:val="20"/>
              </w:rPr>
              <w:t>0</w:t>
            </w:r>
          </w:p>
          <w:p w:rsidR="00135105" w:rsidRPr="00242020" w:rsidRDefault="00135105" w:rsidP="00135105">
            <w:pPr>
              <w:cnfStyle w:val="000000100000"/>
              <w:rPr>
                <w:sz w:val="20"/>
                <w:szCs w:val="20"/>
              </w:rPr>
            </w:pPr>
          </w:p>
          <w:p w:rsidR="002B3DF4" w:rsidRPr="00242020" w:rsidRDefault="002B3DF4" w:rsidP="00135105">
            <w:pPr>
              <w:cnfStyle w:val="000000100000"/>
              <w:rPr>
                <w:sz w:val="20"/>
                <w:szCs w:val="20"/>
              </w:rPr>
            </w:pPr>
          </w:p>
        </w:tc>
        <w:tc>
          <w:tcPr>
            <w:tcW w:w="516" w:type="dxa"/>
            <w:shd w:val="clear" w:color="auto" w:fill="FFFFFF" w:themeFill="background1"/>
            <w:noWrap/>
            <w:vAlign w:val="center"/>
          </w:tcPr>
          <w:p w:rsidR="002B3DF4" w:rsidRPr="00242020" w:rsidRDefault="002B3DF4" w:rsidP="002B3DF4">
            <w:pPr>
              <w:ind w:firstLine="0"/>
              <w:jc w:val="center"/>
              <w:cnfStyle w:val="000000100000"/>
              <w:rPr>
                <w:b/>
                <w:bCs/>
                <w:i/>
                <w:iCs/>
                <w:sz w:val="20"/>
                <w:szCs w:val="20"/>
              </w:rPr>
            </w:pPr>
          </w:p>
        </w:tc>
        <w:tc>
          <w:tcPr>
            <w:tcW w:w="565" w:type="dxa"/>
            <w:shd w:val="clear" w:color="auto" w:fill="FFFFFF" w:themeFill="background1"/>
            <w:vAlign w:val="center"/>
          </w:tcPr>
          <w:p w:rsidR="002B3DF4" w:rsidRPr="00242020" w:rsidRDefault="002B3DF4" w:rsidP="002B3DF4">
            <w:pPr>
              <w:ind w:firstLine="0"/>
              <w:jc w:val="center"/>
              <w:cnfStyle w:val="000000100000"/>
              <w:rPr>
                <w:b/>
                <w:bCs/>
                <w:i/>
                <w:iCs/>
                <w:sz w:val="20"/>
                <w:szCs w:val="20"/>
              </w:rPr>
            </w:pPr>
          </w:p>
        </w:tc>
        <w:tc>
          <w:tcPr>
            <w:tcW w:w="436" w:type="dxa"/>
            <w:shd w:val="clear" w:color="auto" w:fill="FFFFFF" w:themeFill="background1"/>
            <w:noWrap/>
            <w:vAlign w:val="center"/>
          </w:tcPr>
          <w:p w:rsidR="002B3DF4" w:rsidRPr="00242020" w:rsidRDefault="002B3DF4" w:rsidP="002B3DF4">
            <w:pPr>
              <w:ind w:firstLine="0"/>
              <w:jc w:val="center"/>
              <w:cnfStyle w:val="000000100000"/>
              <w:rPr>
                <w:b/>
                <w:bCs/>
                <w:i/>
                <w:iCs/>
                <w:sz w:val="20"/>
                <w:szCs w:val="20"/>
              </w:rPr>
            </w:pPr>
          </w:p>
        </w:tc>
        <w:tc>
          <w:tcPr>
            <w:tcW w:w="363" w:type="dxa"/>
            <w:shd w:val="clear" w:color="auto" w:fill="FFFFFF" w:themeFill="background1"/>
            <w:vAlign w:val="center"/>
          </w:tcPr>
          <w:p w:rsidR="002B3DF4" w:rsidRPr="00242020" w:rsidRDefault="002B3DF4" w:rsidP="002B3DF4">
            <w:pPr>
              <w:ind w:firstLine="0"/>
              <w:jc w:val="center"/>
              <w:cnfStyle w:val="000000100000"/>
              <w:rPr>
                <w:b/>
                <w:bCs/>
                <w:i/>
                <w:iCs/>
                <w:sz w:val="20"/>
                <w:szCs w:val="20"/>
              </w:rPr>
            </w:pPr>
          </w:p>
        </w:tc>
        <w:tc>
          <w:tcPr>
            <w:tcW w:w="434" w:type="dxa"/>
            <w:shd w:val="clear" w:color="auto" w:fill="FFFFFF" w:themeFill="background1"/>
            <w:vAlign w:val="center"/>
          </w:tcPr>
          <w:p w:rsidR="002B3DF4" w:rsidRPr="00242020" w:rsidRDefault="002B3DF4" w:rsidP="002B3DF4">
            <w:pPr>
              <w:ind w:firstLine="0"/>
              <w:jc w:val="center"/>
              <w:cnfStyle w:val="000000100000"/>
              <w:rPr>
                <w:b/>
                <w:bCs/>
                <w:i/>
                <w:iCs/>
                <w:sz w:val="20"/>
                <w:szCs w:val="20"/>
              </w:rPr>
            </w:pPr>
          </w:p>
        </w:tc>
        <w:tc>
          <w:tcPr>
            <w:tcW w:w="897" w:type="dxa"/>
            <w:shd w:val="clear" w:color="auto" w:fill="FFFFFF" w:themeFill="background1"/>
            <w:noWrap/>
            <w:vAlign w:val="center"/>
            <w:hideMark/>
          </w:tcPr>
          <w:p w:rsidR="002B3DF4" w:rsidRPr="00242020" w:rsidRDefault="002B3DF4" w:rsidP="002B3DF4">
            <w:pPr>
              <w:ind w:firstLine="0"/>
              <w:jc w:val="center"/>
              <w:cnfStyle w:val="000000100000"/>
              <w:rPr>
                <w:bCs/>
                <w:sz w:val="20"/>
                <w:szCs w:val="20"/>
              </w:rPr>
            </w:pPr>
            <w:r w:rsidRPr="00242020">
              <w:rPr>
                <w:sz w:val="20"/>
                <w:szCs w:val="20"/>
              </w:rPr>
              <w:t>393</w:t>
            </w:r>
          </w:p>
        </w:tc>
        <w:tc>
          <w:tcPr>
            <w:tcW w:w="76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214</w:t>
            </w:r>
          </w:p>
        </w:tc>
        <w:tc>
          <w:tcPr>
            <w:tcW w:w="775"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90</w:t>
            </w:r>
          </w:p>
        </w:tc>
        <w:tc>
          <w:tcPr>
            <w:tcW w:w="656" w:type="dxa"/>
            <w:shd w:val="clear" w:color="auto" w:fill="FFFFFF" w:themeFill="background1"/>
            <w:noWrap/>
            <w:vAlign w:val="center"/>
            <w:hideMark/>
          </w:tcPr>
          <w:p w:rsidR="002B3DF4" w:rsidRPr="00242020" w:rsidRDefault="002B3DF4" w:rsidP="002B3DF4">
            <w:pPr>
              <w:ind w:firstLine="0"/>
              <w:jc w:val="center"/>
              <w:cnfStyle w:val="000000100000"/>
              <w:rPr>
                <w:sz w:val="20"/>
                <w:szCs w:val="20"/>
              </w:rPr>
            </w:pPr>
            <w:r w:rsidRPr="00242020">
              <w:rPr>
                <w:sz w:val="20"/>
                <w:szCs w:val="20"/>
              </w:rPr>
              <w:t>48</w:t>
            </w:r>
          </w:p>
        </w:tc>
        <w:tc>
          <w:tcPr>
            <w:tcW w:w="656" w:type="dxa"/>
            <w:shd w:val="clear" w:color="auto" w:fill="FFFFFF" w:themeFill="background1"/>
            <w:vAlign w:val="center"/>
            <w:hideMark/>
          </w:tcPr>
          <w:p w:rsidR="002B3DF4" w:rsidRPr="00242020" w:rsidRDefault="002B3DF4" w:rsidP="002B3DF4">
            <w:pPr>
              <w:ind w:firstLine="0"/>
              <w:jc w:val="center"/>
              <w:cnfStyle w:val="000000100000"/>
              <w:rPr>
                <w:sz w:val="20"/>
                <w:szCs w:val="20"/>
              </w:rPr>
            </w:pPr>
            <w:r w:rsidRPr="00242020">
              <w:rPr>
                <w:sz w:val="20"/>
                <w:szCs w:val="20"/>
              </w:rPr>
              <w:t>20</w:t>
            </w:r>
          </w:p>
        </w:tc>
        <w:tc>
          <w:tcPr>
            <w:tcW w:w="656" w:type="dxa"/>
            <w:shd w:val="clear" w:color="auto" w:fill="FFFFFF" w:themeFill="background1"/>
            <w:vAlign w:val="center"/>
            <w:hideMark/>
          </w:tcPr>
          <w:p w:rsidR="002B3DF4" w:rsidRPr="00242020" w:rsidRDefault="002B3DF4" w:rsidP="002B3DF4">
            <w:pPr>
              <w:ind w:firstLine="0"/>
              <w:jc w:val="center"/>
              <w:cnfStyle w:val="000000100000"/>
              <w:rPr>
                <w:sz w:val="20"/>
                <w:szCs w:val="20"/>
              </w:rPr>
            </w:pPr>
            <w:r w:rsidRPr="00242020">
              <w:rPr>
                <w:sz w:val="20"/>
                <w:szCs w:val="20"/>
              </w:rPr>
              <w:t>21</w:t>
            </w:r>
          </w:p>
        </w:tc>
      </w:tr>
      <w:tr w:rsidR="004F12E3" w:rsidRPr="00242020" w:rsidTr="00EF2524">
        <w:trPr>
          <w:cnfStyle w:val="000000010000"/>
          <w:trHeight w:hRule="exact" w:val="266"/>
        </w:trPr>
        <w:tc>
          <w:tcPr>
            <w:cnfStyle w:val="001000000000"/>
            <w:tcW w:w="2977" w:type="dxa"/>
            <w:gridSpan w:val="2"/>
            <w:shd w:val="clear" w:color="auto" w:fill="D0CECE" w:themeFill="background2" w:themeFillShade="E6"/>
            <w:hideMark/>
          </w:tcPr>
          <w:p w:rsidR="002B3DF4" w:rsidRPr="00242020" w:rsidRDefault="002B3DF4" w:rsidP="002B3DF4">
            <w:pPr>
              <w:ind w:firstLine="0"/>
              <w:jc w:val="center"/>
              <w:rPr>
                <w:bCs w:val="0"/>
                <w:i/>
                <w:iCs/>
                <w:sz w:val="20"/>
                <w:szCs w:val="20"/>
                <w:highlight w:val="red"/>
              </w:rPr>
            </w:pPr>
            <w:r w:rsidRPr="00242020">
              <w:rPr>
                <w:b w:val="0"/>
                <w:bCs w:val="0"/>
                <w:i/>
                <w:iCs/>
                <w:sz w:val="20"/>
                <w:szCs w:val="20"/>
              </w:rPr>
              <w:t>Усього</w:t>
            </w:r>
          </w:p>
        </w:tc>
        <w:tc>
          <w:tcPr>
            <w:tcW w:w="897" w:type="dxa"/>
            <w:shd w:val="clear" w:color="auto" w:fill="D0CECE" w:themeFill="background2" w:themeFillShade="E6"/>
            <w:noWrap/>
            <w:vAlign w:val="center"/>
            <w:hideMark/>
          </w:tcPr>
          <w:p w:rsidR="002B3DF4" w:rsidRPr="00242020" w:rsidRDefault="002B3DF4" w:rsidP="002B3DF4">
            <w:pPr>
              <w:ind w:firstLine="0"/>
              <w:jc w:val="center"/>
              <w:cnfStyle w:val="000000010000"/>
              <w:rPr>
                <w:b/>
                <w:bCs/>
                <w:sz w:val="20"/>
                <w:szCs w:val="20"/>
              </w:rPr>
            </w:pPr>
            <w:r w:rsidRPr="00242020">
              <w:rPr>
                <w:b/>
                <w:bCs/>
                <w:sz w:val="20"/>
                <w:szCs w:val="20"/>
              </w:rPr>
              <w:t>608</w:t>
            </w:r>
          </w:p>
        </w:tc>
        <w:tc>
          <w:tcPr>
            <w:tcW w:w="766" w:type="dxa"/>
            <w:shd w:val="clear" w:color="auto" w:fill="D0CECE" w:themeFill="background2" w:themeFillShade="E6"/>
            <w:noWrap/>
            <w:vAlign w:val="center"/>
            <w:hideMark/>
          </w:tcPr>
          <w:p w:rsidR="002B3DF4" w:rsidRPr="00242020" w:rsidRDefault="002B3DF4" w:rsidP="002B3DF4">
            <w:pPr>
              <w:ind w:firstLine="0"/>
              <w:jc w:val="center"/>
              <w:cnfStyle w:val="000000010000"/>
              <w:rPr>
                <w:b/>
                <w:bCs/>
                <w:sz w:val="20"/>
                <w:szCs w:val="20"/>
              </w:rPr>
            </w:pPr>
            <w:r w:rsidRPr="00242020">
              <w:rPr>
                <w:b/>
                <w:bCs/>
                <w:sz w:val="20"/>
                <w:szCs w:val="20"/>
              </w:rPr>
              <w:t>334</w:t>
            </w:r>
          </w:p>
        </w:tc>
        <w:tc>
          <w:tcPr>
            <w:tcW w:w="816" w:type="dxa"/>
            <w:shd w:val="clear" w:color="auto" w:fill="D0CECE" w:themeFill="background2" w:themeFillShade="E6"/>
            <w:noWrap/>
            <w:vAlign w:val="center"/>
            <w:hideMark/>
          </w:tcPr>
          <w:p w:rsidR="002B3DF4" w:rsidRPr="00242020" w:rsidRDefault="002B3DF4" w:rsidP="002B3DF4">
            <w:pPr>
              <w:ind w:firstLine="0"/>
              <w:jc w:val="center"/>
              <w:cnfStyle w:val="000000010000"/>
              <w:rPr>
                <w:b/>
                <w:bCs/>
                <w:sz w:val="20"/>
                <w:szCs w:val="20"/>
              </w:rPr>
            </w:pPr>
            <w:r w:rsidRPr="00242020">
              <w:rPr>
                <w:b/>
                <w:bCs/>
                <w:sz w:val="20"/>
                <w:szCs w:val="20"/>
              </w:rPr>
              <w:t>141</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b/>
                <w:bCs/>
                <w:sz w:val="20"/>
                <w:szCs w:val="20"/>
              </w:rPr>
            </w:pPr>
            <w:r w:rsidRPr="00242020">
              <w:rPr>
                <w:b/>
                <w:bCs/>
                <w:sz w:val="20"/>
                <w:szCs w:val="20"/>
              </w:rPr>
              <w:t>78</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b/>
                <w:bCs/>
                <w:sz w:val="20"/>
                <w:szCs w:val="20"/>
              </w:rPr>
            </w:pPr>
            <w:r w:rsidRPr="00242020">
              <w:rPr>
                <w:b/>
                <w:bCs/>
                <w:sz w:val="20"/>
                <w:szCs w:val="20"/>
              </w:rPr>
              <w:t>25</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b/>
                <w:bCs/>
                <w:sz w:val="20"/>
                <w:szCs w:val="20"/>
              </w:rPr>
            </w:pPr>
            <w:r w:rsidRPr="00242020">
              <w:rPr>
                <w:b/>
                <w:bCs/>
                <w:sz w:val="20"/>
                <w:szCs w:val="20"/>
              </w:rPr>
              <w:t>30</w:t>
            </w:r>
          </w:p>
        </w:tc>
        <w:tc>
          <w:tcPr>
            <w:tcW w:w="925" w:type="dxa"/>
            <w:shd w:val="clear" w:color="auto" w:fill="D0CECE" w:themeFill="background2" w:themeFillShade="E6"/>
            <w:noWrap/>
            <w:vAlign w:val="center"/>
            <w:hideMark/>
          </w:tcPr>
          <w:p w:rsidR="002B3DF4" w:rsidRPr="00242020" w:rsidRDefault="002B3DF4" w:rsidP="002B3DF4">
            <w:pPr>
              <w:ind w:firstLine="0"/>
              <w:jc w:val="center"/>
              <w:cnfStyle w:val="000000010000"/>
              <w:rPr>
                <w:b/>
                <w:bCs/>
                <w:i/>
                <w:iCs/>
                <w:sz w:val="20"/>
                <w:szCs w:val="20"/>
              </w:rPr>
            </w:pPr>
            <w:r w:rsidRPr="00242020">
              <w:rPr>
                <w:b/>
                <w:bCs/>
                <w:i/>
                <w:iCs/>
                <w:sz w:val="20"/>
                <w:szCs w:val="20"/>
              </w:rPr>
              <w:t>0</w:t>
            </w:r>
          </w:p>
        </w:tc>
        <w:tc>
          <w:tcPr>
            <w:tcW w:w="516" w:type="dxa"/>
            <w:shd w:val="clear" w:color="auto" w:fill="D0CECE" w:themeFill="background2" w:themeFillShade="E6"/>
            <w:noWrap/>
            <w:vAlign w:val="center"/>
            <w:hideMark/>
          </w:tcPr>
          <w:p w:rsidR="002B3DF4" w:rsidRPr="00242020" w:rsidRDefault="002B3DF4" w:rsidP="002B3DF4">
            <w:pPr>
              <w:ind w:firstLine="0"/>
              <w:jc w:val="center"/>
              <w:cnfStyle w:val="000000010000"/>
              <w:rPr>
                <w:b/>
                <w:bCs/>
                <w:i/>
                <w:iCs/>
                <w:sz w:val="20"/>
                <w:szCs w:val="20"/>
              </w:rPr>
            </w:pPr>
            <w:r w:rsidRPr="00242020">
              <w:rPr>
                <w:b/>
                <w:bCs/>
                <w:i/>
                <w:iCs/>
                <w:sz w:val="20"/>
                <w:szCs w:val="20"/>
              </w:rPr>
              <w:t>0</w:t>
            </w:r>
          </w:p>
        </w:tc>
        <w:tc>
          <w:tcPr>
            <w:tcW w:w="565" w:type="dxa"/>
            <w:shd w:val="clear" w:color="auto" w:fill="D0CECE" w:themeFill="background2" w:themeFillShade="E6"/>
            <w:noWrap/>
            <w:vAlign w:val="center"/>
            <w:hideMark/>
          </w:tcPr>
          <w:p w:rsidR="002B3DF4" w:rsidRPr="00242020" w:rsidRDefault="002B3DF4" w:rsidP="002B3DF4">
            <w:pPr>
              <w:ind w:firstLine="0"/>
              <w:jc w:val="center"/>
              <w:cnfStyle w:val="000000010000"/>
              <w:rPr>
                <w:b/>
                <w:bCs/>
                <w:i/>
                <w:iCs/>
                <w:sz w:val="20"/>
                <w:szCs w:val="20"/>
              </w:rPr>
            </w:pPr>
            <w:r w:rsidRPr="00242020">
              <w:rPr>
                <w:b/>
                <w:bCs/>
                <w:i/>
                <w:iCs/>
                <w:sz w:val="20"/>
                <w:szCs w:val="20"/>
              </w:rPr>
              <w:t>0</w:t>
            </w:r>
          </w:p>
        </w:tc>
        <w:tc>
          <w:tcPr>
            <w:tcW w:w="436" w:type="dxa"/>
            <w:shd w:val="clear" w:color="auto" w:fill="D0CECE" w:themeFill="background2" w:themeFillShade="E6"/>
            <w:noWrap/>
            <w:vAlign w:val="center"/>
            <w:hideMark/>
          </w:tcPr>
          <w:p w:rsidR="002B3DF4" w:rsidRPr="00242020" w:rsidRDefault="002B3DF4" w:rsidP="002B3DF4">
            <w:pPr>
              <w:ind w:firstLine="0"/>
              <w:jc w:val="center"/>
              <w:cnfStyle w:val="000000010000"/>
              <w:rPr>
                <w:b/>
                <w:bCs/>
                <w:i/>
                <w:iCs/>
                <w:sz w:val="20"/>
                <w:szCs w:val="20"/>
              </w:rPr>
            </w:pPr>
            <w:r w:rsidRPr="00242020">
              <w:rPr>
                <w:b/>
                <w:bCs/>
                <w:i/>
                <w:iCs/>
                <w:sz w:val="20"/>
                <w:szCs w:val="20"/>
              </w:rPr>
              <w:t>0</w:t>
            </w:r>
          </w:p>
        </w:tc>
        <w:tc>
          <w:tcPr>
            <w:tcW w:w="363" w:type="dxa"/>
            <w:shd w:val="clear" w:color="auto" w:fill="D0CECE" w:themeFill="background2" w:themeFillShade="E6"/>
            <w:noWrap/>
            <w:vAlign w:val="center"/>
            <w:hideMark/>
          </w:tcPr>
          <w:p w:rsidR="002B3DF4" w:rsidRPr="00242020" w:rsidRDefault="002B3DF4" w:rsidP="002B3DF4">
            <w:pPr>
              <w:ind w:firstLine="0"/>
              <w:jc w:val="center"/>
              <w:cnfStyle w:val="000000010000"/>
              <w:rPr>
                <w:b/>
                <w:bCs/>
                <w:i/>
                <w:iCs/>
                <w:sz w:val="20"/>
                <w:szCs w:val="20"/>
              </w:rPr>
            </w:pPr>
            <w:r w:rsidRPr="00242020">
              <w:rPr>
                <w:b/>
                <w:bCs/>
                <w:i/>
                <w:iCs/>
                <w:sz w:val="20"/>
                <w:szCs w:val="20"/>
              </w:rPr>
              <w:t>0</w:t>
            </w:r>
          </w:p>
        </w:tc>
        <w:tc>
          <w:tcPr>
            <w:tcW w:w="434" w:type="dxa"/>
            <w:shd w:val="clear" w:color="auto" w:fill="D0CECE" w:themeFill="background2" w:themeFillShade="E6"/>
            <w:noWrap/>
            <w:vAlign w:val="center"/>
            <w:hideMark/>
          </w:tcPr>
          <w:p w:rsidR="002B3DF4" w:rsidRPr="00242020" w:rsidRDefault="002B3DF4" w:rsidP="002B3DF4">
            <w:pPr>
              <w:ind w:firstLine="0"/>
              <w:jc w:val="center"/>
              <w:cnfStyle w:val="000000010000"/>
              <w:rPr>
                <w:b/>
                <w:bCs/>
                <w:i/>
                <w:iCs/>
                <w:sz w:val="20"/>
                <w:szCs w:val="20"/>
              </w:rPr>
            </w:pPr>
            <w:r w:rsidRPr="00242020">
              <w:rPr>
                <w:b/>
                <w:bCs/>
                <w:i/>
                <w:iCs/>
                <w:sz w:val="20"/>
                <w:szCs w:val="20"/>
              </w:rPr>
              <w:t>0</w:t>
            </w:r>
          </w:p>
        </w:tc>
        <w:tc>
          <w:tcPr>
            <w:tcW w:w="897" w:type="dxa"/>
            <w:shd w:val="clear" w:color="auto" w:fill="D0CECE" w:themeFill="background2" w:themeFillShade="E6"/>
            <w:noWrap/>
            <w:vAlign w:val="center"/>
            <w:hideMark/>
          </w:tcPr>
          <w:p w:rsidR="002B3DF4" w:rsidRPr="00242020" w:rsidRDefault="002B3DF4" w:rsidP="002B3DF4">
            <w:pPr>
              <w:ind w:firstLine="0"/>
              <w:jc w:val="center"/>
              <w:cnfStyle w:val="000000010000"/>
              <w:rPr>
                <w:b/>
                <w:bCs/>
                <w:sz w:val="20"/>
                <w:szCs w:val="20"/>
              </w:rPr>
            </w:pPr>
            <w:r w:rsidRPr="00242020">
              <w:rPr>
                <w:b/>
                <w:bCs/>
                <w:sz w:val="20"/>
                <w:szCs w:val="20"/>
              </w:rPr>
              <w:t>608</w:t>
            </w:r>
          </w:p>
        </w:tc>
        <w:tc>
          <w:tcPr>
            <w:tcW w:w="766" w:type="dxa"/>
            <w:shd w:val="clear" w:color="auto" w:fill="D0CECE" w:themeFill="background2" w:themeFillShade="E6"/>
            <w:noWrap/>
            <w:vAlign w:val="center"/>
            <w:hideMark/>
          </w:tcPr>
          <w:p w:rsidR="002B3DF4" w:rsidRPr="00242020" w:rsidRDefault="002B3DF4" w:rsidP="002B3DF4">
            <w:pPr>
              <w:ind w:firstLine="0"/>
              <w:jc w:val="center"/>
              <w:cnfStyle w:val="000000010000"/>
              <w:rPr>
                <w:b/>
                <w:bCs/>
                <w:sz w:val="20"/>
                <w:szCs w:val="20"/>
              </w:rPr>
            </w:pPr>
            <w:r w:rsidRPr="00242020">
              <w:rPr>
                <w:b/>
                <w:bCs/>
                <w:sz w:val="20"/>
                <w:szCs w:val="20"/>
              </w:rPr>
              <w:t>334</w:t>
            </w:r>
          </w:p>
        </w:tc>
        <w:tc>
          <w:tcPr>
            <w:tcW w:w="775" w:type="dxa"/>
            <w:shd w:val="clear" w:color="auto" w:fill="D0CECE" w:themeFill="background2" w:themeFillShade="E6"/>
            <w:noWrap/>
            <w:vAlign w:val="center"/>
            <w:hideMark/>
          </w:tcPr>
          <w:p w:rsidR="002B3DF4" w:rsidRPr="00242020" w:rsidRDefault="002B3DF4" w:rsidP="002B3DF4">
            <w:pPr>
              <w:ind w:firstLine="0"/>
              <w:jc w:val="center"/>
              <w:cnfStyle w:val="000000010000"/>
              <w:rPr>
                <w:b/>
                <w:bCs/>
                <w:sz w:val="20"/>
                <w:szCs w:val="20"/>
              </w:rPr>
            </w:pPr>
            <w:r w:rsidRPr="00242020">
              <w:rPr>
                <w:b/>
                <w:bCs/>
                <w:sz w:val="20"/>
                <w:szCs w:val="20"/>
              </w:rPr>
              <w:t>141</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b/>
                <w:bCs/>
                <w:sz w:val="20"/>
                <w:szCs w:val="20"/>
              </w:rPr>
            </w:pPr>
            <w:r w:rsidRPr="00242020">
              <w:rPr>
                <w:b/>
                <w:bCs/>
                <w:sz w:val="20"/>
                <w:szCs w:val="20"/>
              </w:rPr>
              <w:t>78</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b/>
                <w:bCs/>
                <w:sz w:val="20"/>
                <w:szCs w:val="20"/>
              </w:rPr>
            </w:pPr>
            <w:r w:rsidRPr="00242020">
              <w:rPr>
                <w:b/>
                <w:bCs/>
                <w:sz w:val="20"/>
                <w:szCs w:val="20"/>
              </w:rPr>
              <w:t>25</w:t>
            </w:r>
          </w:p>
        </w:tc>
        <w:tc>
          <w:tcPr>
            <w:tcW w:w="656" w:type="dxa"/>
            <w:shd w:val="clear" w:color="auto" w:fill="D0CECE" w:themeFill="background2" w:themeFillShade="E6"/>
            <w:noWrap/>
            <w:vAlign w:val="center"/>
            <w:hideMark/>
          </w:tcPr>
          <w:p w:rsidR="002B3DF4" w:rsidRPr="00242020" w:rsidRDefault="002B3DF4" w:rsidP="002B3DF4">
            <w:pPr>
              <w:ind w:firstLine="0"/>
              <w:jc w:val="center"/>
              <w:cnfStyle w:val="000000010000"/>
              <w:rPr>
                <w:b/>
                <w:bCs/>
                <w:sz w:val="20"/>
                <w:szCs w:val="20"/>
              </w:rPr>
            </w:pPr>
            <w:r w:rsidRPr="00242020">
              <w:rPr>
                <w:b/>
                <w:bCs/>
                <w:sz w:val="20"/>
                <w:szCs w:val="20"/>
              </w:rPr>
              <w:t>30</w:t>
            </w:r>
          </w:p>
        </w:tc>
      </w:tr>
    </w:tbl>
    <w:p w:rsidR="00135105" w:rsidRPr="00242020" w:rsidRDefault="00135105">
      <w:pPr>
        <w:rPr>
          <w:sz w:val="16"/>
          <w:szCs w:val="16"/>
        </w:rPr>
        <w:sectPr w:rsidR="00135105" w:rsidRPr="00242020" w:rsidSect="00233D4D">
          <w:headerReference w:type="even" r:id="rId22"/>
          <w:headerReference w:type="default" r:id="rId23"/>
          <w:footerReference w:type="even" r:id="rId24"/>
          <w:footerReference w:type="default" r:id="rId25"/>
          <w:pgSz w:w="16838" w:h="11906" w:orient="landscape"/>
          <w:pgMar w:top="851" w:right="820" w:bottom="895" w:left="709" w:header="709" w:footer="457" w:gutter="0"/>
          <w:cols w:space="708"/>
          <w:docGrid w:linePitch="381"/>
        </w:sectPr>
      </w:pPr>
    </w:p>
    <w:p w:rsidR="00135105" w:rsidRDefault="00135105" w:rsidP="009D45C6">
      <w:pPr>
        <w:ind w:firstLine="0"/>
        <w:jc w:val="center"/>
        <w:rPr>
          <w:b/>
          <w:szCs w:val="28"/>
        </w:rPr>
      </w:pPr>
      <w:r w:rsidRPr="009D45C6">
        <w:rPr>
          <w:b/>
          <w:szCs w:val="28"/>
        </w:rPr>
        <w:lastRenderedPageBreak/>
        <w:t>Інформація</w:t>
      </w:r>
      <w:r w:rsidR="009D45C6">
        <w:rPr>
          <w:b/>
          <w:szCs w:val="28"/>
        </w:rPr>
        <w:t>*</w:t>
      </w:r>
      <w:r w:rsidRPr="009D45C6">
        <w:rPr>
          <w:b/>
          <w:szCs w:val="28"/>
        </w:rPr>
        <w:t xml:space="preserve"> щодо кількості об’єктів, які змінили комунальну форму власності за 1992 – 12 місяців 2016 рр., за групами</w:t>
      </w:r>
    </w:p>
    <w:p w:rsidR="009D45C6" w:rsidRPr="009D45C6" w:rsidRDefault="009D45C6" w:rsidP="009D45C6">
      <w:pPr>
        <w:ind w:left="6" w:firstLine="18"/>
        <w:jc w:val="center"/>
        <w:rPr>
          <w:b/>
          <w:sz w:val="20"/>
          <w:szCs w:val="20"/>
        </w:rPr>
      </w:pPr>
      <w:r w:rsidRPr="009D45C6">
        <w:rPr>
          <w:sz w:val="20"/>
          <w:szCs w:val="20"/>
        </w:rPr>
        <w:t>(за даними форми № 1</w:t>
      </w:r>
      <w:r>
        <w:rPr>
          <w:sz w:val="20"/>
          <w:szCs w:val="20"/>
        </w:rPr>
        <w:t>-</w:t>
      </w:r>
      <w:r w:rsidRPr="009D45C6">
        <w:rPr>
          <w:sz w:val="20"/>
          <w:szCs w:val="20"/>
        </w:rPr>
        <w:t>приватизація</w:t>
      </w:r>
      <w:r w:rsidR="00022F5E" w:rsidRPr="00022F5E">
        <w:rPr>
          <w:sz w:val="20"/>
          <w:szCs w:val="20"/>
        </w:rPr>
        <w:t xml:space="preserve"> «Інформація про приватизацію державного майна підприємства, установи, організації»</w:t>
      </w:r>
      <w:r w:rsidRPr="009D45C6">
        <w:rPr>
          <w:sz w:val="20"/>
          <w:szCs w:val="20"/>
        </w:rPr>
        <w:t>)</w:t>
      </w:r>
    </w:p>
    <w:p w:rsidR="00135105" w:rsidRPr="00242020" w:rsidRDefault="00135105" w:rsidP="00135105">
      <w:pPr>
        <w:ind w:left="6" w:firstLine="18"/>
        <w:jc w:val="center"/>
        <w:rPr>
          <w:rFonts w:ascii="UkrainianSchoolBook" w:hAnsi="UkrainianSchoolBook"/>
          <w:sz w:val="10"/>
          <w:szCs w:val="10"/>
        </w:rPr>
      </w:pPr>
    </w:p>
    <w:tbl>
      <w:tblPr>
        <w:tblStyle w:val="11"/>
        <w:tblW w:w="15205" w:type="dxa"/>
        <w:tblInd w:w="108" w:type="dxa"/>
        <w:tblLook w:val="0000"/>
      </w:tblPr>
      <w:tblGrid>
        <w:gridCol w:w="434"/>
        <w:gridCol w:w="90"/>
        <w:gridCol w:w="2419"/>
        <w:gridCol w:w="916"/>
        <w:gridCol w:w="916"/>
        <w:gridCol w:w="781"/>
        <w:gridCol w:w="656"/>
        <w:gridCol w:w="656"/>
        <w:gridCol w:w="656"/>
        <w:gridCol w:w="897"/>
        <w:gridCol w:w="516"/>
        <w:gridCol w:w="503"/>
        <w:gridCol w:w="436"/>
        <w:gridCol w:w="363"/>
        <w:gridCol w:w="434"/>
        <w:gridCol w:w="916"/>
        <w:gridCol w:w="916"/>
        <w:gridCol w:w="732"/>
        <w:gridCol w:w="656"/>
        <w:gridCol w:w="656"/>
        <w:gridCol w:w="656"/>
      </w:tblGrid>
      <w:tr w:rsidR="00135105" w:rsidRPr="00242020" w:rsidTr="00EF2524">
        <w:trPr>
          <w:cnfStyle w:val="000000100000"/>
          <w:trHeight w:val="80"/>
        </w:trPr>
        <w:tc>
          <w:tcPr>
            <w:cnfStyle w:val="000010000000"/>
            <w:tcW w:w="434" w:type="dxa"/>
            <w:vMerge w:val="restart"/>
            <w:vAlign w:val="center"/>
          </w:tcPr>
          <w:p w:rsidR="00135105" w:rsidRPr="00242020" w:rsidRDefault="00135105" w:rsidP="00EF2524">
            <w:pPr>
              <w:ind w:left="-52" w:right="-88" w:firstLine="0"/>
              <w:jc w:val="center"/>
              <w:rPr>
                <w:b/>
                <w:sz w:val="22"/>
              </w:rPr>
            </w:pPr>
            <w:r w:rsidRPr="00242020">
              <w:rPr>
                <w:b/>
                <w:sz w:val="22"/>
              </w:rPr>
              <w:t>№</w:t>
            </w:r>
          </w:p>
          <w:p w:rsidR="00135105" w:rsidRPr="00242020" w:rsidRDefault="00135105" w:rsidP="00EF2524">
            <w:pPr>
              <w:ind w:left="-52" w:right="-88" w:firstLine="0"/>
              <w:jc w:val="center"/>
              <w:rPr>
                <w:b/>
                <w:sz w:val="22"/>
              </w:rPr>
            </w:pPr>
            <w:r w:rsidRPr="00242020">
              <w:rPr>
                <w:b/>
                <w:sz w:val="22"/>
              </w:rPr>
              <w:t>з/п</w:t>
            </w:r>
          </w:p>
        </w:tc>
        <w:tc>
          <w:tcPr>
            <w:tcW w:w="2509" w:type="dxa"/>
            <w:gridSpan w:val="2"/>
            <w:vMerge w:val="restart"/>
            <w:vAlign w:val="center"/>
          </w:tcPr>
          <w:p w:rsidR="00135105" w:rsidRPr="00242020" w:rsidRDefault="00135105" w:rsidP="00135105">
            <w:pPr>
              <w:ind w:firstLine="0"/>
              <w:jc w:val="center"/>
              <w:cnfStyle w:val="000000100000"/>
              <w:rPr>
                <w:b/>
                <w:sz w:val="22"/>
              </w:rPr>
            </w:pPr>
            <w:r w:rsidRPr="00242020">
              <w:rPr>
                <w:b/>
                <w:sz w:val="22"/>
              </w:rPr>
              <w:t>Адміністративно-територіальна одиниця</w:t>
            </w:r>
          </w:p>
        </w:tc>
        <w:tc>
          <w:tcPr>
            <w:cnfStyle w:val="000010000000"/>
            <w:tcW w:w="4581" w:type="dxa"/>
            <w:gridSpan w:val="6"/>
            <w:noWrap/>
            <w:vAlign w:val="center"/>
          </w:tcPr>
          <w:p w:rsidR="00135105" w:rsidRPr="00242020" w:rsidRDefault="00135105" w:rsidP="00135105">
            <w:pPr>
              <w:ind w:firstLine="0"/>
              <w:jc w:val="center"/>
              <w:rPr>
                <w:b/>
                <w:sz w:val="22"/>
              </w:rPr>
            </w:pPr>
            <w:r w:rsidRPr="00242020">
              <w:rPr>
                <w:b/>
                <w:sz w:val="22"/>
              </w:rPr>
              <w:t>1992 - 2015 рр.</w:t>
            </w:r>
          </w:p>
          <w:p w:rsidR="00135105" w:rsidRPr="00242020" w:rsidRDefault="00135105" w:rsidP="00135105">
            <w:pPr>
              <w:ind w:firstLine="0"/>
              <w:jc w:val="center"/>
              <w:rPr>
                <w:b/>
                <w:sz w:val="22"/>
              </w:rPr>
            </w:pPr>
            <w:r w:rsidRPr="00242020">
              <w:rPr>
                <w:b/>
                <w:sz w:val="22"/>
              </w:rPr>
              <w:t xml:space="preserve">з урахуванням </w:t>
            </w:r>
            <w:proofErr w:type="spellStart"/>
            <w:r w:rsidRPr="00242020">
              <w:rPr>
                <w:b/>
                <w:sz w:val="22"/>
              </w:rPr>
              <w:t>дообліку</w:t>
            </w:r>
            <w:proofErr w:type="spellEnd"/>
            <w:r w:rsidRPr="00242020">
              <w:rPr>
                <w:b/>
                <w:sz w:val="22"/>
              </w:rPr>
              <w:t xml:space="preserve"> та вилучення</w:t>
            </w:r>
          </w:p>
        </w:tc>
        <w:tc>
          <w:tcPr>
            <w:tcW w:w="3149" w:type="dxa"/>
            <w:gridSpan w:val="6"/>
            <w:noWrap/>
            <w:vAlign w:val="center"/>
          </w:tcPr>
          <w:p w:rsidR="00135105" w:rsidRPr="00242020" w:rsidRDefault="00135105" w:rsidP="00135105">
            <w:pPr>
              <w:ind w:firstLine="0"/>
              <w:jc w:val="center"/>
              <w:cnfStyle w:val="000000100000"/>
              <w:rPr>
                <w:b/>
                <w:bCs/>
                <w:iCs/>
                <w:sz w:val="22"/>
              </w:rPr>
            </w:pPr>
            <w:r w:rsidRPr="00242020">
              <w:rPr>
                <w:b/>
                <w:iCs/>
                <w:sz w:val="22"/>
              </w:rPr>
              <w:t>За 12 місяців 2016 року</w:t>
            </w:r>
          </w:p>
        </w:tc>
        <w:tc>
          <w:tcPr>
            <w:cnfStyle w:val="000010000000"/>
            <w:tcW w:w="4532" w:type="dxa"/>
            <w:gridSpan w:val="6"/>
            <w:noWrap/>
            <w:vAlign w:val="center"/>
          </w:tcPr>
          <w:p w:rsidR="00135105" w:rsidRPr="00242020" w:rsidRDefault="00135105" w:rsidP="00135105">
            <w:pPr>
              <w:ind w:firstLine="0"/>
              <w:jc w:val="center"/>
              <w:rPr>
                <w:b/>
                <w:sz w:val="22"/>
              </w:rPr>
            </w:pPr>
            <w:r w:rsidRPr="00242020">
              <w:rPr>
                <w:b/>
                <w:sz w:val="22"/>
              </w:rPr>
              <w:t>1992 - 2016 рр.</w:t>
            </w:r>
          </w:p>
          <w:p w:rsidR="00135105" w:rsidRPr="00242020" w:rsidRDefault="00135105" w:rsidP="00135105">
            <w:pPr>
              <w:ind w:firstLine="0"/>
              <w:jc w:val="center"/>
              <w:rPr>
                <w:b/>
                <w:sz w:val="22"/>
              </w:rPr>
            </w:pPr>
            <w:r w:rsidRPr="00242020">
              <w:rPr>
                <w:b/>
                <w:sz w:val="22"/>
              </w:rPr>
              <w:t xml:space="preserve">з урахуванням </w:t>
            </w:r>
            <w:proofErr w:type="spellStart"/>
            <w:r w:rsidRPr="00242020">
              <w:rPr>
                <w:b/>
                <w:sz w:val="22"/>
              </w:rPr>
              <w:t>дообліку</w:t>
            </w:r>
            <w:proofErr w:type="spellEnd"/>
            <w:r w:rsidRPr="00242020">
              <w:rPr>
                <w:b/>
                <w:sz w:val="22"/>
              </w:rPr>
              <w:t xml:space="preserve"> та вилучення</w:t>
            </w:r>
          </w:p>
        </w:tc>
      </w:tr>
      <w:tr w:rsidR="00135105" w:rsidRPr="00242020" w:rsidTr="00EF2524">
        <w:trPr>
          <w:cnfStyle w:val="000000010000"/>
          <w:trHeight w:val="114"/>
        </w:trPr>
        <w:tc>
          <w:tcPr>
            <w:cnfStyle w:val="000010000000"/>
            <w:tcW w:w="434" w:type="dxa"/>
            <w:vMerge/>
            <w:vAlign w:val="center"/>
          </w:tcPr>
          <w:p w:rsidR="00135105" w:rsidRPr="00242020" w:rsidRDefault="00135105" w:rsidP="00EF2524">
            <w:pPr>
              <w:ind w:left="-52" w:right="-88" w:firstLine="0"/>
              <w:jc w:val="center"/>
              <w:rPr>
                <w:b/>
                <w:sz w:val="22"/>
              </w:rPr>
            </w:pPr>
          </w:p>
        </w:tc>
        <w:tc>
          <w:tcPr>
            <w:tcW w:w="2509" w:type="dxa"/>
            <w:gridSpan w:val="2"/>
            <w:vMerge/>
            <w:vAlign w:val="center"/>
          </w:tcPr>
          <w:p w:rsidR="00135105" w:rsidRPr="00242020" w:rsidRDefault="00135105" w:rsidP="00135105">
            <w:pPr>
              <w:ind w:firstLine="0"/>
              <w:jc w:val="center"/>
              <w:cnfStyle w:val="000000010000"/>
              <w:rPr>
                <w:b/>
                <w:sz w:val="22"/>
              </w:rPr>
            </w:pPr>
          </w:p>
        </w:tc>
        <w:tc>
          <w:tcPr>
            <w:cnfStyle w:val="000010000000"/>
            <w:tcW w:w="916" w:type="dxa"/>
            <w:vMerge w:val="restart"/>
            <w:noWrap/>
            <w:vAlign w:val="center"/>
          </w:tcPr>
          <w:p w:rsidR="00135105" w:rsidRPr="00242020" w:rsidRDefault="00135105" w:rsidP="00135105">
            <w:pPr>
              <w:ind w:firstLine="0"/>
              <w:jc w:val="center"/>
              <w:rPr>
                <w:b/>
                <w:sz w:val="22"/>
              </w:rPr>
            </w:pPr>
            <w:r w:rsidRPr="00242020">
              <w:rPr>
                <w:b/>
                <w:sz w:val="22"/>
              </w:rPr>
              <w:t>Всього</w:t>
            </w:r>
          </w:p>
        </w:tc>
        <w:tc>
          <w:tcPr>
            <w:tcW w:w="3665" w:type="dxa"/>
            <w:gridSpan w:val="5"/>
            <w:shd w:val="pct5" w:color="auto" w:fill="auto"/>
            <w:noWrap/>
            <w:vAlign w:val="center"/>
          </w:tcPr>
          <w:p w:rsidR="00135105" w:rsidRPr="00242020" w:rsidRDefault="00135105" w:rsidP="00135105">
            <w:pPr>
              <w:ind w:firstLine="0"/>
              <w:jc w:val="center"/>
              <w:cnfStyle w:val="000000010000"/>
              <w:rPr>
                <w:b/>
                <w:sz w:val="22"/>
              </w:rPr>
            </w:pPr>
            <w:r w:rsidRPr="00242020">
              <w:rPr>
                <w:b/>
                <w:sz w:val="22"/>
              </w:rPr>
              <w:t>у тому числі</w:t>
            </w:r>
          </w:p>
        </w:tc>
        <w:tc>
          <w:tcPr>
            <w:cnfStyle w:val="000010000000"/>
            <w:tcW w:w="897" w:type="dxa"/>
            <w:vMerge w:val="restart"/>
            <w:noWrap/>
            <w:vAlign w:val="center"/>
          </w:tcPr>
          <w:p w:rsidR="00135105" w:rsidRPr="00242020" w:rsidRDefault="00135105" w:rsidP="00135105">
            <w:pPr>
              <w:ind w:firstLine="0"/>
              <w:jc w:val="center"/>
              <w:rPr>
                <w:b/>
                <w:bCs/>
                <w:iCs/>
                <w:sz w:val="22"/>
              </w:rPr>
            </w:pPr>
            <w:r w:rsidRPr="00242020">
              <w:rPr>
                <w:b/>
                <w:iCs/>
                <w:sz w:val="22"/>
              </w:rPr>
              <w:t>Всього</w:t>
            </w:r>
          </w:p>
        </w:tc>
        <w:tc>
          <w:tcPr>
            <w:tcW w:w="2252" w:type="dxa"/>
            <w:gridSpan w:val="5"/>
            <w:shd w:val="pct5" w:color="auto" w:fill="auto"/>
            <w:noWrap/>
            <w:vAlign w:val="center"/>
          </w:tcPr>
          <w:p w:rsidR="00135105" w:rsidRPr="00242020" w:rsidRDefault="00135105" w:rsidP="00135105">
            <w:pPr>
              <w:ind w:firstLine="0"/>
              <w:jc w:val="center"/>
              <w:cnfStyle w:val="000000010000"/>
              <w:rPr>
                <w:b/>
                <w:bCs/>
                <w:iCs/>
                <w:sz w:val="22"/>
              </w:rPr>
            </w:pPr>
            <w:r w:rsidRPr="00242020">
              <w:rPr>
                <w:b/>
                <w:iCs/>
                <w:sz w:val="22"/>
              </w:rPr>
              <w:t>у тому числі</w:t>
            </w:r>
          </w:p>
        </w:tc>
        <w:tc>
          <w:tcPr>
            <w:cnfStyle w:val="000010000000"/>
            <w:tcW w:w="916" w:type="dxa"/>
            <w:vMerge w:val="restart"/>
            <w:noWrap/>
            <w:vAlign w:val="center"/>
          </w:tcPr>
          <w:p w:rsidR="00135105" w:rsidRPr="00242020" w:rsidRDefault="00135105" w:rsidP="00135105">
            <w:pPr>
              <w:ind w:firstLine="0"/>
              <w:jc w:val="center"/>
              <w:rPr>
                <w:b/>
                <w:sz w:val="22"/>
              </w:rPr>
            </w:pPr>
            <w:r w:rsidRPr="00242020">
              <w:rPr>
                <w:b/>
                <w:sz w:val="22"/>
              </w:rPr>
              <w:t>Всього</w:t>
            </w:r>
          </w:p>
        </w:tc>
        <w:tc>
          <w:tcPr>
            <w:tcW w:w="3616" w:type="dxa"/>
            <w:gridSpan w:val="5"/>
            <w:shd w:val="pct5" w:color="auto" w:fill="auto"/>
            <w:noWrap/>
            <w:vAlign w:val="center"/>
          </w:tcPr>
          <w:p w:rsidR="00135105" w:rsidRPr="00242020" w:rsidRDefault="00135105" w:rsidP="00135105">
            <w:pPr>
              <w:ind w:firstLine="0"/>
              <w:jc w:val="center"/>
              <w:cnfStyle w:val="000000010000"/>
              <w:rPr>
                <w:b/>
                <w:sz w:val="22"/>
              </w:rPr>
            </w:pPr>
            <w:r w:rsidRPr="00242020">
              <w:rPr>
                <w:b/>
                <w:sz w:val="22"/>
              </w:rPr>
              <w:t>у тому числі</w:t>
            </w:r>
          </w:p>
        </w:tc>
      </w:tr>
      <w:tr w:rsidR="00135105" w:rsidRPr="00242020" w:rsidTr="00EF2524">
        <w:trPr>
          <w:cnfStyle w:val="000000100000"/>
          <w:trHeight w:val="35"/>
        </w:trPr>
        <w:tc>
          <w:tcPr>
            <w:cnfStyle w:val="000010000000"/>
            <w:tcW w:w="434" w:type="dxa"/>
            <w:vMerge/>
            <w:vAlign w:val="center"/>
          </w:tcPr>
          <w:p w:rsidR="00135105" w:rsidRPr="00242020" w:rsidRDefault="00135105" w:rsidP="00EF2524">
            <w:pPr>
              <w:ind w:left="-52" w:right="-88" w:firstLine="0"/>
              <w:jc w:val="center"/>
              <w:rPr>
                <w:b/>
                <w:sz w:val="22"/>
              </w:rPr>
            </w:pPr>
          </w:p>
        </w:tc>
        <w:tc>
          <w:tcPr>
            <w:tcW w:w="2509" w:type="dxa"/>
            <w:gridSpan w:val="2"/>
            <w:vMerge/>
            <w:vAlign w:val="center"/>
          </w:tcPr>
          <w:p w:rsidR="00135105" w:rsidRPr="00242020" w:rsidRDefault="00135105" w:rsidP="00135105">
            <w:pPr>
              <w:ind w:firstLine="0"/>
              <w:jc w:val="center"/>
              <w:cnfStyle w:val="000000100000"/>
              <w:rPr>
                <w:b/>
                <w:sz w:val="22"/>
              </w:rPr>
            </w:pPr>
          </w:p>
        </w:tc>
        <w:tc>
          <w:tcPr>
            <w:cnfStyle w:val="000010000000"/>
            <w:tcW w:w="916" w:type="dxa"/>
            <w:vMerge/>
            <w:noWrap/>
            <w:vAlign w:val="center"/>
          </w:tcPr>
          <w:p w:rsidR="00135105" w:rsidRPr="00242020" w:rsidRDefault="00135105" w:rsidP="00135105">
            <w:pPr>
              <w:ind w:firstLine="0"/>
              <w:jc w:val="center"/>
              <w:rPr>
                <w:b/>
                <w:sz w:val="22"/>
                <w:highlight w:val="magenta"/>
              </w:rPr>
            </w:pPr>
          </w:p>
        </w:tc>
        <w:tc>
          <w:tcPr>
            <w:tcW w:w="916" w:type="dxa"/>
            <w:noWrap/>
            <w:vAlign w:val="center"/>
          </w:tcPr>
          <w:p w:rsidR="00135105" w:rsidRPr="00242020" w:rsidRDefault="00135105" w:rsidP="00135105">
            <w:pPr>
              <w:ind w:firstLine="0"/>
              <w:jc w:val="center"/>
              <w:cnfStyle w:val="000000100000"/>
              <w:rPr>
                <w:b/>
                <w:sz w:val="22"/>
              </w:rPr>
            </w:pPr>
            <w:r w:rsidRPr="00242020">
              <w:rPr>
                <w:b/>
                <w:sz w:val="22"/>
              </w:rPr>
              <w:t>А</w:t>
            </w:r>
          </w:p>
        </w:tc>
        <w:tc>
          <w:tcPr>
            <w:cnfStyle w:val="000010000000"/>
            <w:tcW w:w="781" w:type="dxa"/>
            <w:noWrap/>
            <w:vAlign w:val="center"/>
          </w:tcPr>
          <w:p w:rsidR="00135105" w:rsidRPr="00242020" w:rsidRDefault="00135105" w:rsidP="00135105">
            <w:pPr>
              <w:ind w:left="-56" w:right="-74" w:firstLine="0"/>
              <w:jc w:val="center"/>
              <w:rPr>
                <w:b/>
                <w:sz w:val="22"/>
              </w:rPr>
            </w:pPr>
            <w:r w:rsidRPr="00242020">
              <w:rPr>
                <w:b/>
                <w:sz w:val="22"/>
              </w:rPr>
              <w:t>Б, В, Г</w:t>
            </w:r>
          </w:p>
        </w:tc>
        <w:tc>
          <w:tcPr>
            <w:tcW w:w="656" w:type="dxa"/>
            <w:noWrap/>
            <w:vAlign w:val="center"/>
          </w:tcPr>
          <w:p w:rsidR="00135105" w:rsidRPr="00242020" w:rsidRDefault="00135105" w:rsidP="00135105">
            <w:pPr>
              <w:ind w:firstLine="0"/>
              <w:jc w:val="center"/>
              <w:cnfStyle w:val="000000100000"/>
              <w:rPr>
                <w:b/>
                <w:sz w:val="22"/>
              </w:rPr>
            </w:pPr>
            <w:r w:rsidRPr="00242020">
              <w:rPr>
                <w:b/>
                <w:sz w:val="22"/>
              </w:rPr>
              <w:t>Д</w:t>
            </w:r>
          </w:p>
        </w:tc>
        <w:tc>
          <w:tcPr>
            <w:cnfStyle w:val="000010000000"/>
            <w:tcW w:w="656" w:type="dxa"/>
            <w:noWrap/>
            <w:vAlign w:val="center"/>
          </w:tcPr>
          <w:p w:rsidR="00135105" w:rsidRPr="00242020" w:rsidRDefault="00135105" w:rsidP="00135105">
            <w:pPr>
              <w:ind w:firstLine="0"/>
              <w:jc w:val="center"/>
              <w:rPr>
                <w:b/>
                <w:sz w:val="22"/>
              </w:rPr>
            </w:pPr>
            <w:r w:rsidRPr="00242020">
              <w:rPr>
                <w:b/>
                <w:sz w:val="22"/>
              </w:rPr>
              <w:t>Е</w:t>
            </w:r>
          </w:p>
        </w:tc>
        <w:tc>
          <w:tcPr>
            <w:tcW w:w="656" w:type="dxa"/>
            <w:noWrap/>
            <w:vAlign w:val="center"/>
          </w:tcPr>
          <w:p w:rsidR="00135105" w:rsidRPr="00242020" w:rsidRDefault="00135105" w:rsidP="00135105">
            <w:pPr>
              <w:ind w:firstLine="0"/>
              <w:jc w:val="center"/>
              <w:cnfStyle w:val="000000100000"/>
              <w:rPr>
                <w:b/>
                <w:sz w:val="22"/>
              </w:rPr>
            </w:pPr>
            <w:r w:rsidRPr="00242020">
              <w:rPr>
                <w:b/>
                <w:sz w:val="22"/>
              </w:rPr>
              <w:t>Ж</w:t>
            </w:r>
          </w:p>
        </w:tc>
        <w:tc>
          <w:tcPr>
            <w:cnfStyle w:val="000010000000"/>
            <w:tcW w:w="897" w:type="dxa"/>
            <w:vMerge/>
            <w:noWrap/>
            <w:vAlign w:val="center"/>
          </w:tcPr>
          <w:p w:rsidR="00135105" w:rsidRPr="00242020" w:rsidRDefault="00135105" w:rsidP="00135105">
            <w:pPr>
              <w:ind w:firstLine="0"/>
              <w:jc w:val="center"/>
              <w:rPr>
                <w:b/>
                <w:bCs/>
                <w:iCs/>
                <w:sz w:val="22"/>
              </w:rPr>
            </w:pPr>
          </w:p>
        </w:tc>
        <w:tc>
          <w:tcPr>
            <w:tcW w:w="516" w:type="dxa"/>
            <w:noWrap/>
            <w:vAlign w:val="center"/>
          </w:tcPr>
          <w:p w:rsidR="00135105" w:rsidRPr="00242020" w:rsidRDefault="00135105" w:rsidP="00135105">
            <w:pPr>
              <w:ind w:firstLine="0"/>
              <w:jc w:val="center"/>
              <w:cnfStyle w:val="000000100000"/>
              <w:rPr>
                <w:b/>
                <w:bCs/>
                <w:iCs/>
                <w:sz w:val="22"/>
              </w:rPr>
            </w:pPr>
            <w:r w:rsidRPr="00242020">
              <w:rPr>
                <w:b/>
                <w:iCs/>
                <w:sz w:val="22"/>
              </w:rPr>
              <w:t>А</w:t>
            </w:r>
          </w:p>
        </w:tc>
        <w:tc>
          <w:tcPr>
            <w:cnfStyle w:val="000010000000"/>
            <w:tcW w:w="503" w:type="dxa"/>
            <w:noWrap/>
            <w:vAlign w:val="center"/>
          </w:tcPr>
          <w:p w:rsidR="00135105" w:rsidRPr="00242020" w:rsidRDefault="00135105" w:rsidP="00135105">
            <w:pPr>
              <w:ind w:left="-75" w:right="-76" w:firstLine="0"/>
              <w:jc w:val="center"/>
              <w:rPr>
                <w:b/>
                <w:bCs/>
                <w:iCs/>
                <w:sz w:val="22"/>
              </w:rPr>
            </w:pPr>
            <w:r w:rsidRPr="00242020">
              <w:rPr>
                <w:b/>
                <w:iCs/>
                <w:sz w:val="22"/>
              </w:rPr>
              <w:t>В, Г</w:t>
            </w:r>
          </w:p>
        </w:tc>
        <w:tc>
          <w:tcPr>
            <w:tcW w:w="436" w:type="dxa"/>
            <w:noWrap/>
            <w:vAlign w:val="center"/>
          </w:tcPr>
          <w:p w:rsidR="00135105" w:rsidRPr="00242020" w:rsidRDefault="00135105" w:rsidP="00135105">
            <w:pPr>
              <w:ind w:firstLine="0"/>
              <w:jc w:val="center"/>
              <w:cnfStyle w:val="000000100000"/>
              <w:rPr>
                <w:b/>
                <w:bCs/>
                <w:iCs/>
                <w:sz w:val="22"/>
              </w:rPr>
            </w:pPr>
            <w:r w:rsidRPr="00242020">
              <w:rPr>
                <w:b/>
                <w:iCs/>
                <w:sz w:val="22"/>
              </w:rPr>
              <w:t>Д</w:t>
            </w:r>
          </w:p>
        </w:tc>
        <w:tc>
          <w:tcPr>
            <w:cnfStyle w:val="000010000000"/>
            <w:tcW w:w="363" w:type="dxa"/>
            <w:noWrap/>
            <w:vAlign w:val="center"/>
          </w:tcPr>
          <w:p w:rsidR="00135105" w:rsidRPr="00242020" w:rsidRDefault="00135105" w:rsidP="00135105">
            <w:pPr>
              <w:ind w:firstLine="0"/>
              <w:jc w:val="center"/>
              <w:rPr>
                <w:b/>
                <w:bCs/>
                <w:iCs/>
                <w:sz w:val="22"/>
              </w:rPr>
            </w:pPr>
            <w:r w:rsidRPr="00242020">
              <w:rPr>
                <w:b/>
                <w:iCs/>
                <w:sz w:val="22"/>
              </w:rPr>
              <w:t>Е</w:t>
            </w:r>
          </w:p>
        </w:tc>
        <w:tc>
          <w:tcPr>
            <w:tcW w:w="434" w:type="dxa"/>
            <w:noWrap/>
            <w:vAlign w:val="center"/>
          </w:tcPr>
          <w:p w:rsidR="00135105" w:rsidRPr="00242020" w:rsidRDefault="00135105" w:rsidP="00135105">
            <w:pPr>
              <w:ind w:firstLine="0"/>
              <w:jc w:val="center"/>
              <w:cnfStyle w:val="000000100000"/>
              <w:rPr>
                <w:b/>
                <w:bCs/>
                <w:iCs/>
                <w:sz w:val="22"/>
              </w:rPr>
            </w:pPr>
            <w:r w:rsidRPr="00242020">
              <w:rPr>
                <w:b/>
                <w:iCs/>
                <w:sz w:val="22"/>
              </w:rPr>
              <w:t>Ж</w:t>
            </w:r>
          </w:p>
        </w:tc>
        <w:tc>
          <w:tcPr>
            <w:cnfStyle w:val="000010000000"/>
            <w:tcW w:w="916" w:type="dxa"/>
            <w:vMerge/>
            <w:noWrap/>
            <w:vAlign w:val="center"/>
          </w:tcPr>
          <w:p w:rsidR="00135105" w:rsidRPr="00242020" w:rsidRDefault="00135105" w:rsidP="00135105">
            <w:pPr>
              <w:ind w:firstLine="0"/>
              <w:jc w:val="center"/>
              <w:rPr>
                <w:b/>
                <w:sz w:val="22"/>
              </w:rPr>
            </w:pPr>
          </w:p>
        </w:tc>
        <w:tc>
          <w:tcPr>
            <w:tcW w:w="916" w:type="dxa"/>
            <w:noWrap/>
            <w:vAlign w:val="center"/>
          </w:tcPr>
          <w:p w:rsidR="00135105" w:rsidRPr="00242020" w:rsidRDefault="00135105" w:rsidP="00135105">
            <w:pPr>
              <w:ind w:firstLine="0"/>
              <w:jc w:val="center"/>
              <w:cnfStyle w:val="000000100000"/>
              <w:rPr>
                <w:b/>
                <w:sz w:val="22"/>
              </w:rPr>
            </w:pPr>
            <w:r w:rsidRPr="00242020">
              <w:rPr>
                <w:b/>
                <w:sz w:val="22"/>
              </w:rPr>
              <w:t>А</w:t>
            </w:r>
          </w:p>
        </w:tc>
        <w:tc>
          <w:tcPr>
            <w:cnfStyle w:val="000010000000"/>
            <w:tcW w:w="732" w:type="dxa"/>
            <w:noWrap/>
            <w:vAlign w:val="center"/>
          </w:tcPr>
          <w:p w:rsidR="00135105" w:rsidRPr="00242020" w:rsidRDefault="00135105" w:rsidP="00135105">
            <w:pPr>
              <w:ind w:left="-84" w:right="-76" w:firstLine="0"/>
              <w:jc w:val="center"/>
              <w:rPr>
                <w:b/>
                <w:sz w:val="22"/>
              </w:rPr>
            </w:pPr>
            <w:r w:rsidRPr="00242020">
              <w:rPr>
                <w:b/>
                <w:sz w:val="22"/>
              </w:rPr>
              <w:t>Б, В, Г</w:t>
            </w:r>
          </w:p>
        </w:tc>
        <w:tc>
          <w:tcPr>
            <w:tcW w:w="656" w:type="dxa"/>
            <w:noWrap/>
            <w:vAlign w:val="center"/>
          </w:tcPr>
          <w:p w:rsidR="00135105" w:rsidRPr="00242020" w:rsidRDefault="00135105" w:rsidP="00135105">
            <w:pPr>
              <w:ind w:firstLine="0"/>
              <w:jc w:val="center"/>
              <w:cnfStyle w:val="000000100000"/>
              <w:rPr>
                <w:b/>
                <w:sz w:val="22"/>
              </w:rPr>
            </w:pPr>
            <w:r w:rsidRPr="00242020">
              <w:rPr>
                <w:b/>
                <w:sz w:val="22"/>
              </w:rPr>
              <w:t>Д</w:t>
            </w:r>
          </w:p>
        </w:tc>
        <w:tc>
          <w:tcPr>
            <w:cnfStyle w:val="000010000000"/>
            <w:tcW w:w="656" w:type="dxa"/>
            <w:noWrap/>
            <w:vAlign w:val="center"/>
          </w:tcPr>
          <w:p w:rsidR="00135105" w:rsidRPr="00242020" w:rsidRDefault="00135105" w:rsidP="00135105">
            <w:pPr>
              <w:ind w:firstLine="0"/>
              <w:jc w:val="center"/>
              <w:rPr>
                <w:b/>
                <w:sz w:val="22"/>
              </w:rPr>
            </w:pPr>
            <w:r w:rsidRPr="00242020">
              <w:rPr>
                <w:b/>
                <w:sz w:val="22"/>
              </w:rPr>
              <w:t>Е</w:t>
            </w:r>
          </w:p>
        </w:tc>
        <w:tc>
          <w:tcPr>
            <w:tcW w:w="656" w:type="dxa"/>
            <w:noWrap/>
            <w:vAlign w:val="center"/>
          </w:tcPr>
          <w:p w:rsidR="00135105" w:rsidRPr="00242020" w:rsidRDefault="00135105" w:rsidP="00135105">
            <w:pPr>
              <w:ind w:firstLine="0"/>
              <w:jc w:val="center"/>
              <w:cnfStyle w:val="000000100000"/>
              <w:rPr>
                <w:b/>
                <w:sz w:val="22"/>
              </w:rPr>
            </w:pPr>
            <w:r w:rsidRPr="00242020">
              <w:rPr>
                <w:b/>
                <w:sz w:val="22"/>
              </w:rPr>
              <w:t>Ж</w:t>
            </w:r>
          </w:p>
        </w:tc>
      </w:tr>
      <w:tr w:rsidR="00EF2524" w:rsidRPr="00242020" w:rsidTr="00EF2524">
        <w:trPr>
          <w:cnfStyle w:val="000000010000"/>
          <w:trHeight w:hRule="exact" w:val="266"/>
        </w:trPr>
        <w:tc>
          <w:tcPr>
            <w:cnfStyle w:val="000010000000"/>
            <w:tcW w:w="434" w:type="dxa"/>
            <w:shd w:val="clear" w:color="auto" w:fill="auto"/>
            <w:vAlign w:val="center"/>
          </w:tcPr>
          <w:p w:rsidR="00135105" w:rsidRPr="00242020" w:rsidRDefault="00135105" w:rsidP="00EF2524">
            <w:pPr>
              <w:ind w:left="-52" w:right="-88" w:firstLine="0"/>
              <w:jc w:val="center"/>
              <w:rPr>
                <w:sz w:val="20"/>
              </w:rPr>
            </w:pPr>
            <w:r w:rsidRPr="00242020">
              <w:rPr>
                <w:sz w:val="20"/>
              </w:rPr>
              <w:t>1</w:t>
            </w:r>
          </w:p>
        </w:tc>
        <w:tc>
          <w:tcPr>
            <w:tcW w:w="2509" w:type="dxa"/>
            <w:gridSpan w:val="2"/>
            <w:shd w:val="clear" w:color="auto" w:fill="auto"/>
            <w:vAlign w:val="center"/>
          </w:tcPr>
          <w:p w:rsidR="00135105" w:rsidRPr="00242020" w:rsidRDefault="00135105" w:rsidP="00135105">
            <w:pPr>
              <w:ind w:firstLine="0"/>
              <w:cnfStyle w:val="000000010000"/>
              <w:rPr>
                <w:sz w:val="20"/>
              </w:rPr>
            </w:pPr>
            <w:r w:rsidRPr="00242020">
              <w:rPr>
                <w:sz w:val="20"/>
              </w:rPr>
              <w:t>Вінницька область</w:t>
            </w:r>
          </w:p>
        </w:tc>
        <w:tc>
          <w:tcPr>
            <w:cnfStyle w:val="000010000000"/>
            <w:tcW w:w="916" w:type="dxa"/>
            <w:shd w:val="clear" w:color="auto" w:fill="auto"/>
            <w:vAlign w:val="center"/>
          </w:tcPr>
          <w:p w:rsidR="00135105" w:rsidRPr="00242020" w:rsidRDefault="00135105" w:rsidP="00135105">
            <w:pPr>
              <w:ind w:firstLine="0"/>
              <w:jc w:val="center"/>
              <w:rPr>
                <w:sz w:val="20"/>
              </w:rPr>
            </w:pPr>
            <w:r w:rsidRPr="00242020">
              <w:rPr>
                <w:sz w:val="20"/>
              </w:rPr>
              <w:t>1657</w:t>
            </w:r>
          </w:p>
        </w:tc>
        <w:tc>
          <w:tcPr>
            <w:tcW w:w="91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1568</w:t>
            </w:r>
          </w:p>
        </w:tc>
        <w:tc>
          <w:tcPr>
            <w:cnfStyle w:val="000010000000"/>
            <w:tcW w:w="781" w:type="dxa"/>
            <w:shd w:val="clear" w:color="auto" w:fill="auto"/>
            <w:noWrap/>
            <w:vAlign w:val="center"/>
          </w:tcPr>
          <w:p w:rsidR="00135105" w:rsidRPr="00242020" w:rsidRDefault="00135105" w:rsidP="00135105">
            <w:pPr>
              <w:ind w:firstLine="0"/>
              <w:jc w:val="center"/>
              <w:rPr>
                <w:sz w:val="20"/>
              </w:rPr>
            </w:pPr>
            <w:r w:rsidRPr="00242020">
              <w:rPr>
                <w:sz w:val="20"/>
              </w:rPr>
              <w:t>50</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33</w:t>
            </w:r>
          </w:p>
        </w:tc>
        <w:tc>
          <w:tcPr>
            <w:cnfStyle w:val="000010000000"/>
            <w:tcW w:w="656" w:type="dxa"/>
            <w:shd w:val="clear" w:color="auto" w:fill="auto"/>
            <w:noWrap/>
            <w:vAlign w:val="center"/>
          </w:tcPr>
          <w:p w:rsidR="00135105" w:rsidRPr="00242020" w:rsidRDefault="00135105" w:rsidP="00135105">
            <w:pPr>
              <w:ind w:firstLine="0"/>
              <w:jc w:val="center"/>
              <w:rPr>
                <w:sz w:val="20"/>
              </w:rPr>
            </w:pPr>
            <w:r w:rsidRPr="00242020">
              <w:rPr>
                <w:sz w:val="20"/>
              </w:rPr>
              <w:t>2</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4</w:t>
            </w:r>
          </w:p>
        </w:tc>
        <w:tc>
          <w:tcPr>
            <w:cnfStyle w:val="000010000000"/>
            <w:tcW w:w="897" w:type="dxa"/>
            <w:shd w:val="clear" w:color="auto" w:fill="auto"/>
            <w:noWrap/>
            <w:vAlign w:val="center"/>
          </w:tcPr>
          <w:p w:rsidR="00135105" w:rsidRPr="00242020" w:rsidRDefault="00135105" w:rsidP="00135105">
            <w:pPr>
              <w:ind w:firstLine="0"/>
              <w:jc w:val="center"/>
              <w:rPr>
                <w:b/>
                <w:i/>
                <w:iCs/>
                <w:sz w:val="20"/>
              </w:rPr>
            </w:pPr>
            <w:r w:rsidRPr="00242020">
              <w:rPr>
                <w:b/>
                <w:i/>
                <w:iCs/>
                <w:sz w:val="20"/>
              </w:rPr>
              <w:t>1</w:t>
            </w:r>
          </w:p>
        </w:tc>
        <w:tc>
          <w:tcPr>
            <w:tcW w:w="516" w:type="dxa"/>
            <w:shd w:val="clear" w:color="auto" w:fill="auto"/>
            <w:noWrap/>
            <w:vAlign w:val="center"/>
          </w:tcPr>
          <w:p w:rsidR="00135105" w:rsidRPr="00242020" w:rsidRDefault="00135105" w:rsidP="00135105">
            <w:pPr>
              <w:ind w:firstLine="0"/>
              <w:jc w:val="center"/>
              <w:cnfStyle w:val="000000010000"/>
              <w:rPr>
                <w:b/>
                <w:i/>
                <w:iCs/>
                <w:sz w:val="20"/>
              </w:rPr>
            </w:pPr>
          </w:p>
        </w:tc>
        <w:tc>
          <w:tcPr>
            <w:cnfStyle w:val="000010000000"/>
            <w:tcW w:w="503" w:type="dxa"/>
            <w:shd w:val="clear" w:color="auto" w:fill="auto"/>
            <w:vAlign w:val="center"/>
          </w:tcPr>
          <w:p w:rsidR="00135105" w:rsidRPr="00242020" w:rsidRDefault="00135105" w:rsidP="00135105">
            <w:pPr>
              <w:ind w:firstLine="0"/>
              <w:jc w:val="center"/>
              <w:rPr>
                <w:b/>
                <w:i/>
                <w:iCs/>
                <w:sz w:val="20"/>
              </w:rPr>
            </w:pPr>
          </w:p>
        </w:tc>
        <w:tc>
          <w:tcPr>
            <w:tcW w:w="436" w:type="dxa"/>
            <w:shd w:val="clear" w:color="auto" w:fill="auto"/>
            <w:noWrap/>
            <w:vAlign w:val="center"/>
          </w:tcPr>
          <w:p w:rsidR="00135105" w:rsidRPr="00242020" w:rsidRDefault="00135105" w:rsidP="00135105">
            <w:pPr>
              <w:ind w:firstLine="0"/>
              <w:jc w:val="center"/>
              <w:cnfStyle w:val="000000010000"/>
              <w:rPr>
                <w:b/>
                <w:i/>
                <w:iCs/>
                <w:sz w:val="20"/>
              </w:rPr>
            </w:pPr>
            <w:r w:rsidRPr="00242020">
              <w:rPr>
                <w:b/>
                <w:i/>
                <w:iCs/>
                <w:sz w:val="20"/>
              </w:rPr>
              <w:t>1</w:t>
            </w:r>
          </w:p>
        </w:tc>
        <w:tc>
          <w:tcPr>
            <w:cnfStyle w:val="000010000000"/>
            <w:tcW w:w="363" w:type="dxa"/>
            <w:shd w:val="clear" w:color="auto" w:fill="auto"/>
            <w:vAlign w:val="center"/>
          </w:tcPr>
          <w:p w:rsidR="00135105" w:rsidRPr="00242020" w:rsidRDefault="00135105" w:rsidP="00135105">
            <w:pPr>
              <w:ind w:firstLine="0"/>
              <w:jc w:val="center"/>
              <w:rPr>
                <w:b/>
                <w:i/>
                <w:iCs/>
                <w:sz w:val="20"/>
              </w:rPr>
            </w:pPr>
          </w:p>
        </w:tc>
        <w:tc>
          <w:tcPr>
            <w:tcW w:w="434" w:type="dxa"/>
            <w:shd w:val="clear" w:color="auto" w:fill="auto"/>
            <w:vAlign w:val="center"/>
          </w:tcPr>
          <w:p w:rsidR="00135105" w:rsidRPr="00242020" w:rsidRDefault="00135105" w:rsidP="00135105">
            <w:pPr>
              <w:ind w:firstLine="0"/>
              <w:jc w:val="center"/>
              <w:cnfStyle w:val="000000010000"/>
              <w:rPr>
                <w:b/>
                <w:i/>
                <w:iCs/>
                <w:sz w:val="20"/>
              </w:rPr>
            </w:pPr>
          </w:p>
        </w:tc>
        <w:tc>
          <w:tcPr>
            <w:cnfStyle w:val="000010000000"/>
            <w:tcW w:w="916" w:type="dxa"/>
            <w:shd w:val="clear" w:color="auto" w:fill="auto"/>
            <w:vAlign w:val="center"/>
          </w:tcPr>
          <w:p w:rsidR="00135105" w:rsidRPr="00242020" w:rsidRDefault="00135105" w:rsidP="00135105">
            <w:pPr>
              <w:ind w:firstLine="0"/>
              <w:jc w:val="center"/>
              <w:rPr>
                <w:sz w:val="20"/>
              </w:rPr>
            </w:pPr>
            <w:r w:rsidRPr="00242020">
              <w:rPr>
                <w:sz w:val="20"/>
              </w:rPr>
              <w:t>1658</w:t>
            </w:r>
          </w:p>
        </w:tc>
        <w:tc>
          <w:tcPr>
            <w:tcW w:w="91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1568</w:t>
            </w:r>
          </w:p>
        </w:tc>
        <w:tc>
          <w:tcPr>
            <w:cnfStyle w:val="000010000000"/>
            <w:tcW w:w="732" w:type="dxa"/>
            <w:shd w:val="clear" w:color="auto" w:fill="auto"/>
            <w:noWrap/>
            <w:vAlign w:val="center"/>
          </w:tcPr>
          <w:p w:rsidR="00135105" w:rsidRPr="00242020" w:rsidRDefault="00135105" w:rsidP="00135105">
            <w:pPr>
              <w:ind w:firstLine="0"/>
              <w:jc w:val="center"/>
              <w:rPr>
                <w:sz w:val="20"/>
              </w:rPr>
            </w:pPr>
            <w:r w:rsidRPr="00242020">
              <w:rPr>
                <w:sz w:val="20"/>
              </w:rPr>
              <w:t>50</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34</w:t>
            </w:r>
          </w:p>
        </w:tc>
        <w:tc>
          <w:tcPr>
            <w:cnfStyle w:val="000010000000"/>
            <w:tcW w:w="656" w:type="dxa"/>
            <w:shd w:val="clear" w:color="auto" w:fill="auto"/>
            <w:noWrap/>
            <w:vAlign w:val="center"/>
          </w:tcPr>
          <w:p w:rsidR="00135105" w:rsidRPr="00242020" w:rsidRDefault="00135105" w:rsidP="00135105">
            <w:pPr>
              <w:ind w:firstLine="0"/>
              <w:jc w:val="center"/>
              <w:rPr>
                <w:sz w:val="20"/>
              </w:rPr>
            </w:pPr>
            <w:r w:rsidRPr="00242020">
              <w:rPr>
                <w:sz w:val="20"/>
              </w:rPr>
              <w:t>2</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4</w:t>
            </w:r>
          </w:p>
        </w:tc>
      </w:tr>
      <w:tr w:rsidR="00135105" w:rsidRPr="00242020" w:rsidTr="00EF2524">
        <w:trPr>
          <w:cnfStyle w:val="000000100000"/>
          <w:trHeight w:hRule="exact" w:val="266"/>
        </w:trPr>
        <w:tc>
          <w:tcPr>
            <w:cnfStyle w:val="000010000000"/>
            <w:tcW w:w="434" w:type="dxa"/>
            <w:vAlign w:val="center"/>
          </w:tcPr>
          <w:p w:rsidR="00135105" w:rsidRPr="00242020" w:rsidRDefault="00135105" w:rsidP="00EF2524">
            <w:pPr>
              <w:ind w:left="-52" w:right="-88" w:firstLine="0"/>
              <w:jc w:val="center"/>
              <w:rPr>
                <w:sz w:val="20"/>
              </w:rPr>
            </w:pPr>
            <w:r w:rsidRPr="00242020">
              <w:rPr>
                <w:sz w:val="20"/>
              </w:rPr>
              <w:t>2</w:t>
            </w:r>
          </w:p>
        </w:tc>
        <w:tc>
          <w:tcPr>
            <w:tcW w:w="2509" w:type="dxa"/>
            <w:gridSpan w:val="2"/>
            <w:vAlign w:val="center"/>
          </w:tcPr>
          <w:p w:rsidR="00135105" w:rsidRPr="00242020" w:rsidRDefault="00135105" w:rsidP="00135105">
            <w:pPr>
              <w:ind w:firstLine="0"/>
              <w:cnfStyle w:val="000000100000"/>
              <w:rPr>
                <w:sz w:val="20"/>
              </w:rPr>
            </w:pPr>
            <w:r w:rsidRPr="00242020">
              <w:rPr>
                <w:sz w:val="20"/>
              </w:rPr>
              <w:t>Волинська область</w:t>
            </w:r>
          </w:p>
        </w:tc>
        <w:tc>
          <w:tcPr>
            <w:cnfStyle w:val="000010000000"/>
            <w:tcW w:w="916" w:type="dxa"/>
            <w:vAlign w:val="center"/>
          </w:tcPr>
          <w:p w:rsidR="00135105" w:rsidRPr="00242020" w:rsidRDefault="00135105" w:rsidP="00135105">
            <w:pPr>
              <w:ind w:firstLine="0"/>
              <w:jc w:val="center"/>
              <w:rPr>
                <w:sz w:val="20"/>
              </w:rPr>
            </w:pPr>
            <w:r w:rsidRPr="00242020">
              <w:rPr>
                <w:sz w:val="20"/>
              </w:rPr>
              <w:t>1919</w:t>
            </w:r>
          </w:p>
        </w:tc>
        <w:tc>
          <w:tcPr>
            <w:tcW w:w="916" w:type="dxa"/>
            <w:noWrap/>
            <w:vAlign w:val="center"/>
          </w:tcPr>
          <w:p w:rsidR="00135105" w:rsidRPr="00242020" w:rsidRDefault="00135105" w:rsidP="00135105">
            <w:pPr>
              <w:ind w:firstLine="0"/>
              <w:jc w:val="center"/>
              <w:cnfStyle w:val="000000100000"/>
              <w:rPr>
                <w:sz w:val="20"/>
              </w:rPr>
            </w:pPr>
            <w:r w:rsidRPr="00242020">
              <w:rPr>
                <w:sz w:val="20"/>
              </w:rPr>
              <w:t>1776</w:t>
            </w:r>
          </w:p>
        </w:tc>
        <w:tc>
          <w:tcPr>
            <w:cnfStyle w:val="000010000000"/>
            <w:tcW w:w="781" w:type="dxa"/>
            <w:noWrap/>
            <w:vAlign w:val="center"/>
          </w:tcPr>
          <w:p w:rsidR="00135105" w:rsidRPr="00242020" w:rsidRDefault="00135105" w:rsidP="00135105">
            <w:pPr>
              <w:ind w:firstLine="0"/>
              <w:jc w:val="center"/>
              <w:rPr>
                <w:sz w:val="20"/>
              </w:rPr>
            </w:pPr>
            <w:r w:rsidRPr="00242020">
              <w:rPr>
                <w:sz w:val="20"/>
              </w:rPr>
              <w:t>68</w:t>
            </w:r>
          </w:p>
        </w:tc>
        <w:tc>
          <w:tcPr>
            <w:tcW w:w="656" w:type="dxa"/>
            <w:noWrap/>
            <w:vAlign w:val="center"/>
          </w:tcPr>
          <w:p w:rsidR="00135105" w:rsidRPr="00242020" w:rsidRDefault="00135105" w:rsidP="00135105">
            <w:pPr>
              <w:ind w:firstLine="0"/>
              <w:jc w:val="center"/>
              <w:cnfStyle w:val="000000100000"/>
              <w:rPr>
                <w:sz w:val="20"/>
              </w:rPr>
            </w:pPr>
            <w:r w:rsidRPr="00242020">
              <w:rPr>
                <w:sz w:val="20"/>
              </w:rPr>
              <w:t>36</w:t>
            </w:r>
          </w:p>
        </w:tc>
        <w:tc>
          <w:tcPr>
            <w:cnfStyle w:val="000010000000"/>
            <w:tcW w:w="656" w:type="dxa"/>
            <w:noWrap/>
            <w:vAlign w:val="center"/>
          </w:tcPr>
          <w:p w:rsidR="00135105" w:rsidRPr="00242020" w:rsidRDefault="00135105" w:rsidP="00135105">
            <w:pPr>
              <w:ind w:firstLine="0"/>
              <w:jc w:val="center"/>
              <w:rPr>
                <w:sz w:val="20"/>
              </w:rPr>
            </w:pPr>
            <w:r w:rsidRPr="00242020">
              <w:rPr>
                <w:sz w:val="20"/>
              </w:rPr>
              <w:t>1</w:t>
            </w:r>
          </w:p>
        </w:tc>
        <w:tc>
          <w:tcPr>
            <w:tcW w:w="656" w:type="dxa"/>
            <w:noWrap/>
            <w:vAlign w:val="center"/>
          </w:tcPr>
          <w:p w:rsidR="00135105" w:rsidRPr="00242020" w:rsidRDefault="00135105" w:rsidP="00135105">
            <w:pPr>
              <w:ind w:firstLine="0"/>
              <w:jc w:val="center"/>
              <w:cnfStyle w:val="000000100000"/>
              <w:rPr>
                <w:sz w:val="20"/>
              </w:rPr>
            </w:pPr>
            <w:r w:rsidRPr="00242020">
              <w:rPr>
                <w:sz w:val="20"/>
              </w:rPr>
              <w:t>38</w:t>
            </w:r>
          </w:p>
        </w:tc>
        <w:tc>
          <w:tcPr>
            <w:cnfStyle w:val="000010000000"/>
            <w:tcW w:w="897" w:type="dxa"/>
            <w:noWrap/>
            <w:vAlign w:val="center"/>
          </w:tcPr>
          <w:p w:rsidR="00135105" w:rsidRPr="00242020" w:rsidRDefault="00135105" w:rsidP="00135105">
            <w:pPr>
              <w:ind w:firstLine="0"/>
              <w:jc w:val="center"/>
              <w:rPr>
                <w:b/>
                <w:i/>
                <w:iCs/>
                <w:sz w:val="20"/>
              </w:rPr>
            </w:pPr>
            <w:r w:rsidRPr="00242020">
              <w:rPr>
                <w:b/>
                <w:i/>
                <w:iCs/>
                <w:sz w:val="20"/>
              </w:rPr>
              <w:t>0</w:t>
            </w:r>
          </w:p>
        </w:tc>
        <w:tc>
          <w:tcPr>
            <w:tcW w:w="516" w:type="dxa"/>
            <w:noWrap/>
            <w:vAlign w:val="center"/>
          </w:tcPr>
          <w:p w:rsidR="00135105" w:rsidRPr="00242020" w:rsidRDefault="00135105" w:rsidP="00135105">
            <w:pPr>
              <w:ind w:firstLine="0"/>
              <w:jc w:val="center"/>
              <w:cnfStyle w:val="000000100000"/>
              <w:rPr>
                <w:b/>
                <w:i/>
                <w:iCs/>
                <w:sz w:val="20"/>
              </w:rPr>
            </w:pPr>
          </w:p>
        </w:tc>
        <w:tc>
          <w:tcPr>
            <w:cnfStyle w:val="000010000000"/>
            <w:tcW w:w="503" w:type="dxa"/>
            <w:vAlign w:val="center"/>
          </w:tcPr>
          <w:p w:rsidR="00135105" w:rsidRPr="00242020" w:rsidRDefault="00135105" w:rsidP="00135105">
            <w:pPr>
              <w:ind w:firstLine="0"/>
              <w:jc w:val="center"/>
              <w:rPr>
                <w:b/>
                <w:i/>
                <w:iCs/>
                <w:sz w:val="20"/>
              </w:rPr>
            </w:pPr>
          </w:p>
        </w:tc>
        <w:tc>
          <w:tcPr>
            <w:tcW w:w="436" w:type="dxa"/>
            <w:noWrap/>
            <w:vAlign w:val="center"/>
          </w:tcPr>
          <w:p w:rsidR="00135105" w:rsidRPr="00242020" w:rsidRDefault="00135105" w:rsidP="00135105">
            <w:pPr>
              <w:ind w:firstLine="0"/>
              <w:jc w:val="center"/>
              <w:cnfStyle w:val="000000100000"/>
              <w:rPr>
                <w:b/>
                <w:i/>
                <w:iCs/>
                <w:sz w:val="20"/>
              </w:rPr>
            </w:pPr>
          </w:p>
        </w:tc>
        <w:tc>
          <w:tcPr>
            <w:cnfStyle w:val="000010000000"/>
            <w:tcW w:w="363" w:type="dxa"/>
            <w:vAlign w:val="center"/>
          </w:tcPr>
          <w:p w:rsidR="00135105" w:rsidRPr="00242020" w:rsidRDefault="00135105" w:rsidP="00135105">
            <w:pPr>
              <w:ind w:firstLine="0"/>
              <w:jc w:val="center"/>
              <w:rPr>
                <w:b/>
                <w:i/>
                <w:iCs/>
                <w:sz w:val="20"/>
              </w:rPr>
            </w:pPr>
          </w:p>
        </w:tc>
        <w:tc>
          <w:tcPr>
            <w:tcW w:w="434" w:type="dxa"/>
            <w:vAlign w:val="center"/>
          </w:tcPr>
          <w:p w:rsidR="00135105" w:rsidRPr="00242020" w:rsidRDefault="00135105" w:rsidP="00135105">
            <w:pPr>
              <w:ind w:firstLine="0"/>
              <w:jc w:val="center"/>
              <w:cnfStyle w:val="000000100000"/>
              <w:rPr>
                <w:b/>
                <w:i/>
                <w:iCs/>
                <w:sz w:val="20"/>
              </w:rPr>
            </w:pPr>
          </w:p>
        </w:tc>
        <w:tc>
          <w:tcPr>
            <w:cnfStyle w:val="000010000000"/>
            <w:tcW w:w="916" w:type="dxa"/>
            <w:vAlign w:val="center"/>
          </w:tcPr>
          <w:p w:rsidR="00135105" w:rsidRPr="00242020" w:rsidRDefault="00135105" w:rsidP="00135105">
            <w:pPr>
              <w:ind w:firstLine="0"/>
              <w:jc w:val="center"/>
              <w:rPr>
                <w:sz w:val="20"/>
              </w:rPr>
            </w:pPr>
            <w:r w:rsidRPr="00242020">
              <w:rPr>
                <w:sz w:val="20"/>
              </w:rPr>
              <w:t>1919</w:t>
            </w:r>
          </w:p>
        </w:tc>
        <w:tc>
          <w:tcPr>
            <w:tcW w:w="916" w:type="dxa"/>
            <w:noWrap/>
            <w:vAlign w:val="center"/>
          </w:tcPr>
          <w:p w:rsidR="00135105" w:rsidRPr="00242020" w:rsidRDefault="00135105" w:rsidP="00135105">
            <w:pPr>
              <w:ind w:firstLine="0"/>
              <w:jc w:val="center"/>
              <w:cnfStyle w:val="000000100000"/>
              <w:rPr>
                <w:sz w:val="20"/>
              </w:rPr>
            </w:pPr>
            <w:r w:rsidRPr="00242020">
              <w:rPr>
                <w:sz w:val="20"/>
              </w:rPr>
              <w:t>1776</w:t>
            </w:r>
          </w:p>
        </w:tc>
        <w:tc>
          <w:tcPr>
            <w:cnfStyle w:val="000010000000"/>
            <w:tcW w:w="732" w:type="dxa"/>
            <w:noWrap/>
            <w:vAlign w:val="center"/>
          </w:tcPr>
          <w:p w:rsidR="00135105" w:rsidRPr="00242020" w:rsidRDefault="00135105" w:rsidP="00135105">
            <w:pPr>
              <w:ind w:firstLine="0"/>
              <w:jc w:val="center"/>
              <w:rPr>
                <w:sz w:val="20"/>
              </w:rPr>
            </w:pPr>
            <w:r w:rsidRPr="00242020">
              <w:rPr>
                <w:sz w:val="20"/>
              </w:rPr>
              <w:t>68</w:t>
            </w:r>
          </w:p>
        </w:tc>
        <w:tc>
          <w:tcPr>
            <w:tcW w:w="656" w:type="dxa"/>
            <w:noWrap/>
            <w:vAlign w:val="center"/>
          </w:tcPr>
          <w:p w:rsidR="00135105" w:rsidRPr="00242020" w:rsidRDefault="00135105" w:rsidP="00135105">
            <w:pPr>
              <w:ind w:firstLine="0"/>
              <w:jc w:val="center"/>
              <w:cnfStyle w:val="000000100000"/>
              <w:rPr>
                <w:sz w:val="20"/>
              </w:rPr>
            </w:pPr>
            <w:r w:rsidRPr="00242020">
              <w:rPr>
                <w:sz w:val="20"/>
              </w:rPr>
              <w:t>36</w:t>
            </w:r>
          </w:p>
        </w:tc>
        <w:tc>
          <w:tcPr>
            <w:cnfStyle w:val="000010000000"/>
            <w:tcW w:w="656" w:type="dxa"/>
            <w:noWrap/>
            <w:vAlign w:val="center"/>
          </w:tcPr>
          <w:p w:rsidR="00135105" w:rsidRPr="00242020" w:rsidRDefault="00135105" w:rsidP="00135105">
            <w:pPr>
              <w:ind w:firstLine="0"/>
              <w:jc w:val="center"/>
              <w:rPr>
                <w:sz w:val="20"/>
              </w:rPr>
            </w:pPr>
            <w:r w:rsidRPr="00242020">
              <w:rPr>
                <w:sz w:val="20"/>
              </w:rPr>
              <w:t>1</w:t>
            </w:r>
          </w:p>
        </w:tc>
        <w:tc>
          <w:tcPr>
            <w:tcW w:w="656" w:type="dxa"/>
            <w:noWrap/>
            <w:vAlign w:val="center"/>
          </w:tcPr>
          <w:p w:rsidR="00135105" w:rsidRPr="00242020" w:rsidRDefault="00135105" w:rsidP="00135105">
            <w:pPr>
              <w:ind w:firstLine="0"/>
              <w:jc w:val="center"/>
              <w:cnfStyle w:val="000000100000"/>
              <w:rPr>
                <w:sz w:val="20"/>
              </w:rPr>
            </w:pPr>
            <w:r w:rsidRPr="00242020">
              <w:rPr>
                <w:sz w:val="20"/>
              </w:rPr>
              <w:t>38</w:t>
            </w:r>
          </w:p>
        </w:tc>
      </w:tr>
      <w:tr w:rsidR="00EF2524" w:rsidRPr="00242020" w:rsidTr="00EF2524">
        <w:trPr>
          <w:cnfStyle w:val="000000010000"/>
          <w:trHeight w:hRule="exact" w:val="266"/>
        </w:trPr>
        <w:tc>
          <w:tcPr>
            <w:cnfStyle w:val="000010000000"/>
            <w:tcW w:w="434" w:type="dxa"/>
            <w:shd w:val="clear" w:color="auto" w:fill="auto"/>
            <w:vAlign w:val="center"/>
          </w:tcPr>
          <w:p w:rsidR="00135105" w:rsidRPr="00242020" w:rsidRDefault="00135105" w:rsidP="00EF2524">
            <w:pPr>
              <w:ind w:left="-52" w:right="-88" w:firstLine="0"/>
              <w:jc w:val="center"/>
              <w:rPr>
                <w:sz w:val="20"/>
              </w:rPr>
            </w:pPr>
            <w:r w:rsidRPr="00242020">
              <w:rPr>
                <w:sz w:val="20"/>
              </w:rPr>
              <w:t>3</w:t>
            </w:r>
          </w:p>
        </w:tc>
        <w:tc>
          <w:tcPr>
            <w:tcW w:w="2509" w:type="dxa"/>
            <w:gridSpan w:val="2"/>
            <w:shd w:val="clear" w:color="auto" w:fill="auto"/>
            <w:vAlign w:val="center"/>
          </w:tcPr>
          <w:p w:rsidR="00135105" w:rsidRPr="00242020" w:rsidRDefault="00135105" w:rsidP="00135105">
            <w:pPr>
              <w:ind w:firstLine="0"/>
              <w:cnfStyle w:val="000000010000"/>
              <w:rPr>
                <w:sz w:val="20"/>
              </w:rPr>
            </w:pPr>
            <w:r w:rsidRPr="00242020">
              <w:rPr>
                <w:sz w:val="20"/>
              </w:rPr>
              <w:t>Дніпропетровська область</w:t>
            </w:r>
          </w:p>
        </w:tc>
        <w:tc>
          <w:tcPr>
            <w:cnfStyle w:val="000010000000"/>
            <w:tcW w:w="916" w:type="dxa"/>
            <w:shd w:val="clear" w:color="auto" w:fill="auto"/>
            <w:vAlign w:val="center"/>
          </w:tcPr>
          <w:p w:rsidR="00135105" w:rsidRPr="00242020" w:rsidRDefault="00135105" w:rsidP="00135105">
            <w:pPr>
              <w:ind w:firstLine="0"/>
              <w:jc w:val="center"/>
              <w:rPr>
                <w:sz w:val="20"/>
              </w:rPr>
            </w:pPr>
            <w:r w:rsidRPr="00242020">
              <w:rPr>
                <w:sz w:val="20"/>
              </w:rPr>
              <w:t>6391</w:t>
            </w:r>
          </w:p>
        </w:tc>
        <w:tc>
          <w:tcPr>
            <w:tcW w:w="91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6133</w:t>
            </w:r>
          </w:p>
        </w:tc>
        <w:tc>
          <w:tcPr>
            <w:cnfStyle w:val="000010000000"/>
            <w:tcW w:w="781" w:type="dxa"/>
            <w:shd w:val="clear" w:color="auto" w:fill="auto"/>
            <w:noWrap/>
            <w:vAlign w:val="center"/>
          </w:tcPr>
          <w:p w:rsidR="00135105" w:rsidRPr="00242020" w:rsidRDefault="00135105" w:rsidP="00135105">
            <w:pPr>
              <w:ind w:firstLine="0"/>
              <w:jc w:val="center"/>
              <w:rPr>
                <w:sz w:val="20"/>
              </w:rPr>
            </w:pPr>
            <w:r w:rsidRPr="00242020">
              <w:rPr>
                <w:sz w:val="20"/>
              </w:rPr>
              <w:t>209</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28</w:t>
            </w:r>
          </w:p>
        </w:tc>
        <w:tc>
          <w:tcPr>
            <w:cnfStyle w:val="000010000000"/>
            <w:tcW w:w="656" w:type="dxa"/>
            <w:shd w:val="clear" w:color="auto" w:fill="auto"/>
            <w:noWrap/>
            <w:vAlign w:val="center"/>
          </w:tcPr>
          <w:p w:rsidR="00135105" w:rsidRPr="00242020" w:rsidRDefault="00135105" w:rsidP="00135105">
            <w:pPr>
              <w:ind w:firstLine="0"/>
              <w:jc w:val="center"/>
              <w:rPr>
                <w:sz w:val="20"/>
              </w:rPr>
            </w:pPr>
            <w:r w:rsidRPr="00242020">
              <w:rPr>
                <w:sz w:val="20"/>
              </w:rPr>
              <w:t>6</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15</w:t>
            </w:r>
          </w:p>
        </w:tc>
        <w:tc>
          <w:tcPr>
            <w:cnfStyle w:val="000010000000"/>
            <w:tcW w:w="897" w:type="dxa"/>
            <w:shd w:val="clear" w:color="auto" w:fill="auto"/>
            <w:noWrap/>
            <w:vAlign w:val="center"/>
          </w:tcPr>
          <w:p w:rsidR="00135105" w:rsidRPr="00242020" w:rsidRDefault="00135105" w:rsidP="00135105">
            <w:pPr>
              <w:ind w:firstLine="0"/>
              <w:jc w:val="center"/>
              <w:rPr>
                <w:b/>
                <w:i/>
                <w:iCs/>
                <w:sz w:val="20"/>
              </w:rPr>
            </w:pPr>
            <w:r w:rsidRPr="00242020">
              <w:rPr>
                <w:b/>
                <w:i/>
                <w:iCs/>
                <w:sz w:val="20"/>
              </w:rPr>
              <w:t>12</w:t>
            </w:r>
          </w:p>
        </w:tc>
        <w:tc>
          <w:tcPr>
            <w:tcW w:w="516" w:type="dxa"/>
            <w:shd w:val="clear" w:color="auto" w:fill="auto"/>
            <w:noWrap/>
            <w:vAlign w:val="center"/>
          </w:tcPr>
          <w:p w:rsidR="00135105" w:rsidRPr="00242020" w:rsidRDefault="00135105" w:rsidP="00135105">
            <w:pPr>
              <w:ind w:firstLine="0"/>
              <w:jc w:val="center"/>
              <w:cnfStyle w:val="000000010000"/>
              <w:rPr>
                <w:b/>
                <w:i/>
                <w:iCs/>
                <w:sz w:val="20"/>
              </w:rPr>
            </w:pPr>
            <w:r w:rsidRPr="00242020">
              <w:rPr>
                <w:b/>
                <w:i/>
                <w:iCs/>
                <w:sz w:val="20"/>
              </w:rPr>
              <w:t>12</w:t>
            </w:r>
          </w:p>
        </w:tc>
        <w:tc>
          <w:tcPr>
            <w:cnfStyle w:val="000010000000"/>
            <w:tcW w:w="503" w:type="dxa"/>
            <w:shd w:val="clear" w:color="auto" w:fill="auto"/>
            <w:vAlign w:val="center"/>
          </w:tcPr>
          <w:p w:rsidR="00135105" w:rsidRPr="00242020" w:rsidRDefault="00135105" w:rsidP="00135105">
            <w:pPr>
              <w:ind w:firstLine="0"/>
              <w:jc w:val="center"/>
              <w:rPr>
                <w:b/>
                <w:i/>
                <w:iCs/>
                <w:sz w:val="20"/>
              </w:rPr>
            </w:pPr>
          </w:p>
        </w:tc>
        <w:tc>
          <w:tcPr>
            <w:tcW w:w="436" w:type="dxa"/>
            <w:shd w:val="clear" w:color="auto" w:fill="auto"/>
            <w:noWrap/>
            <w:vAlign w:val="center"/>
          </w:tcPr>
          <w:p w:rsidR="00135105" w:rsidRPr="00242020" w:rsidRDefault="00135105" w:rsidP="00135105">
            <w:pPr>
              <w:ind w:firstLine="0"/>
              <w:jc w:val="center"/>
              <w:cnfStyle w:val="000000010000"/>
              <w:rPr>
                <w:b/>
                <w:i/>
                <w:iCs/>
                <w:sz w:val="20"/>
              </w:rPr>
            </w:pPr>
          </w:p>
        </w:tc>
        <w:tc>
          <w:tcPr>
            <w:cnfStyle w:val="000010000000"/>
            <w:tcW w:w="363" w:type="dxa"/>
            <w:shd w:val="clear" w:color="auto" w:fill="auto"/>
            <w:vAlign w:val="center"/>
          </w:tcPr>
          <w:p w:rsidR="00135105" w:rsidRPr="00242020" w:rsidRDefault="00135105" w:rsidP="00135105">
            <w:pPr>
              <w:ind w:firstLine="0"/>
              <w:jc w:val="center"/>
              <w:rPr>
                <w:b/>
                <w:i/>
                <w:iCs/>
                <w:sz w:val="20"/>
              </w:rPr>
            </w:pPr>
          </w:p>
        </w:tc>
        <w:tc>
          <w:tcPr>
            <w:tcW w:w="434" w:type="dxa"/>
            <w:shd w:val="clear" w:color="auto" w:fill="auto"/>
            <w:vAlign w:val="center"/>
          </w:tcPr>
          <w:p w:rsidR="00135105" w:rsidRPr="00242020" w:rsidRDefault="00135105" w:rsidP="00135105">
            <w:pPr>
              <w:ind w:firstLine="0"/>
              <w:jc w:val="center"/>
              <w:cnfStyle w:val="000000010000"/>
              <w:rPr>
                <w:b/>
                <w:i/>
                <w:iCs/>
                <w:sz w:val="20"/>
              </w:rPr>
            </w:pPr>
          </w:p>
        </w:tc>
        <w:tc>
          <w:tcPr>
            <w:cnfStyle w:val="000010000000"/>
            <w:tcW w:w="916" w:type="dxa"/>
            <w:shd w:val="clear" w:color="auto" w:fill="auto"/>
            <w:vAlign w:val="center"/>
          </w:tcPr>
          <w:p w:rsidR="00135105" w:rsidRPr="00242020" w:rsidRDefault="00135105" w:rsidP="00135105">
            <w:pPr>
              <w:ind w:firstLine="0"/>
              <w:jc w:val="center"/>
              <w:rPr>
                <w:sz w:val="20"/>
              </w:rPr>
            </w:pPr>
            <w:r w:rsidRPr="00242020">
              <w:rPr>
                <w:sz w:val="20"/>
              </w:rPr>
              <w:t>6403</w:t>
            </w:r>
          </w:p>
        </w:tc>
        <w:tc>
          <w:tcPr>
            <w:tcW w:w="91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6145</w:t>
            </w:r>
          </w:p>
        </w:tc>
        <w:tc>
          <w:tcPr>
            <w:cnfStyle w:val="000010000000"/>
            <w:tcW w:w="732" w:type="dxa"/>
            <w:shd w:val="clear" w:color="auto" w:fill="auto"/>
            <w:noWrap/>
            <w:vAlign w:val="center"/>
          </w:tcPr>
          <w:p w:rsidR="00135105" w:rsidRPr="00242020" w:rsidRDefault="00135105" w:rsidP="00135105">
            <w:pPr>
              <w:ind w:firstLine="0"/>
              <w:jc w:val="center"/>
              <w:rPr>
                <w:sz w:val="20"/>
              </w:rPr>
            </w:pPr>
            <w:r w:rsidRPr="00242020">
              <w:rPr>
                <w:sz w:val="20"/>
              </w:rPr>
              <w:t>209</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28</w:t>
            </w:r>
          </w:p>
        </w:tc>
        <w:tc>
          <w:tcPr>
            <w:cnfStyle w:val="000010000000"/>
            <w:tcW w:w="656" w:type="dxa"/>
            <w:shd w:val="clear" w:color="auto" w:fill="auto"/>
            <w:noWrap/>
            <w:vAlign w:val="center"/>
          </w:tcPr>
          <w:p w:rsidR="00135105" w:rsidRPr="00242020" w:rsidRDefault="00135105" w:rsidP="00135105">
            <w:pPr>
              <w:ind w:firstLine="0"/>
              <w:jc w:val="center"/>
              <w:rPr>
                <w:sz w:val="20"/>
              </w:rPr>
            </w:pPr>
            <w:r w:rsidRPr="00242020">
              <w:rPr>
                <w:sz w:val="20"/>
              </w:rPr>
              <w:t>6</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15</w:t>
            </w:r>
          </w:p>
        </w:tc>
      </w:tr>
      <w:tr w:rsidR="00135105" w:rsidRPr="00242020" w:rsidTr="00EF2524">
        <w:trPr>
          <w:cnfStyle w:val="000000100000"/>
          <w:trHeight w:hRule="exact" w:val="266"/>
        </w:trPr>
        <w:tc>
          <w:tcPr>
            <w:cnfStyle w:val="000010000000"/>
            <w:tcW w:w="434" w:type="dxa"/>
            <w:vAlign w:val="center"/>
          </w:tcPr>
          <w:p w:rsidR="00135105" w:rsidRPr="00242020" w:rsidRDefault="00135105" w:rsidP="00EF2524">
            <w:pPr>
              <w:ind w:left="-52" w:right="-88" w:firstLine="0"/>
              <w:jc w:val="center"/>
              <w:rPr>
                <w:sz w:val="20"/>
              </w:rPr>
            </w:pPr>
            <w:r w:rsidRPr="00242020">
              <w:rPr>
                <w:sz w:val="20"/>
              </w:rPr>
              <w:t>4</w:t>
            </w:r>
          </w:p>
        </w:tc>
        <w:tc>
          <w:tcPr>
            <w:tcW w:w="2509" w:type="dxa"/>
            <w:gridSpan w:val="2"/>
            <w:vAlign w:val="center"/>
          </w:tcPr>
          <w:p w:rsidR="00135105" w:rsidRPr="00242020" w:rsidRDefault="00135105" w:rsidP="00135105">
            <w:pPr>
              <w:ind w:firstLine="0"/>
              <w:cnfStyle w:val="000000100000"/>
              <w:rPr>
                <w:sz w:val="20"/>
              </w:rPr>
            </w:pPr>
            <w:r w:rsidRPr="00242020">
              <w:rPr>
                <w:sz w:val="20"/>
              </w:rPr>
              <w:t>Донецька область</w:t>
            </w:r>
          </w:p>
        </w:tc>
        <w:tc>
          <w:tcPr>
            <w:cnfStyle w:val="000010000000"/>
            <w:tcW w:w="916" w:type="dxa"/>
            <w:vAlign w:val="center"/>
          </w:tcPr>
          <w:p w:rsidR="00135105" w:rsidRPr="00242020" w:rsidRDefault="00135105" w:rsidP="00135105">
            <w:pPr>
              <w:ind w:firstLine="0"/>
              <w:jc w:val="center"/>
              <w:rPr>
                <w:sz w:val="20"/>
              </w:rPr>
            </w:pPr>
            <w:r w:rsidRPr="00242020">
              <w:rPr>
                <w:sz w:val="20"/>
              </w:rPr>
              <w:t>9150</w:t>
            </w:r>
          </w:p>
        </w:tc>
        <w:tc>
          <w:tcPr>
            <w:tcW w:w="916" w:type="dxa"/>
            <w:noWrap/>
            <w:vAlign w:val="center"/>
          </w:tcPr>
          <w:p w:rsidR="00135105" w:rsidRPr="00242020" w:rsidRDefault="00135105" w:rsidP="00135105">
            <w:pPr>
              <w:ind w:firstLine="0"/>
              <w:jc w:val="center"/>
              <w:cnfStyle w:val="000000100000"/>
              <w:rPr>
                <w:sz w:val="20"/>
              </w:rPr>
            </w:pPr>
            <w:r w:rsidRPr="00242020">
              <w:rPr>
                <w:sz w:val="20"/>
              </w:rPr>
              <w:t>8881</w:t>
            </w:r>
          </w:p>
        </w:tc>
        <w:tc>
          <w:tcPr>
            <w:cnfStyle w:val="000010000000"/>
            <w:tcW w:w="781" w:type="dxa"/>
            <w:noWrap/>
            <w:vAlign w:val="center"/>
          </w:tcPr>
          <w:p w:rsidR="00135105" w:rsidRPr="00242020" w:rsidRDefault="00135105" w:rsidP="00135105">
            <w:pPr>
              <w:ind w:firstLine="0"/>
              <w:jc w:val="center"/>
              <w:rPr>
                <w:sz w:val="20"/>
              </w:rPr>
            </w:pPr>
            <w:r w:rsidRPr="00242020">
              <w:rPr>
                <w:sz w:val="20"/>
              </w:rPr>
              <w:t>152</w:t>
            </w:r>
          </w:p>
        </w:tc>
        <w:tc>
          <w:tcPr>
            <w:tcW w:w="656" w:type="dxa"/>
            <w:noWrap/>
            <w:vAlign w:val="center"/>
          </w:tcPr>
          <w:p w:rsidR="00135105" w:rsidRPr="00242020" w:rsidRDefault="00135105" w:rsidP="00135105">
            <w:pPr>
              <w:ind w:firstLine="0"/>
              <w:jc w:val="center"/>
              <w:cnfStyle w:val="000000100000"/>
              <w:rPr>
                <w:sz w:val="20"/>
              </w:rPr>
            </w:pPr>
            <w:r w:rsidRPr="00242020">
              <w:rPr>
                <w:sz w:val="20"/>
              </w:rPr>
              <w:t>91</w:t>
            </w:r>
          </w:p>
        </w:tc>
        <w:tc>
          <w:tcPr>
            <w:cnfStyle w:val="000010000000"/>
            <w:tcW w:w="656" w:type="dxa"/>
            <w:noWrap/>
            <w:vAlign w:val="center"/>
          </w:tcPr>
          <w:p w:rsidR="00135105" w:rsidRPr="00242020" w:rsidRDefault="00135105" w:rsidP="00135105">
            <w:pPr>
              <w:ind w:firstLine="0"/>
              <w:jc w:val="center"/>
              <w:rPr>
                <w:sz w:val="20"/>
              </w:rPr>
            </w:pPr>
            <w:r w:rsidRPr="00242020">
              <w:rPr>
                <w:sz w:val="20"/>
              </w:rPr>
              <w:t>4</w:t>
            </w:r>
          </w:p>
        </w:tc>
        <w:tc>
          <w:tcPr>
            <w:tcW w:w="656" w:type="dxa"/>
            <w:noWrap/>
            <w:vAlign w:val="center"/>
          </w:tcPr>
          <w:p w:rsidR="00135105" w:rsidRPr="00242020" w:rsidRDefault="00135105" w:rsidP="00135105">
            <w:pPr>
              <w:ind w:firstLine="0"/>
              <w:jc w:val="center"/>
              <w:cnfStyle w:val="000000100000"/>
              <w:rPr>
                <w:sz w:val="20"/>
              </w:rPr>
            </w:pPr>
            <w:r w:rsidRPr="00242020">
              <w:rPr>
                <w:sz w:val="20"/>
              </w:rPr>
              <w:t>22</w:t>
            </w:r>
          </w:p>
        </w:tc>
        <w:tc>
          <w:tcPr>
            <w:cnfStyle w:val="000010000000"/>
            <w:tcW w:w="897" w:type="dxa"/>
            <w:noWrap/>
            <w:vAlign w:val="center"/>
          </w:tcPr>
          <w:p w:rsidR="00135105" w:rsidRPr="00242020" w:rsidRDefault="00135105" w:rsidP="00135105">
            <w:pPr>
              <w:ind w:firstLine="0"/>
              <w:jc w:val="center"/>
              <w:rPr>
                <w:b/>
                <w:i/>
                <w:iCs/>
                <w:sz w:val="20"/>
              </w:rPr>
            </w:pPr>
            <w:r w:rsidRPr="00242020">
              <w:rPr>
                <w:b/>
                <w:i/>
                <w:iCs/>
                <w:sz w:val="20"/>
              </w:rPr>
              <w:t>0</w:t>
            </w:r>
          </w:p>
        </w:tc>
        <w:tc>
          <w:tcPr>
            <w:tcW w:w="516" w:type="dxa"/>
            <w:noWrap/>
            <w:vAlign w:val="center"/>
          </w:tcPr>
          <w:p w:rsidR="00135105" w:rsidRPr="00242020" w:rsidRDefault="00135105" w:rsidP="00135105">
            <w:pPr>
              <w:ind w:firstLine="0"/>
              <w:jc w:val="center"/>
              <w:cnfStyle w:val="000000100000"/>
              <w:rPr>
                <w:b/>
                <w:i/>
                <w:iCs/>
                <w:sz w:val="20"/>
              </w:rPr>
            </w:pPr>
          </w:p>
        </w:tc>
        <w:tc>
          <w:tcPr>
            <w:cnfStyle w:val="000010000000"/>
            <w:tcW w:w="503" w:type="dxa"/>
            <w:vAlign w:val="center"/>
          </w:tcPr>
          <w:p w:rsidR="00135105" w:rsidRPr="00242020" w:rsidRDefault="00135105" w:rsidP="00135105">
            <w:pPr>
              <w:ind w:firstLine="0"/>
              <w:jc w:val="center"/>
              <w:rPr>
                <w:b/>
                <w:i/>
                <w:iCs/>
                <w:sz w:val="20"/>
              </w:rPr>
            </w:pPr>
          </w:p>
        </w:tc>
        <w:tc>
          <w:tcPr>
            <w:tcW w:w="436" w:type="dxa"/>
            <w:noWrap/>
            <w:vAlign w:val="center"/>
          </w:tcPr>
          <w:p w:rsidR="00135105" w:rsidRPr="00242020" w:rsidRDefault="00135105" w:rsidP="00135105">
            <w:pPr>
              <w:ind w:firstLine="0"/>
              <w:jc w:val="center"/>
              <w:cnfStyle w:val="000000100000"/>
              <w:rPr>
                <w:b/>
                <w:i/>
                <w:iCs/>
                <w:sz w:val="20"/>
              </w:rPr>
            </w:pPr>
          </w:p>
        </w:tc>
        <w:tc>
          <w:tcPr>
            <w:cnfStyle w:val="000010000000"/>
            <w:tcW w:w="363" w:type="dxa"/>
            <w:vAlign w:val="center"/>
          </w:tcPr>
          <w:p w:rsidR="00135105" w:rsidRPr="00242020" w:rsidRDefault="00135105" w:rsidP="00135105">
            <w:pPr>
              <w:ind w:firstLine="0"/>
              <w:jc w:val="center"/>
              <w:rPr>
                <w:b/>
                <w:i/>
                <w:iCs/>
                <w:sz w:val="20"/>
              </w:rPr>
            </w:pPr>
          </w:p>
        </w:tc>
        <w:tc>
          <w:tcPr>
            <w:tcW w:w="434" w:type="dxa"/>
            <w:vAlign w:val="center"/>
          </w:tcPr>
          <w:p w:rsidR="00135105" w:rsidRPr="00242020" w:rsidRDefault="00135105" w:rsidP="00135105">
            <w:pPr>
              <w:ind w:firstLine="0"/>
              <w:jc w:val="center"/>
              <w:cnfStyle w:val="000000100000"/>
              <w:rPr>
                <w:b/>
                <w:i/>
                <w:iCs/>
                <w:sz w:val="20"/>
              </w:rPr>
            </w:pPr>
          </w:p>
        </w:tc>
        <w:tc>
          <w:tcPr>
            <w:cnfStyle w:val="000010000000"/>
            <w:tcW w:w="916" w:type="dxa"/>
            <w:vAlign w:val="center"/>
          </w:tcPr>
          <w:p w:rsidR="00135105" w:rsidRPr="00242020" w:rsidRDefault="00135105" w:rsidP="00135105">
            <w:pPr>
              <w:ind w:firstLine="0"/>
              <w:jc w:val="center"/>
              <w:rPr>
                <w:sz w:val="20"/>
              </w:rPr>
            </w:pPr>
            <w:r w:rsidRPr="00242020">
              <w:rPr>
                <w:sz w:val="20"/>
              </w:rPr>
              <w:t>9150</w:t>
            </w:r>
          </w:p>
        </w:tc>
        <w:tc>
          <w:tcPr>
            <w:tcW w:w="916" w:type="dxa"/>
            <w:noWrap/>
            <w:vAlign w:val="center"/>
          </w:tcPr>
          <w:p w:rsidR="00135105" w:rsidRPr="00242020" w:rsidRDefault="00135105" w:rsidP="00135105">
            <w:pPr>
              <w:ind w:firstLine="0"/>
              <w:jc w:val="center"/>
              <w:cnfStyle w:val="000000100000"/>
              <w:rPr>
                <w:sz w:val="20"/>
              </w:rPr>
            </w:pPr>
            <w:r w:rsidRPr="00242020">
              <w:rPr>
                <w:sz w:val="20"/>
              </w:rPr>
              <w:t>8881</w:t>
            </w:r>
          </w:p>
        </w:tc>
        <w:tc>
          <w:tcPr>
            <w:cnfStyle w:val="000010000000"/>
            <w:tcW w:w="732" w:type="dxa"/>
            <w:noWrap/>
            <w:vAlign w:val="center"/>
          </w:tcPr>
          <w:p w:rsidR="00135105" w:rsidRPr="00242020" w:rsidRDefault="00135105" w:rsidP="00135105">
            <w:pPr>
              <w:ind w:firstLine="0"/>
              <w:jc w:val="center"/>
              <w:rPr>
                <w:sz w:val="20"/>
              </w:rPr>
            </w:pPr>
            <w:r w:rsidRPr="00242020">
              <w:rPr>
                <w:sz w:val="20"/>
              </w:rPr>
              <w:t>152</w:t>
            </w:r>
          </w:p>
        </w:tc>
        <w:tc>
          <w:tcPr>
            <w:tcW w:w="656" w:type="dxa"/>
            <w:noWrap/>
            <w:vAlign w:val="center"/>
          </w:tcPr>
          <w:p w:rsidR="00135105" w:rsidRPr="00242020" w:rsidRDefault="00135105" w:rsidP="00135105">
            <w:pPr>
              <w:ind w:firstLine="0"/>
              <w:jc w:val="center"/>
              <w:cnfStyle w:val="000000100000"/>
              <w:rPr>
                <w:sz w:val="20"/>
              </w:rPr>
            </w:pPr>
            <w:r w:rsidRPr="00242020">
              <w:rPr>
                <w:sz w:val="20"/>
              </w:rPr>
              <w:t>91</w:t>
            </w:r>
          </w:p>
        </w:tc>
        <w:tc>
          <w:tcPr>
            <w:cnfStyle w:val="000010000000"/>
            <w:tcW w:w="656" w:type="dxa"/>
            <w:noWrap/>
            <w:vAlign w:val="center"/>
          </w:tcPr>
          <w:p w:rsidR="00135105" w:rsidRPr="00242020" w:rsidRDefault="00135105" w:rsidP="00135105">
            <w:pPr>
              <w:ind w:firstLine="0"/>
              <w:jc w:val="center"/>
              <w:rPr>
                <w:sz w:val="20"/>
              </w:rPr>
            </w:pPr>
            <w:r w:rsidRPr="00242020">
              <w:rPr>
                <w:sz w:val="20"/>
              </w:rPr>
              <w:t>4</w:t>
            </w:r>
          </w:p>
        </w:tc>
        <w:tc>
          <w:tcPr>
            <w:tcW w:w="656" w:type="dxa"/>
            <w:noWrap/>
            <w:vAlign w:val="center"/>
          </w:tcPr>
          <w:p w:rsidR="00135105" w:rsidRPr="00242020" w:rsidRDefault="00135105" w:rsidP="00135105">
            <w:pPr>
              <w:ind w:firstLine="0"/>
              <w:jc w:val="center"/>
              <w:cnfStyle w:val="000000100000"/>
              <w:rPr>
                <w:sz w:val="20"/>
              </w:rPr>
            </w:pPr>
            <w:r w:rsidRPr="00242020">
              <w:rPr>
                <w:sz w:val="20"/>
              </w:rPr>
              <w:t>22</w:t>
            </w:r>
          </w:p>
        </w:tc>
      </w:tr>
      <w:tr w:rsidR="00EF2524" w:rsidRPr="00242020" w:rsidTr="00EF2524">
        <w:trPr>
          <w:cnfStyle w:val="000000010000"/>
          <w:trHeight w:hRule="exact" w:val="266"/>
        </w:trPr>
        <w:tc>
          <w:tcPr>
            <w:cnfStyle w:val="000010000000"/>
            <w:tcW w:w="434" w:type="dxa"/>
            <w:shd w:val="clear" w:color="auto" w:fill="auto"/>
            <w:vAlign w:val="center"/>
          </w:tcPr>
          <w:p w:rsidR="00135105" w:rsidRPr="00242020" w:rsidRDefault="00135105" w:rsidP="00EF2524">
            <w:pPr>
              <w:ind w:left="-52" w:right="-88" w:firstLine="0"/>
              <w:jc w:val="center"/>
              <w:rPr>
                <w:sz w:val="20"/>
              </w:rPr>
            </w:pPr>
            <w:r w:rsidRPr="00242020">
              <w:rPr>
                <w:sz w:val="20"/>
              </w:rPr>
              <w:t>5</w:t>
            </w:r>
          </w:p>
        </w:tc>
        <w:tc>
          <w:tcPr>
            <w:tcW w:w="2509" w:type="dxa"/>
            <w:gridSpan w:val="2"/>
            <w:shd w:val="clear" w:color="auto" w:fill="auto"/>
            <w:vAlign w:val="center"/>
          </w:tcPr>
          <w:p w:rsidR="00135105" w:rsidRPr="00242020" w:rsidRDefault="00135105" w:rsidP="00135105">
            <w:pPr>
              <w:ind w:firstLine="0"/>
              <w:cnfStyle w:val="000000010000"/>
              <w:rPr>
                <w:sz w:val="20"/>
              </w:rPr>
            </w:pPr>
            <w:r w:rsidRPr="00242020">
              <w:rPr>
                <w:sz w:val="20"/>
              </w:rPr>
              <w:t>Житомирська область</w:t>
            </w:r>
          </w:p>
        </w:tc>
        <w:tc>
          <w:tcPr>
            <w:cnfStyle w:val="000010000000"/>
            <w:tcW w:w="916" w:type="dxa"/>
            <w:shd w:val="clear" w:color="auto" w:fill="auto"/>
            <w:vAlign w:val="center"/>
          </w:tcPr>
          <w:p w:rsidR="00135105" w:rsidRPr="00242020" w:rsidRDefault="00135105" w:rsidP="00135105">
            <w:pPr>
              <w:ind w:firstLine="0"/>
              <w:jc w:val="center"/>
              <w:rPr>
                <w:sz w:val="20"/>
              </w:rPr>
            </w:pPr>
            <w:r w:rsidRPr="00242020">
              <w:rPr>
                <w:sz w:val="20"/>
              </w:rPr>
              <w:t>1781</w:t>
            </w:r>
          </w:p>
        </w:tc>
        <w:tc>
          <w:tcPr>
            <w:tcW w:w="91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1621</w:t>
            </w:r>
          </w:p>
        </w:tc>
        <w:tc>
          <w:tcPr>
            <w:cnfStyle w:val="000010000000"/>
            <w:tcW w:w="781" w:type="dxa"/>
            <w:shd w:val="clear" w:color="auto" w:fill="auto"/>
            <w:noWrap/>
            <w:vAlign w:val="center"/>
          </w:tcPr>
          <w:p w:rsidR="00135105" w:rsidRPr="00242020" w:rsidRDefault="00135105" w:rsidP="00135105">
            <w:pPr>
              <w:ind w:firstLine="0"/>
              <w:jc w:val="center"/>
              <w:rPr>
                <w:sz w:val="20"/>
              </w:rPr>
            </w:pPr>
            <w:r w:rsidRPr="00242020">
              <w:rPr>
                <w:sz w:val="20"/>
              </w:rPr>
              <w:t>146</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8</w:t>
            </w:r>
          </w:p>
        </w:tc>
        <w:tc>
          <w:tcPr>
            <w:cnfStyle w:val="000010000000"/>
            <w:tcW w:w="656" w:type="dxa"/>
            <w:shd w:val="clear" w:color="auto" w:fill="auto"/>
            <w:noWrap/>
            <w:vAlign w:val="center"/>
          </w:tcPr>
          <w:p w:rsidR="00135105" w:rsidRPr="00242020" w:rsidRDefault="00135105" w:rsidP="00135105">
            <w:pPr>
              <w:ind w:firstLine="0"/>
              <w:jc w:val="center"/>
              <w:rPr>
                <w:sz w:val="20"/>
              </w:rPr>
            </w:pPr>
            <w:r w:rsidRPr="00242020">
              <w:rPr>
                <w:sz w:val="20"/>
              </w:rPr>
              <w:t>1</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5</w:t>
            </w:r>
          </w:p>
        </w:tc>
        <w:tc>
          <w:tcPr>
            <w:cnfStyle w:val="000010000000"/>
            <w:tcW w:w="897" w:type="dxa"/>
            <w:shd w:val="clear" w:color="auto" w:fill="auto"/>
            <w:noWrap/>
            <w:vAlign w:val="center"/>
          </w:tcPr>
          <w:p w:rsidR="00135105" w:rsidRPr="00242020" w:rsidRDefault="00135105" w:rsidP="00135105">
            <w:pPr>
              <w:ind w:firstLine="0"/>
              <w:jc w:val="center"/>
              <w:rPr>
                <w:b/>
                <w:i/>
                <w:iCs/>
                <w:sz w:val="20"/>
              </w:rPr>
            </w:pPr>
            <w:r w:rsidRPr="00242020">
              <w:rPr>
                <w:b/>
                <w:i/>
                <w:iCs/>
                <w:sz w:val="20"/>
              </w:rPr>
              <w:t>3</w:t>
            </w:r>
          </w:p>
        </w:tc>
        <w:tc>
          <w:tcPr>
            <w:tcW w:w="516" w:type="dxa"/>
            <w:shd w:val="clear" w:color="auto" w:fill="auto"/>
            <w:noWrap/>
            <w:vAlign w:val="center"/>
          </w:tcPr>
          <w:p w:rsidR="00135105" w:rsidRPr="00242020" w:rsidRDefault="00135105" w:rsidP="00135105">
            <w:pPr>
              <w:ind w:firstLine="0"/>
              <w:jc w:val="center"/>
              <w:cnfStyle w:val="000000010000"/>
              <w:rPr>
                <w:b/>
                <w:i/>
                <w:iCs/>
                <w:sz w:val="20"/>
              </w:rPr>
            </w:pPr>
            <w:r w:rsidRPr="00242020">
              <w:rPr>
                <w:b/>
                <w:i/>
                <w:iCs/>
                <w:sz w:val="20"/>
              </w:rPr>
              <w:t>3</w:t>
            </w:r>
          </w:p>
        </w:tc>
        <w:tc>
          <w:tcPr>
            <w:cnfStyle w:val="000010000000"/>
            <w:tcW w:w="503" w:type="dxa"/>
            <w:shd w:val="clear" w:color="auto" w:fill="auto"/>
            <w:vAlign w:val="center"/>
          </w:tcPr>
          <w:p w:rsidR="00135105" w:rsidRPr="00242020" w:rsidRDefault="00135105" w:rsidP="00135105">
            <w:pPr>
              <w:ind w:firstLine="0"/>
              <w:jc w:val="center"/>
              <w:rPr>
                <w:b/>
                <w:i/>
                <w:iCs/>
                <w:sz w:val="20"/>
              </w:rPr>
            </w:pPr>
          </w:p>
        </w:tc>
        <w:tc>
          <w:tcPr>
            <w:tcW w:w="436" w:type="dxa"/>
            <w:shd w:val="clear" w:color="auto" w:fill="auto"/>
            <w:noWrap/>
            <w:vAlign w:val="center"/>
          </w:tcPr>
          <w:p w:rsidR="00135105" w:rsidRPr="00242020" w:rsidRDefault="00135105" w:rsidP="00135105">
            <w:pPr>
              <w:ind w:firstLine="0"/>
              <w:jc w:val="center"/>
              <w:cnfStyle w:val="000000010000"/>
              <w:rPr>
                <w:b/>
                <w:i/>
                <w:iCs/>
                <w:sz w:val="20"/>
              </w:rPr>
            </w:pPr>
          </w:p>
        </w:tc>
        <w:tc>
          <w:tcPr>
            <w:cnfStyle w:val="000010000000"/>
            <w:tcW w:w="363" w:type="dxa"/>
            <w:shd w:val="clear" w:color="auto" w:fill="auto"/>
            <w:vAlign w:val="center"/>
          </w:tcPr>
          <w:p w:rsidR="00135105" w:rsidRPr="00242020" w:rsidRDefault="00135105" w:rsidP="00135105">
            <w:pPr>
              <w:ind w:firstLine="0"/>
              <w:jc w:val="center"/>
              <w:rPr>
                <w:b/>
                <w:i/>
                <w:iCs/>
                <w:sz w:val="20"/>
              </w:rPr>
            </w:pPr>
          </w:p>
        </w:tc>
        <w:tc>
          <w:tcPr>
            <w:tcW w:w="434" w:type="dxa"/>
            <w:shd w:val="clear" w:color="auto" w:fill="auto"/>
            <w:vAlign w:val="center"/>
          </w:tcPr>
          <w:p w:rsidR="00135105" w:rsidRPr="00242020" w:rsidRDefault="00135105" w:rsidP="00135105">
            <w:pPr>
              <w:ind w:firstLine="0"/>
              <w:jc w:val="center"/>
              <w:cnfStyle w:val="000000010000"/>
              <w:rPr>
                <w:b/>
                <w:i/>
                <w:iCs/>
                <w:sz w:val="20"/>
              </w:rPr>
            </w:pPr>
          </w:p>
        </w:tc>
        <w:tc>
          <w:tcPr>
            <w:cnfStyle w:val="000010000000"/>
            <w:tcW w:w="916" w:type="dxa"/>
            <w:shd w:val="clear" w:color="auto" w:fill="auto"/>
            <w:vAlign w:val="center"/>
          </w:tcPr>
          <w:p w:rsidR="00135105" w:rsidRPr="00242020" w:rsidRDefault="00135105" w:rsidP="00135105">
            <w:pPr>
              <w:ind w:firstLine="0"/>
              <w:jc w:val="center"/>
              <w:rPr>
                <w:sz w:val="20"/>
              </w:rPr>
            </w:pPr>
            <w:r w:rsidRPr="00242020">
              <w:rPr>
                <w:sz w:val="20"/>
              </w:rPr>
              <w:t>1784</w:t>
            </w:r>
          </w:p>
        </w:tc>
        <w:tc>
          <w:tcPr>
            <w:tcW w:w="91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1624</w:t>
            </w:r>
          </w:p>
        </w:tc>
        <w:tc>
          <w:tcPr>
            <w:cnfStyle w:val="000010000000"/>
            <w:tcW w:w="732" w:type="dxa"/>
            <w:shd w:val="clear" w:color="auto" w:fill="auto"/>
            <w:noWrap/>
            <w:vAlign w:val="center"/>
          </w:tcPr>
          <w:p w:rsidR="00135105" w:rsidRPr="00242020" w:rsidRDefault="00135105" w:rsidP="00135105">
            <w:pPr>
              <w:ind w:firstLine="0"/>
              <w:jc w:val="center"/>
              <w:rPr>
                <w:sz w:val="20"/>
              </w:rPr>
            </w:pPr>
            <w:r w:rsidRPr="00242020">
              <w:rPr>
                <w:sz w:val="20"/>
              </w:rPr>
              <w:t>146</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8</w:t>
            </w:r>
          </w:p>
        </w:tc>
        <w:tc>
          <w:tcPr>
            <w:cnfStyle w:val="000010000000"/>
            <w:tcW w:w="656" w:type="dxa"/>
            <w:shd w:val="clear" w:color="auto" w:fill="auto"/>
            <w:noWrap/>
            <w:vAlign w:val="center"/>
          </w:tcPr>
          <w:p w:rsidR="00135105" w:rsidRPr="00242020" w:rsidRDefault="00135105" w:rsidP="00135105">
            <w:pPr>
              <w:ind w:firstLine="0"/>
              <w:jc w:val="center"/>
              <w:rPr>
                <w:sz w:val="20"/>
              </w:rPr>
            </w:pPr>
            <w:r w:rsidRPr="00242020">
              <w:rPr>
                <w:sz w:val="20"/>
              </w:rPr>
              <w:t>1</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5</w:t>
            </w:r>
          </w:p>
        </w:tc>
      </w:tr>
      <w:tr w:rsidR="00135105" w:rsidRPr="00242020" w:rsidTr="00EF2524">
        <w:trPr>
          <w:cnfStyle w:val="000000100000"/>
          <w:trHeight w:hRule="exact" w:val="266"/>
        </w:trPr>
        <w:tc>
          <w:tcPr>
            <w:cnfStyle w:val="000010000000"/>
            <w:tcW w:w="434" w:type="dxa"/>
            <w:vAlign w:val="center"/>
          </w:tcPr>
          <w:p w:rsidR="00135105" w:rsidRPr="00242020" w:rsidRDefault="00135105" w:rsidP="00EF2524">
            <w:pPr>
              <w:ind w:left="-52" w:right="-88" w:firstLine="0"/>
              <w:jc w:val="center"/>
              <w:rPr>
                <w:sz w:val="20"/>
              </w:rPr>
            </w:pPr>
            <w:r w:rsidRPr="00242020">
              <w:rPr>
                <w:sz w:val="20"/>
              </w:rPr>
              <w:t>6</w:t>
            </w:r>
          </w:p>
        </w:tc>
        <w:tc>
          <w:tcPr>
            <w:tcW w:w="2509" w:type="dxa"/>
            <w:gridSpan w:val="2"/>
            <w:vAlign w:val="center"/>
          </w:tcPr>
          <w:p w:rsidR="00135105" w:rsidRPr="00242020" w:rsidRDefault="00135105" w:rsidP="00135105">
            <w:pPr>
              <w:ind w:firstLine="0"/>
              <w:cnfStyle w:val="000000100000"/>
              <w:rPr>
                <w:sz w:val="20"/>
              </w:rPr>
            </w:pPr>
            <w:r w:rsidRPr="00242020">
              <w:rPr>
                <w:sz w:val="20"/>
              </w:rPr>
              <w:t>Закарпатська область</w:t>
            </w:r>
          </w:p>
        </w:tc>
        <w:tc>
          <w:tcPr>
            <w:cnfStyle w:val="000010000000"/>
            <w:tcW w:w="916" w:type="dxa"/>
            <w:vAlign w:val="center"/>
          </w:tcPr>
          <w:p w:rsidR="00135105" w:rsidRPr="00242020" w:rsidRDefault="00135105" w:rsidP="00135105">
            <w:pPr>
              <w:ind w:firstLine="0"/>
              <w:jc w:val="center"/>
              <w:rPr>
                <w:sz w:val="20"/>
              </w:rPr>
            </w:pPr>
            <w:r w:rsidRPr="00242020">
              <w:rPr>
                <w:sz w:val="20"/>
              </w:rPr>
              <w:t>2643</w:t>
            </w:r>
          </w:p>
        </w:tc>
        <w:tc>
          <w:tcPr>
            <w:tcW w:w="916" w:type="dxa"/>
            <w:noWrap/>
            <w:vAlign w:val="center"/>
          </w:tcPr>
          <w:p w:rsidR="00135105" w:rsidRPr="00242020" w:rsidRDefault="00135105" w:rsidP="00135105">
            <w:pPr>
              <w:ind w:firstLine="0"/>
              <w:jc w:val="center"/>
              <w:cnfStyle w:val="000000100000"/>
              <w:rPr>
                <w:sz w:val="20"/>
              </w:rPr>
            </w:pPr>
            <w:r w:rsidRPr="00242020">
              <w:rPr>
                <w:sz w:val="20"/>
              </w:rPr>
              <w:t>2541</w:t>
            </w:r>
          </w:p>
        </w:tc>
        <w:tc>
          <w:tcPr>
            <w:cnfStyle w:val="000010000000"/>
            <w:tcW w:w="781" w:type="dxa"/>
            <w:noWrap/>
            <w:vAlign w:val="center"/>
          </w:tcPr>
          <w:p w:rsidR="00135105" w:rsidRPr="00242020" w:rsidRDefault="00135105" w:rsidP="00135105">
            <w:pPr>
              <w:ind w:firstLine="0"/>
              <w:jc w:val="center"/>
              <w:rPr>
                <w:sz w:val="20"/>
              </w:rPr>
            </w:pPr>
            <w:r w:rsidRPr="00242020">
              <w:rPr>
                <w:sz w:val="20"/>
              </w:rPr>
              <w:t>26</w:t>
            </w:r>
          </w:p>
        </w:tc>
        <w:tc>
          <w:tcPr>
            <w:tcW w:w="656" w:type="dxa"/>
            <w:noWrap/>
            <w:vAlign w:val="center"/>
          </w:tcPr>
          <w:p w:rsidR="00135105" w:rsidRPr="00242020" w:rsidRDefault="00135105" w:rsidP="00135105">
            <w:pPr>
              <w:ind w:firstLine="0"/>
              <w:jc w:val="center"/>
              <w:cnfStyle w:val="000000100000"/>
              <w:rPr>
                <w:sz w:val="20"/>
              </w:rPr>
            </w:pPr>
            <w:r w:rsidRPr="00242020">
              <w:rPr>
                <w:sz w:val="20"/>
              </w:rPr>
              <w:t>54</w:t>
            </w:r>
          </w:p>
        </w:tc>
        <w:tc>
          <w:tcPr>
            <w:cnfStyle w:val="000010000000"/>
            <w:tcW w:w="656" w:type="dxa"/>
            <w:noWrap/>
            <w:vAlign w:val="center"/>
          </w:tcPr>
          <w:p w:rsidR="00135105" w:rsidRPr="00242020" w:rsidRDefault="00135105" w:rsidP="00135105">
            <w:pPr>
              <w:ind w:firstLine="0"/>
              <w:jc w:val="center"/>
              <w:rPr>
                <w:sz w:val="20"/>
              </w:rPr>
            </w:pPr>
            <w:r w:rsidRPr="00242020">
              <w:rPr>
                <w:sz w:val="20"/>
              </w:rPr>
              <w:t>7</w:t>
            </w:r>
          </w:p>
        </w:tc>
        <w:tc>
          <w:tcPr>
            <w:tcW w:w="656" w:type="dxa"/>
            <w:noWrap/>
            <w:vAlign w:val="center"/>
          </w:tcPr>
          <w:p w:rsidR="00135105" w:rsidRPr="00242020" w:rsidRDefault="00135105" w:rsidP="00135105">
            <w:pPr>
              <w:ind w:firstLine="0"/>
              <w:jc w:val="center"/>
              <w:cnfStyle w:val="000000100000"/>
              <w:rPr>
                <w:sz w:val="20"/>
              </w:rPr>
            </w:pPr>
            <w:r w:rsidRPr="00242020">
              <w:rPr>
                <w:sz w:val="20"/>
              </w:rPr>
              <w:t>15</w:t>
            </w:r>
          </w:p>
        </w:tc>
        <w:tc>
          <w:tcPr>
            <w:cnfStyle w:val="000010000000"/>
            <w:tcW w:w="897" w:type="dxa"/>
            <w:noWrap/>
            <w:vAlign w:val="center"/>
          </w:tcPr>
          <w:p w:rsidR="00135105" w:rsidRPr="00242020" w:rsidRDefault="00135105" w:rsidP="00135105">
            <w:pPr>
              <w:ind w:firstLine="0"/>
              <w:jc w:val="center"/>
              <w:rPr>
                <w:b/>
                <w:i/>
                <w:iCs/>
                <w:sz w:val="20"/>
              </w:rPr>
            </w:pPr>
            <w:r w:rsidRPr="00242020">
              <w:rPr>
                <w:b/>
                <w:i/>
                <w:iCs/>
                <w:sz w:val="20"/>
              </w:rPr>
              <w:t>26</w:t>
            </w:r>
          </w:p>
        </w:tc>
        <w:tc>
          <w:tcPr>
            <w:tcW w:w="516" w:type="dxa"/>
            <w:noWrap/>
            <w:vAlign w:val="center"/>
          </w:tcPr>
          <w:p w:rsidR="00135105" w:rsidRPr="00242020" w:rsidRDefault="00135105" w:rsidP="00135105">
            <w:pPr>
              <w:ind w:firstLine="0"/>
              <w:jc w:val="center"/>
              <w:cnfStyle w:val="000000100000"/>
              <w:rPr>
                <w:b/>
                <w:i/>
                <w:iCs/>
                <w:sz w:val="20"/>
              </w:rPr>
            </w:pPr>
            <w:r w:rsidRPr="00242020">
              <w:rPr>
                <w:b/>
                <w:i/>
                <w:iCs/>
                <w:sz w:val="20"/>
              </w:rPr>
              <w:t>26</w:t>
            </w:r>
          </w:p>
        </w:tc>
        <w:tc>
          <w:tcPr>
            <w:cnfStyle w:val="000010000000"/>
            <w:tcW w:w="503" w:type="dxa"/>
            <w:vAlign w:val="center"/>
          </w:tcPr>
          <w:p w:rsidR="00135105" w:rsidRPr="00242020" w:rsidRDefault="00135105" w:rsidP="00135105">
            <w:pPr>
              <w:ind w:firstLine="0"/>
              <w:jc w:val="center"/>
              <w:rPr>
                <w:b/>
                <w:i/>
                <w:iCs/>
                <w:sz w:val="20"/>
              </w:rPr>
            </w:pPr>
          </w:p>
        </w:tc>
        <w:tc>
          <w:tcPr>
            <w:tcW w:w="436" w:type="dxa"/>
            <w:noWrap/>
            <w:vAlign w:val="center"/>
          </w:tcPr>
          <w:p w:rsidR="00135105" w:rsidRPr="00242020" w:rsidRDefault="00135105" w:rsidP="00135105">
            <w:pPr>
              <w:ind w:firstLine="0"/>
              <w:jc w:val="center"/>
              <w:cnfStyle w:val="000000100000"/>
              <w:rPr>
                <w:b/>
                <w:i/>
                <w:iCs/>
                <w:sz w:val="20"/>
              </w:rPr>
            </w:pPr>
          </w:p>
        </w:tc>
        <w:tc>
          <w:tcPr>
            <w:cnfStyle w:val="000010000000"/>
            <w:tcW w:w="363" w:type="dxa"/>
            <w:vAlign w:val="center"/>
          </w:tcPr>
          <w:p w:rsidR="00135105" w:rsidRPr="00242020" w:rsidRDefault="00135105" w:rsidP="00135105">
            <w:pPr>
              <w:ind w:firstLine="0"/>
              <w:jc w:val="center"/>
              <w:rPr>
                <w:b/>
                <w:i/>
                <w:iCs/>
                <w:sz w:val="20"/>
              </w:rPr>
            </w:pPr>
          </w:p>
        </w:tc>
        <w:tc>
          <w:tcPr>
            <w:tcW w:w="434" w:type="dxa"/>
            <w:vAlign w:val="center"/>
          </w:tcPr>
          <w:p w:rsidR="00135105" w:rsidRPr="00242020" w:rsidRDefault="00135105" w:rsidP="00135105">
            <w:pPr>
              <w:ind w:firstLine="0"/>
              <w:jc w:val="center"/>
              <w:cnfStyle w:val="000000100000"/>
              <w:rPr>
                <w:b/>
                <w:i/>
                <w:iCs/>
                <w:sz w:val="20"/>
              </w:rPr>
            </w:pPr>
          </w:p>
        </w:tc>
        <w:tc>
          <w:tcPr>
            <w:cnfStyle w:val="000010000000"/>
            <w:tcW w:w="916" w:type="dxa"/>
            <w:vAlign w:val="center"/>
          </w:tcPr>
          <w:p w:rsidR="00135105" w:rsidRPr="00242020" w:rsidRDefault="00135105" w:rsidP="00135105">
            <w:pPr>
              <w:ind w:firstLine="0"/>
              <w:jc w:val="center"/>
              <w:rPr>
                <w:sz w:val="20"/>
              </w:rPr>
            </w:pPr>
            <w:r w:rsidRPr="00242020">
              <w:rPr>
                <w:sz w:val="20"/>
              </w:rPr>
              <w:t>2669</w:t>
            </w:r>
          </w:p>
        </w:tc>
        <w:tc>
          <w:tcPr>
            <w:tcW w:w="916" w:type="dxa"/>
            <w:noWrap/>
            <w:vAlign w:val="center"/>
          </w:tcPr>
          <w:p w:rsidR="00135105" w:rsidRPr="00242020" w:rsidRDefault="00135105" w:rsidP="00135105">
            <w:pPr>
              <w:ind w:firstLine="0"/>
              <w:jc w:val="center"/>
              <w:cnfStyle w:val="000000100000"/>
              <w:rPr>
                <w:sz w:val="20"/>
              </w:rPr>
            </w:pPr>
            <w:r w:rsidRPr="00242020">
              <w:rPr>
                <w:sz w:val="20"/>
              </w:rPr>
              <w:t>2567</w:t>
            </w:r>
          </w:p>
        </w:tc>
        <w:tc>
          <w:tcPr>
            <w:cnfStyle w:val="000010000000"/>
            <w:tcW w:w="732" w:type="dxa"/>
            <w:noWrap/>
            <w:vAlign w:val="center"/>
          </w:tcPr>
          <w:p w:rsidR="00135105" w:rsidRPr="00242020" w:rsidRDefault="00135105" w:rsidP="00135105">
            <w:pPr>
              <w:ind w:firstLine="0"/>
              <w:jc w:val="center"/>
              <w:rPr>
                <w:sz w:val="20"/>
              </w:rPr>
            </w:pPr>
            <w:r w:rsidRPr="00242020">
              <w:rPr>
                <w:sz w:val="20"/>
              </w:rPr>
              <w:t>26</w:t>
            </w:r>
          </w:p>
        </w:tc>
        <w:tc>
          <w:tcPr>
            <w:tcW w:w="656" w:type="dxa"/>
            <w:noWrap/>
            <w:vAlign w:val="center"/>
          </w:tcPr>
          <w:p w:rsidR="00135105" w:rsidRPr="00242020" w:rsidRDefault="00135105" w:rsidP="00135105">
            <w:pPr>
              <w:ind w:firstLine="0"/>
              <w:jc w:val="center"/>
              <w:cnfStyle w:val="000000100000"/>
              <w:rPr>
                <w:sz w:val="20"/>
              </w:rPr>
            </w:pPr>
            <w:r w:rsidRPr="00242020">
              <w:rPr>
                <w:sz w:val="20"/>
              </w:rPr>
              <w:t>54</w:t>
            </w:r>
          </w:p>
        </w:tc>
        <w:tc>
          <w:tcPr>
            <w:cnfStyle w:val="000010000000"/>
            <w:tcW w:w="656" w:type="dxa"/>
            <w:noWrap/>
            <w:vAlign w:val="center"/>
          </w:tcPr>
          <w:p w:rsidR="00135105" w:rsidRPr="00242020" w:rsidRDefault="00135105" w:rsidP="00135105">
            <w:pPr>
              <w:ind w:firstLine="0"/>
              <w:jc w:val="center"/>
              <w:rPr>
                <w:sz w:val="20"/>
              </w:rPr>
            </w:pPr>
            <w:r w:rsidRPr="00242020">
              <w:rPr>
                <w:sz w:val="20"/>
              </w:rPr>
              <w:t>7</w:t>
            </w:r>
          </w:p>
        </w:tc>
        <w:tc>
          <w:tcPr>
            <w:tcW w:w="656" w:type="dxa"/>
            <w:noWrap/>
            <w:vAlign w:val="center"/>
          </w:tcPr>
          <w:p w:rsidR="00135105" w:rsidRPr="00242020" w:rsidRDefault="00135105" w:rsidP="00135105">
            <w:pPr>
              <w:ind w:firstLine="0"/>
              <w:jc w:val="center"/>
              <w:cnfStyle w:val="000000100000"/>
              <w:rPr>
                <w:sz w:val="20"/>
              </w:rPr>
            </w:pPr>
            <w:r w:rsidRPr="00242020">
              <w:rPr>
                <w:sz w:val="20"/>
              </w:rPr>
              <w:t>15</w:t>
            </w:r>
          </w:p>
        </w:tc>
      </w:tr>
      <w:tr w:rsidR="00EF2524" w:rsidRPr="00242020" w:rsidTr="00EF2524">
        <w:trPr>
          <w:cnfStyle w:val="000000010000"/>
          <w:trHeight w:hRule="exact" w:val="266"/>
        </w:trPr>
        <w:tc>
          <w:tcPr>
            <w:cnfStyle w:val="000010000000"/>
            <w:tcW w:w="434" w:type="dxa"/>
            <w:shd w:val="clear" w:color="auto" w:fill="auto"/>
            <w:vAlign w:val="center"/>
          </w:tcPr>
          <w:p w:rsidR="00135105" w:rsidRPr="00242020" w:rsidRDefault="00135105" w:rsidP="00EF2524">
            <w:pPr>
              <w:ind w:left="-52" w:right="-88" w:firstLine="0"/>
              <w:jc w:val="center"/>
              <w:rPr>
                <w:sz w:val="20"/>
              </w:rPr>
            </w:pPr>
            <w:r w:rsidRPr="00242020">
              <w:rPr>
                <w:sz w:val="20"/>
              </w:rPr>
              <w:t>7</w:t>
            </w:r>
          </w:p>
        </w:tc>
        <w:tc>
          <w:tcPr>
            <w:tcW w:w="2509" w:type="dxa"/>
            <w:gridSpan w:val="2"/>
            <w:shd w:val="clear" w:color="auto" w:fill="auto"/>
            <w:vAlign w:val="center"/>
          </w:tcPr>
          <w:p w:rsidR="00135105" w:rsidRPr="00242020" w:rsidRDefault="00135105" w:rsidP="00135105">
            <w:pPr>
              <w:ind w:firstLine="0"/>
              <w:cnfStyle w:val="000000010000"/>
              <w:rPr>
                <w:sz w:val="20"/>
              </w:rPr>
            </w:pPr>
            <w:r w:rsidRPr="00242020">
              <w:rPr>
                <w:sz w:val="20"/>
              </w:rPr>
              <w:t>Запорізька область</w:t>
            </w:r>
          </w:p>
        </w:tc>
        <w:tc>
          <w:tcPr>
            <w:cnfStyle w:val="000010000000"/>
            <w:tcW w:w="916" w:type="dxa"/>
            <w:shd w:val="clear" w:color="auto" w:fill="auto"/>
            <w:vAlign w:val="center"/>
          </w:tcPr>
          <w:p w:rsidR="00135105" w:rsidRPr="00242020" w:rsidRDefault="00135105" w:rsidP="00135105">
            <w:pPr>
              <w:ind w:firstLine="0"/>
              <w:jc w:val="center"/>
              <w:rPr>
                <w:sz w:val="20"/>
              </w:rPr>
            </w:pPr>
            <w:r w:rsidRPr="00242020">
              <w:rPr>
                <w:sz w:val="20"/>
              </w:rPr>
              <w:t>4533</w:t>
            </w:r>
          </w:p>
        </w:tc>
        <w:tc>
          <w:tcPr>
            <w:tcW w:w="91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4431</w:t>
            </w:r>
          </w:p>
        </w:tc>
        <w:tc>
          <w:tcPr>
            <w:cnfStyle w:val="000010000000"/>
            <w:tcW w:w="781" w:type="dxa"/>
            <w:shd w:val="clear" w:color="auto" w:fill="auto"/>
            <w:noWrap/>
            <w:vAlign w:val="center"/>
          </w:tcPr>
          <w:p w:rsidR="00135105" w:rsidRPr="00242020" w:rsidRDefault="00135105" w:rsidP="00135105">
            <w:pPr>
              <w:ind w:firstLine="0"/>
              <w:jc w:val="center"/>
              <w:rPr>
                <w:sz w:val="20"/>
              </w:rPr>
            </w:pPr>
            <w:r w:rsidRPr="00242020">
              <w:rPr>
                <w:sz w:val="20"/>
              </w:rPr>
              <w:t>76</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10</w:t>
            </w:r>
          </w:p>
        </w:tc>
        <w:tc>
          <w:tcPr>
            <w:cnfStyle w:val="000010000000"/>
            <w:tcW w:w="656" w:type="dxa"/>
            <w:shd w:val="clear" w:color="auto" w:fill="auto"/>
            <w:noWrap/>
            <w:vAlign w:val="center"/>
          </w:tcPr>
          <w:p w:rsidR="00135105" w:rsidRPr="00242020" w:rsidRDefault="00135105" w:rsidP="00135105">
            <w:pPr>
              <w:ind w:firstLine="0"/>
              <w:jc w:val="center"/>
              <w:rPr>
                <w:sz w:val="20"/>
              </w:rPr>
            </w:pPr>
            <w:r w:rsidRPr="00242020">
              <w:rPr>
                <w:sz w:val="20"/>
              </w:rPr>
              <w:t>9</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7</w:t>
            </w:r>
          </w:p>
        </w:tc>
        <w:tc>
          <w:tcPr>
            <w:cnfStyle w:val="000010000000"/>
            <w:tcW w:w="897" w:type="dxa"/>
            <w:shd w:val="clear" w:color="auto" w:fill="auto"/>
            <w:noWrap/>
            <w:vAlign w:val="center"/>
          </w:tcPr>
          <w:p w:rsidR="00135105" w:rsidRPr="00242020" w:rsidRDefault="00135105" w:rsidP="00135105">
            <w:pPr>
              <w:ind w:firstLine="0"/>
              <w:jc w:val="center"/>
              <w:rPr>
                <w:b/>
                <w:i/>
                <w:iCs/>
                <w:sz w:val="20"/>
              </w:rPr>
            </w:pPr>
            <w:r w:rsidRPr="00242020">
              <w:rPr>
                <w:b/>
                <w:i/>
                <w:iCs/>
                <w:sz w:val="20"/>
              </w:rPr>
              <w:t>12</w:t>
            </w:r>
          </w:p>
        </w:tc>
        <w:tc>
          <w:tcPr>
            <w:tcW w:w="516" w:type="dxa"/>
            <w:shd w:val="clear" w:color="auto" w:fill="auto"/>
            <w:noWrap/>
            <w:vAlign w:val="center"/>
          </w:tcPr>
          <w:p w:rsidR="00135105" w:rsidRPr="00242020" w:rsidRDefault="00135105" w:rsidP="00135105">
            <w:pPr>
              <w:ind w:firstLine="0"/>
              <w:jc w:val="center"/>
              <w:cnfStyle w:val="000000010000"/>
              <w:rPr>
                <w:b/>
                <w:i/>
                <w:iCs/>
                <w:sz w:val="20"/>
              </w:rPr>
            </w:pPr>
            <w:r w:rsidRPr="00242020">
              <w:rPr>
                <w:b/>
                <w:i/>
                <w:iCs/>
                <w:sz w:val="20"/>
              </w:rPr>
              <w:t>12</w:t>
            </w:r>
          </w:p>
        </w:tc>
        <w:tc>
          <w:tcPr>
            <w:cnfStyle w:val="000010000000"/>
            <w:tcW w:w="503" w:type="dxa"/>
            <w:shd w:val="clear" w:color="auto" w:fill="auto"/>
            <w:vAlign w:val="center"/>
          </w:tcPr>
          <w:p w:rsidR="00135105" w:rsidRPr="00242020" w:rsidRDefault="00135105" w:rsidP="00135105">
            <w:pPr>
              <w:ind w:firstLine="0"/>
              <w:jc w:val="center"/>
              <w:rPr>
                <w:b/>
                <w:i/>
                <w:iCs/>
                <w:sz w:val="20"/>
              </w:rPr>
            </w:pPr>
          </w:p>
        </w:tc>
        <w:tc>
          <w:tcPr>
            <w:tcW w:w="436" w:type="dxa"/>
            <w:shd w:val="clear" w:color="auto" w:fill="auto"/>
            <w:noWrap/>
            <w:vAlign w:val="center"/>
          </w:tcPr>
          <w:p w:rsidR="00135105" w:rsidRPr="00242020" w:rsidRDefault="00135105" w:rsidP="00135105">
            <w:pPr>
              <w:ind w:firstLine="0"/>
              <w:jc w:val="center"/>
              <w:cnfStyle w:val="000000010000"/>
              <w:rPr>
                <w:b/>
                <w:i/>
                <w:iCs/>
                <w:sz w:val="20"/>
              </w:rPr>
            </w:pPr>
          </w:p>
        </w:tc>
        <w:tc>
          <w:tcPr>
            <w:cnfStyle w:val="000010000000"/>
            <w:tcW w:w="363" w:type="dxa"/>
            <w:shd w:val="clear" w:color="auto" w:fill="auto"/>
            <w:vAlign w:val="center"/>
          </w:tcPr>
          <w:p w:rsidR="00135105" w:rsidRPr="00242020" w:rsidRDefault="00135105" w:rsidP="00135105">
            <w:pPr>
              <w:ind w:firstLine="0"/>
              <w:jc w:val="center"/>
              <w:rPr>
                <w:b/>
                <w:i/>
                <w:iCs/>
                <w:sz w:val="20"/>
              </w:rPr>
            </w:pPr>
          </w:p>
        </w:tc>
        <w:tc>
          <w:tcPr>
            <w:tcW w:w="434" w:type="dxa"/>
            <w:shd w:val="clear" w:color="auto" w:fill="auto"/>
            <w:vAlign w:val="center"/>
          </w:tcPr>
          <w:p w:rsidR="00135105" w:rsidRPr="00242020" w:rsidRDefault="00135105" w:rsidP="00135105">
            <w:pPr>
              <w:ind w:firstLine="0"/>
              <w:jc w:val="center"/>
              <w:cnfStyle w:val="000000010000"/>
              <w:rPr>
                <w:b/>
                <w:i/>
                <w:iCs/>
                <w:sz w:val="20"/>
              </w:rPr>
            </w:pPr>
          </w:p>
        </w:tc>
        <w:tc>
          <w:tcPr>
            <w:cnfStyle w:val="000010000000"/>
            <w:tcW w:w="916" w:type="dxa"/>
            <w:shd w:val="clear" w:color="auto" w:fill="auto"/>
            <w:vAlign w:val="center"/>
          </w:tcPr>
          <w:p w:rsidR="00135105" w:rsidRPr="00242020" w:rsidRDefault="00135105" w:rsidP="00135105">
            <w:pPr>
              <w:ind w:firstLine="0"/>
              <w:jc w:val="center"/>
              <w:rPr>
                <w:sz w:val="20"/>
              </w:rPr>
            </w:pPr>
            <w:r w:rsidRPr="00242020">
              <w:rPr>
                <w:sz w:val="20"/>
              </w:rPr>
              <w:t>4545</w:t>
            </w:r>
          </w:p>
        </w:tc>
        <w:tc>
          <w:tcPr>
            <w:tcW w:w="91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4443</w:t>
            </w:r>
          </w:p>
        </w:tc>
        <w:tc>
          <w:tcPr>
            <w:cnfStyle w:val="000010000000"/>
            <w:tcW w:w="732" w:type="dxa"/>
            <w:shd w:val="clear" w:color="auto" w:fill="auto"/>
            <w:noWrap/>
            <w:vAlign w:val="center"/>
          </w:tcPr>
          <w:p w:rsidR="00135105" w:rsidRPr="00242020" w:rsidRDefault="00135105" w:rsidP="00135105">
            <w:pPr>
              <w:ind w:firstLine="0"/>
              <w:jc w:val="center"/>
              <w:rPr>
                <w:sz w:val="20"/>
              </w:rPr>
            </w:pPr>
            <w:r w:rsidRPr="00242020">
              <w:rPr>
                <w:sz w:val="20"/>
              </w:rPr>
              <w:t>76</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10</w:t>
            </w:r>
          </w:p>
        </w:tc>
        <w:tc>
          <w:tcPr>
            <w:cnfStyle w:val="000010000000"/>
            <w:tcW w:w="656" w:type="dxa"/>
            <w:shd w:val="clear" w:color="auto" w:fill="auto"/>
            <w:noWrap/>
            <w:vAlign w:val="center"/>
          </w:tcPr>
          <w:p w:rsidR="00135105" w:rsidRPr="00242020" w:rsidRDefault="00135105" w:rsidP="00135105">
            <w:pPr>
              <w:ind w:firstLine="0"/>
              <w:jc w:val="center"/>
              <w:rPr>
                <w:sz w:val="20"/>
              </w:rPr>
            </w:pPr>
            <w:r w:rsidRPr="00242020">
              <w:rPr>
                <w:sz w:val="20"/>
              </w:rPr>
              <w:t>9</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7</w:t>
            </w:r>
          </w:p>
        </w:tc>
      </w:tr>
      <w:tr w:rsidR="00135105" w:rsidRPr="00242020" w:rsidTr="00EF2524">
        <w:trPr>
          <w:cnfStyle w:val="000000100000"/>
          <w:trHeight w:hRule="exact" w:val="266"/>
        </w:trPr>
        <w:tc>
          <w:tcPr>
            <w:cnfStyle w:val="000010000000"/>
            <w:tcW w:w="434" w:type="dxa"/>
            <w:vAlign w:val="center"/>
          </w:tcPr>
          <w:p w:rsidR="00135105" w:rsidRPr="00242020" w:rsidRDefault="00135105" w:rsidP="00EF2524">
            <w:pPr>
              <w:ind w:left="-52" w:right="-88" w:firstLine="0"/>
              <w:jc w:val="center"/>
              <w:rPr>
                <w:sz w:val="20"/>
              </w:rPr>
            </w:pPr>
            <w:r w:rsidRPr="00242020">
              <w:rPr>
                <w:sz w:val="20"/>
              </w:rPr>
              <w:t>8</w:t>
            </w:r>
          </w:p>
        </w:tc>
        <w:tc>
          <w:tcPr>
            <w:tcW w:w="2509" w:type="dxa"/>
            <w:gridSpan w:val="2"/>
            <w:vAlign w:val="center"/>
          </w:tcPr>
          <w:p w:rsidR="00135105" w:rsidRPr="00242020" w:rsidRDefault="00135105" w:rsidP="00135105">
            <w:pPr>
              <w:ind w:firstLine="0"/>
              <w:cnfStyle w:val="000000100000"/>
              <w:rPr>
                <w:sz w:val="20"/>
              </w:rPr>
            </w:pPr>
            <w:r w:rsidRPr="00242020">
              <w:rPr>
                <w:sz w:val="20"/>
              </w:rPr>
              <w:t>Івано-Франківська область</w:t>
            </w:r>
          </w:p>
        </w:tc>
        <w:tc>
          <w:tcPr>
            <w:cnfStyle w:val="000010000000"/>
            <w:tcW w:w="916" w:type="dxa"/>
            <w:vAlign w:val="center"/>
          </w:tcPr>
          <w:p w:rsidR="00135105" w:rsidRPr="00242020" w:rsidRDefault="00135105" w:rsidP="00135105">
            <w:pPr>
              <w:ind w:firstLine="0"/>
              <w:jc w:val="center"/>
              <w:rPr>
                <w:sz w:val="20"/>
              </w:rPr>
            </w:pPr>
            <w:r w:rsidRPr="00242020">
              <w:rPr>
                <w:sz w:val="20"/>
              </w:rPr>
              <w:t>3999</w:t>
            </w:r>
          </w:p>
        </w:tc>
        <w:tc>
          <w:tcPr>
            <w:tcW w:w="916" w:type="dxa"/>
            <w:noWrap/>
            <w:vAlign w:val="center"/>
          </w:tcPr>
          <w:p w:rsidR="00135105" w:rsidRPr="00242020" w:rsidRDefault="00135105" w:rsidP="00135105">
            <w:pPr>
              <w:ind w:firstLine="0"/>
              <w:jc w:val="center"/>
              <w:cnfStyle w:val="000000100000"/>
              <w:rPr>
                <w:sz w:val="20"/>
              </w:rPr>
            </w:pPr>
            <w:r w:rsidRPr="00242020">
              <w:rPr>
                <w:sz w:val="20"/>
              </w:rPr>
              <w:t>3853</w:t>
            </w:r>
          </w:p>
        </w:tc>
        <w:tc>
          <w:tcPr>
            <w:cnfStyle w:val="000010000000"/>
            <w:tcW w:w="781" w:type="dxa"/>
            <w:noWrap/>
            <w:vAlign w:val="center"/>
          </w:tcPr>
          <w:p w:rsidR="00135105" w:rsidRPr="00242020" w:rsidRDefault="00135105" w:rsidP="00135105">
            <w:pPr>
              <w:ind w:firstLine="0"/>
              <w:jc w:val="center"/>
              <w:rPr>
                <w:sz w:val="20"/>
              </w:rPr>
            </w:pPr>
            <w:r w:rsidRPr="00242020">
              <w:rPr>
                <w:sz w:val="20"/>
              </w:rPr>
              <w:t>49</w:t>
            </w:r>
          </w:p>
        </w:tc>
        <w:tc>
          <w:tcPr>
            <w:tcW w:w="656" w:type="dxa"/>
            <w:noWrap/>
            <w:vAlign w:val="center"/>
          </w:tcPr>
          <w:p w:rsidR="00135105" w:rsidRPr="00242020" w:rsidRDefault="00135105" w:rsidP="00135105">
            <w:pPr>
              <w:ind w:firstLine="0"/>
              <w:jc w:val="center"/>
              <w:cnfStyle w:val="000000100000"/>
              <w:rPr>
                <w:sz w:val="20"/>
              </w:rPr>
            </w:pPr>
            <w:r w:rsidRPr="00242020">
              <w:rPr>
                <w:sz w:val="20"/>
              </w:rPr>
              <w:t>68</w:t>
            </w:r>
          </w:p>
        </w:tc>
        <w:tc>
          <w:tcPr>
            <w:cnfStyle w:val="000010000000"/>
            <w:tcW w:w="656" w:type="dxa"/>
            <w:noWrap/>
            <w:vAlign w:val="center"/>
          </w:tcPr>
          <w:p w:rsidR="00135105" w:rsidRPr="00242020" w:rsidRDefault="00135105" w:rsidP="00135105">
            <w:pPr>
              <w:ind w:firstLine="0"/>
              <w:jc w:val="center"/>
              <w:rPr>
                <w:sz w:val="20"/>
              </w:rPr>
            </w:pPr>
            <w:r w:rsidRPr="00242020">
              <w:rPr>
                <w:sz w:val="20"/>
              </w:rPr>
              <w:t>7</w:t>
            </w:r>
          </w:p>
        </w:tc>
        <w:tc>
          <w:tcPr>
            <w:tcW w:w="656" w:type="dxa"/>
            <w:noWrap/>
            <w:vAlign w:val="center"/>
          </w:tcPr>
          <w:p w:rsidR="00135105" w:rsidRPr="00242020" w:rsidRDefault="00135105" w:rsidP="00135105">
            <w:pPr>
              <w:ind w:firstLine="0"/>
              <w:jc w:val="center"/>
              <w:cnfStyle w:val="000000100000"/>
              <w:rPr>
                <w:sz w:val="20"/>
              </w:rPr>
            </w:pPr>
            <w:r w:rsidRPr="00242020">
              <w:rPr>
                <w:sz w:val="20"/>
              </w:rPr>
              <w:t>22</w:t>
            </w:r>
          </w:p>
        </w:tc>
        <w:tc>
          <w:tcPr>
            <w:cnfStyle w:val="000010000000"/>
            <w:tcW w:w="897" w:type="dxa"/>
            <w:noWrap/>
            <w:vAlign w:val="center"/>
          </w:tcPr>
          <w:p w:rsidR="00135105" w:rsidRPr="00242020" w:rsidRDefault="00135105" w:rsidP="00135105">
            <w:pPr>
              <w:ind w:firstLine="0"/>
              <w:jc w:val="center"/>
              <w:rPr>
                <w:b/>
                <w:i/>
                <w:iCs/>
                <w:sz w:val="20"/>
              </w:rPr>
            </w:pPr>
            <w:r w:rsidRPr="00242020">
              <w:rPr>
                <w:b/>
                <w:i/>
                <w:iCs/>
                <w:sz w:val="20"/>
              </w:rPr>
              <w:t>9</w:t>
            </w:r>
          </w:p>
        </w:tc>
        <w:tc>
          <w:tcPr>
            <w:tcW w:w="516" w:type="dxa"/>
            <w:noWrap/>
            <w:vAlign w:val="center"/>
          </w:tcPr>
          <w:p w:rsidR="00135105" w:rsidRPr="00242020" w:rsidRDefault="00135105" w:rsidP="00135105">
            <w:pPr>
              <w:ind w:firstLine="0"/>
              <w:jc w:val="center"/>
              <w:cnfStyle w:val="000000100000"/>
              <w:rPr>
                <w:b/>
                <w:i/>
                <w:iCs/>
                <w:sz w:val="20"/>
              </w:rPr>
            </w:pPr>
            <w:r w:rsidRPr="00242020">
              <w:rPr>
                <w:b/>
                <w:i/>
                <w:iCs/>
                <w:sz w:val="20"/>
              </w:rPr>
              <w:t>9</w:t>
            </w:r>
          </w:p>
        </w:tc>
        <w:tc>
          <w:tcPr>
            <w:cnfStyle w:val="000010000000"/>
            <w:tcW w:w="503" w:type="dxa"/>
            <w:vAlign w:val="center"/>
          </w:tcPr>
          <w:p w:rsidR="00135105" w:rsidRPr="00242020" w:rsidRDefault="00135105" w:rsidP="00135105">
            <w:pPr>
              <w:ind w:firstLine="0"/>
              <w:jc w:val="center"/>
              <w:rPr>
                <w:b/>
                <w:i/>
                <w:iCs/>
                <w:sz w:val="20"/>
              </w:rPr>
            </w:pPr>
          </w:p>
        </w:tc>
        <w:tc>
          <w:tcPr>
            <w:tcW w:w="436" w:type="dxa"/>
            <w:noWrap/>
            <w:vAlign w:val="center"/>
          </w:tcPr>
          <w:p w:rsidR="00135105" w:rsidRPr="00242020" w:rsidRDefault="00135105" w:rsidP="00135105">
            <w:pPr>
              <w:ind w:firstLine="0"/>
              <w:jc w:val="center"/>
              <w:cnfStyle w:val="000000100000"/>
              <w:rPr>
                <w:b/>
                <w:i/>
                <w:iCs/>
                <w:sz w:val="20"/>
              </w:rPr>
            </w:pPr>
          </w:p>
        </w:tc>
        <w:tc>
          <w:tcPr>
            <w:cnfStyle w:val="000010000000"/>
            <w:tcW w:w="363" w:type="dxa"/>
            <w:vAlign w:val="center"/>
          </w:tcPr>
          <w:p w:rsidR="00135105" w:rsidRPr="00242020" w:rsidRDefault="00135105" w:rsidP="00135105">
            <w:pPr>
              <w:ind w:firstLine="0"/>
              <w:jc w:val="center"/>
              <w:rPr>
                <w:b/>
                <w:i/>
                <w:iCs/>
                <w:sz w:val="20"/>
              </w:rPr>
            </w:pPr>
          </w:p>
        </w:tc>
        <w:tc>
          <w:tcPr>
            <w:tcW w:w="434" w:type="dxa"/>
            <w:vAlign w:val="center"/>
          </w:tcPr>
          <w:p w:rsidR="00135105" w:rsidRPr="00242020" w:rsidRDefault="00135105" w:rsidP="00135105">
            <w:pPr>
              <w:ind w:firstLine="0"/>
              <w:jc w:val="center"/>
              <w:cnfStyle w:val="000000100000"/>
              <w:rPr>
                <w:b/>
                <w:i/>
                <w:iCs/>
                <w:sz w:val="20"/>
              </w:rPr>
            </w:pPr>
          </w:p>
        </w:tc>
        <w:tc>
          <w:tcPr>
            <w:cnfStyle w:val="000010000000"/>
            <w:tcW w:w="916" w:type="dxa"/>
            <w:vAlign w:val="center"/>
          </w:tcPr>
          <w:p w:rsidR="00135105" w:rsidRPr="00242020" w:rsidRDefault="00135105" w:rsidP="00135105">
            <w:pPr>
              <w:ind w:firstLine="0"/>
              <w:jc w:val="center"/>
              <w:rPr>
                <w:sz w:val="20"/>
              </w:rPr>
            </w:pPr>
            <w:r w:rsidRPr="00242020">
              <w:rPr>
                <w:sz w:val="20"/>
              </w:rPr>
              <w:t>4008</w:t>
            </w:r>
          </w:p>
        </w:tc>
        <w:tc>
          <w:tcPr>
            <w:tcW w:w="916" w:type="dxa"/>
            <w:noWrap/>
            <w:vAlign w:val="center"/>
          </w:tcPr>
          <w:p w:rsidR="00135105" w:rsidRPr="00242020" w:rsidRDefault="00135105" w:rsidP="00135105">
            <w:pPr>
              <w:ind w:firstLine="0"/>
              <w:jc w:val="center"/>
              <w:cnfStyle w:val="000000100000"/>
              <w:rPr>
                <w:sz w:val="20"/>
              </w:rPr>
            </w:pPr>
            <w:r w:rsidRPr="00242020">
              <w:rPr>
                <w:sz w:val="20"/>
              </w:rPr>
              <w:t>3862</w:t>
            </w:r>
          </w:p>
        </w:tc>
        <w:tc>
          <w:tcPr>
            <w:cnfStyle w:val="000010000000"/>
            <w:tcW w:w="732" w:type="dxa"/>
            <w:noWrap/>
            <w:vAlign w:val="center"/>
          </w:tcPr>
          <w:p w:rsidR="00135105" w:rsidRPr="00242020" w:rsidRDefault="00135105" w:rsidP="00135105">
            <w:pPr>
              <w:ind w:firstLine="0"/>
              <w:jc w:val="center"/>
              <w:rPr>
                <w:sz w:val="20"/>
              </w:rPr>
            </w:pPr>
            <w:r w:rsidRPr="00242020">
              <w:rPr>
                <w:sz w:val="20"/>
              </w:rPr>
              <w:t>49</w:t>
            </w:r>
          </w:p>
        </w:tc>
        <w:tc>
          <w:tcPr>
            <w:tcW w:w="656" w:type="dxa"/>
            <w:noWrap/>
            <w:vAlign w:val="center"/>
          </w:tcPr>
          <w:p w:rsidR="00135105" w:rsidRPr="00242020" w:rsidRDefault="00135105" w:rsidP="00135105">
            <w:pPr>
              <w:ind w:firstLine="0"/>
              <w:jc w:val="center"/>
              <w:cnfStyle w:val="000000100000"/>
              <w:rPr>
                <w:sz w:val="20"/>
              </w:rPr>
            </w:pPr>
            <w:r w:rsidRPr="00242020">
              <w:rPr>
                <w:sz w:val="20"/>
              </w:rPr>
              <w:t>68</w:t>
            </w:r>
          </w:p>
        </w:tc>
        <w:tc>
          <w:tcPr>
            <w:cnfStyle w:val="000010000000"/>
            <w:tcW w:w="656" w:type="dxa"/>
            <w:noWrap/>
            <w:vAlign w:val="center"/>
          </w:tcPr>
          <w:p w:rsidR="00135105" w:rsidRPr="00242020" w:rsidRDefault="00135105" w:rsidP="00135105">
            <w:pPr>
              <w:ind w:firstLine="0"/>
              <w:jc w:val="center"/>
              <w:rPr>
                <w:sz w:val="20"/>
              </w:rPr>
            </w:pPr>
            <w:r w:rsidRPr="00242020">
              <w:rPr>
                <w:sz w:val="20"/>
              </w:rPr>
              <w:t>7</w:t>
            </w:r>
          </w:p>
        </w:tc>
        <w:tc>
          <w:tcPr>
            <w:tcW w:w="656" w:type="dxa"/>
            <w:noWrap/>
            <w:vAlign w:val="center"/>
          </w:tcPr>
          <w:p w:rsidR="00135105" w:rsidRPr="00242020" w:rsidRDefault="00135105" w:rsidP="00135105">
            <w:pPr>
              <w:ind w:firstLine="0"/>
              <w:jc w:val="center"/>
              <w:cnfStyle w:val="000000100000"/>
              <w:rPr>
                <w:sz w:val="20"/>
              </w:rPr>
            </w:pPr>
            <w:r w:rsidRPr="00242020">
              <w:rPr>
                <w:sz w:val="20"/>
              </w:rPr>
              <w:t>22</w:t>
            </w:r>
          </w:p>
        </w:tc>
      </w:tr>
      <w:tr w:rsidR="00EF2524" w:rsidRPr="00242020" w:rsidTr="00EF2524">
        <w:trPr>
          <w:cnfStyle w:val="000000010000"/>
          <w:trHeight w:hRule="exact" w:val="266"/>
        </w:trPr>
        <w:tc>
          <w:tcPr>
            <w:cnfStyle w:val="000010000000"/>
            <w:tcW w:w="434" w:type="dxa"/>
            <w:shd w:val="clear" w:color="auto" w:fill="auto"/>
            <w:vAlign w:val="center"/>
          </w:tcPr>
          <w:p w:rsidR="00135105" w:rsidRPr="00242020" w:rsidRDefault="00135105" w:rsidP="00EF2524">
            <w:pPr>
              <w:ind w:left="-52" w:right="-88" w:firstLine="0"/>
              <w:jc w:val="center"/>
              <w:rPr>
                <w:sz w:val="20"/>
              </w:rPr>
            </w:pPr>
            <w:r w:rsidRPr="00242020">
              <w:rPr>
                <w:sz w:val="20"/>
              </w:rPr>
              <w:t>9</w:t>
            </w:r>
          </w:p>
        </w:tc>
        <w:tc>
          <w:tcPr>
            <w:tcW w:w="2509" w:type="dxa"/>
            <w:gridSpan w:val="2"/>
            <w:shd w:val="clear" w:color="auto" w:fill="auto"/>
            <w:vAlign w:val="center"/>
          </w:tcPr>
          <w:p w:rsidR="00135105" w:rsidRPr="00242020" w:rsidRDefault="00135105" w:rsidP="00135105">
            <w:pPr>
              <w:ind w:firstLine="0"/>
              <w:cnfStyle w:val="000000010000"/>
              <w:rPr>
                <w:sz w:val="20"/>
              </w:rPr>
            </w:pPr>
            <w:r w:rsidRPr="00242020">
              <w:rPr>
                <w:sz w:val="20"/>
              </w:rPr>
              <w:t>Київська область</w:t>
            </w:r>
          </w:p>
        </w:tc>
        <w:tc>
          <w:tcPr>
            <w:cnfStyle w:val="000010000000"/>
            <w:tcW w:w="916" w:type="dxa"/>
            <w:shd w:val="clear" w:color="auto" w:fill="auto"/>
            <w:vAlign w:val="center"/>
          </w:tcPr>
          <w:p w:rsidR="00135105" w:rsidRPr="00242020" w:rsidRDefault="00135105" w:rsidP="00135105">
            <w:pPr>
              <w:ind w:firstLine="0"/>
              <w:jc w:val="center"/>
              <w:rPr>
                <w:sz w:val="20"/>
              </w:rPr>
            </w:pPr>
            <w:r w:rsidRPr="00242020">
              <w:rPr>
                <w:sz w:val="20"/>
              </w:rPr>
              <w:t>2065</w:t>
            </w:r>
          </w:p>
        </w:tc>
        <w:tc>
          <w:tcPr>
            <w:tcW w:w="91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1926</w:t>
            </w:r>
          </w:p>
        </w:tc>
        <w:tc>
          <w:tcPr>
            <w:cnfStyle w:val="000010000000"/>
            <w:tcW w:w="781" w:type="dxa"/>
            <w:shd w:val="clear" w:color="auto" w:fill="auto"/>
            <w:noWrap/>
            <w:vAlign w:val="center"/>
          </w:tcPr>
          <w:p w:rsidR="00135105" w:rsidRPr="00242020" w:rsidRDefault="00135105" w:rsidP="00135105">
            <w:pPr>
              <w:ind w:firstLine="0"/>
              <w:jc w:val="center"/>
              <w:rPr>
                <w:sz w:val="20"/>
              </w:rPr>
            </w:pPr>
            <w:r w:rsidRPr="00242020">
              <w:rPr>
                <w:sz w:val="20"/>
              </w:rPr>
              <w:t>71</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42</w:t>
            </w:r>
          </w:p>
        </w:tc>
        <w:tc>
          <w:tcPr>
            <w:cnfStyle w:val="000010000000"/>
            <w:tcW w:w="656" w:type="dxa"/>
            <w:shd w:val="clear" w:color="auto" w:fill="auto"/>
            <w:noWrap/>
            <w:vAlign w:val="center"/>
          </w:tcPr>
          <w:p w:rsidR="00135105" w:rsidRPr="00242020" w:rsidRDefault="00135105" w:rsidP="00135105">
            <w:pPr>
              <w:ind w:firstLine="0"/>
              <w:jc w:val="center"/>
              <w:rPr>
                <w:sz w:val="20"/>
              </w:rPr>
            </w:pPr>
            <w:r w:rsidRPr="00242020">
              <w:rPr>
                <w:sz w:val="20"/>
              </w:rPr>
              <w:t>8</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18</w:t>
            </w:r>
          </w:p>
        </w:tc>
        <w:tc>
          <w:tcPr>
            <w:cnfStyle w:val="000010000000"/>
            <w:tcW w:w="897" w:type="dxa"/>
            <w:shd w:val="clear" w:color="auto" w:fill="auto"/>
            <w:noWrap/>
            <w:vAlign w:val="center"/>
          </w:tcPr>
          <w:p w:rsidR="00135105" w:rsidRPr="00242020" w:rsidRDefault="00135105" w:rsidP="00135105">
            <w:pPr>
              <w:ind w:firstLine="0"/>
              <w:jc w:val="center"/>
              <w:rPr>
                <w:b/>
                <w:i/>
                <w:iCs/>
                <w:sz w:val="20"/>
              </w:rPr>
            </w:pPr>
            <w:r w:rsidRPr="00242020">
              <w:rPr>
                <w:b/>
                <w:i/>
                <w:iCs/>
                <w:sz w:val="20"/>
              </w:rPr>
              <w:t>0</w:t>
            </w:r>
          </w:p>
        </w:tc>
        <w:tc>
          <w:tcPr>
            <w:tcW w:w="516" w:type="dxa"/>
            <w:shd w:val="clear" w:color="auto" w:fill="auto"/>
            <w:noWrap/>
            <w:vAlign w:val="center"/>
          </w:tcPr>
          <w:p w:rsidR="00135105" w:rsidRPr="00242020" w:rsidRDefault="00135105" w:rsidP="00135105">
            <w:pPr>
              <w:ind w:firstLine="0"/>
              <w:jc w:val="center"/>
              <w:cnfStyle w:val="000000010000"/>
              <w:rPr>
                <w:b/>
                <w:i/>
                <w:iCs/>
                <w:sz w:val="20"/>
              </w:rPr>
            </w:pPr>
          </w:p>
        </w:tc>
        <w:tc>
          <w:tcPr>
            <w:cnfStyle w:val="000010000000"/>
            <w:tcW w:w="503" w:type="dxa"/>
            <w:shd w:val="clear" w:color="auto" w:fill="auto"/>
            <w:vAlign w:val="center"/>
          </w:tcPr>
          <w:p w:rsidR="00135105" w:rsidRPr="00242020" w:rsidRDefault="00135105" w:rsidP="00135105">
            <w:pPr>
              <w:ind w:firstLine="0"/>
              <w:jc w:val="center"/>
              <w:rPr>
                <w:b/>
                <w:i/>
                <w:iCs/>
                <w:sz w:val="20"/>
              </w:rPr>
            </w:pPr>
          </w:p>
        </w:tc>
        <w:tc>
          <w:tcPr>
            <w:tcW w:w="436" w:type="dxa"/>
            <w:shd w:val="clear" w:color="auto" w:fill="auto"/>
            <w:noWrap/>
            <w:vAlign w:val="center"/>
          </w:tcPr>
          <w:p w:rsidR="00135105" w:rsidRPr="00242020" w:rsidRDefault="00135105" w:rsidP="00135105">
            <w:pPr>
              <w:ind w:firstLine="0"/>
              <w:jc w:val="center"/>
              <w:cnfStyle w:val="000000010000"/>
              <w:rPr>
                <w:b/>
                <w:i/>
                <w:iCs/>
                <w:sz w:val="20"/>
              </w:rPr>
            </w:pPr>
          </w:p>
        </w:tc>
        <w:tc>
          <w:tcPr>
            <w:cnfStyle w:val="000010000000"/>
            <w:tcW w:w="363" w:type="dxa"/>
            <w:shd w:val="clear" w:color="auto" w:fill="auto"/>
            <w:vAlign w:val="center"/>
          </w:tcPr>
          <w:p w:rsidR="00135105" w:rsidRPr="00242020" w:rsidRDefault="00135105" w:rsidP="00135105">
            <w:pPr>
              <w:ind w:firstLine="0"/>
              <w:jc w:val="center"/>
              <w:rPr>
                <w:b/>
                <w:i/>
                <w:iCs/>
                <w:sz w:val="20"/>
              </w:rPr>
            </w:pPr>
          </w:p>
        </w:tc>
        <w:tc>
          <w:tcPr>
            <w:tcW w:w="434" w:type="dxa"/>
            <w:shd w:val="clear" w:color="auto" w:fill="auto"/>
            <w:vAlign w:val="center"/>
          </w:tcPr>
          <w:p w:rsidR="00135105" w:rsidRPr="00242020" w:rsidRDefault="00135105" w:rsidP="00135105">
            <w:pPr>
              <w:ind w:firstLine="0"/>
              <w:jc w:val="center"/>
              <w:cnfStyle w:val="000000010000"/>
              <w:rPr>
                <w:b/>
                <w:i/>
                <w:iCs/>
                <w:sz w:val="20"/>
              </w:rPr>
            </w:pPr>
          </w:p>
        </w:tc>
        <w:tc>
          <w:tcPr>
            <w:cnfStyle w:val="000010000000"/>
            <w:tcW w:w="916" w:type="dxa"/>
            <w:shd w:val="clear" w:color="auto" w:fill="auto"/>
            <w:vAlign w:val="center"/>
          </w:tcPr>
          <w:p w:rsidR="00135105" w:rsidRPr="00242020" w:rsidRDefault="00135105" w:rsidP="00135105">
            <w:pPr>
              <w:ind w:firstLine="0"/>
              <w:jc w:val="center"/>
              <w:rPr>
                <w:sz w:val="20"/>
              </w:rPr>
            </w:pPr>
            <w:r w:rsidRPr="00242020">
              <w:rPr>
                <w:sz w:val="20"/>
              </w:rPr>
              <w:t>2065</w:t>
            </w:r>
          </w:p>
        </w:tc>
        <w:tc>
          <w:tcPr>
            <w:tcW w:w="91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1926</w:t>
            </w:r>
          </w:p>
        </w:tc>
        <w:tc>
          <w:tcPr>
            <w:cnfStyle w:val="000010000000"/>
            <w:tcW w:w="732" w:type="dxa"/>
            <w:shd w:val="clear" w:color="auto" w:fill="auto"/>
            <w:noWrap/>
            <w:vAlign w:val="center"/>
          </w:tcPr>
          <w:p w:rsidR="00135105" w:rsidRPr="00242020" w:rsidRDefault="00135105" w:rsidP="00135105">
            <w:pPr>
              <w:ind w:firstLine="0"/>
              <w:jc w:val="center"/>
              <w:rPr>
                <w:sz w:val="20"/>
              </w:rPr>
            </w:pPr>
            <w:r w:rsidRPr="00242020">
              <w:rPr>
                <w:sz w:val="20"/>
              </w:rPr>
              <w:t>71</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42</w:t>
            </w:r>
          </w:p>
        </w:tc>
        <w:tc>
          <w:tcPr>
            <w:cnfStyle w:val="000010000000"/>
            <w:tcW w:w="656" w:type="dxa"/>
            <w:shd w:val="clear" w:color="auto" w:fill="auto"/>
            <w:noWrap/>
            <w:vAlign w:val="center"/>
          </w:tcPr>
          <w:p w:rsidR="00135105" w:rsidRPr="00242020" w:rsidRDefault="00135105" w:rsidP="00135105">
            <w:pPr>
              <w:ind w:firstLine="0"/>
              <w:jc w:val="center"/>
              <w:rPr>
                <w:sz w:val="20"/>
              </w:rPr>
            </w:pPr>
            <w:r w:rsidRPr="00242020">
              <w:rPr>
                <w:sz w:val="20"/>
              </w:rPr>
              <w:t>8</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18</w:t>
            </w:r>
          </w:p>
        </w:tc>
      </w:tr>
      <w:tr w:rsidR="00135105" w:rsidRPr="00242020" w:rsidTr="00EF2524">
        <w:trPr>
          <w:cnfStyle w:val="000000100000"/>
          <w:trHeight w:hRule="exact" w:val="266"/>
        </w:trPr>
        <w:tc>
          <w:tcPr>
            <w:cnfStyle w:val="000010000000"/>
            <w:tcW w:w="434" w:type="dxa"/>
            <w:vAlign w:val="center"/>
          </w:tcPr>
          <w:p w:rsidR="00135105" w:rsidRPr="00242020" w:rsidRDefault="00135105" w:rsidP="00EF2524">
            <w:pPr>
              <w:ind w:left="-52" w:right="-88" w:firstLine="0"/>
              <w:jc w:val="center"/>
              <w:rPr>
                <w:sz w:val="20"/>
              </w:rPr>
            </w:pPr>
            <w:r w:rsidRPr="00242020">
              <w:rPr>
                <w:sz w:val="20"/>
              </w:rPr>
              <w:t>10</w:t>
            </w:r>
          </w:p>
        </w:tc>
        <w:tc>
          <w:tcPr>
            <w:tcW w:w="2509" w:type="dxa"/>
            <w:gridSpan w:val="2"/>
            <w:vAlign w:val="center"/>
          </w:tcPr>
          <w:p w:rsidR="00135105" w:rsidRPr="00242020" w:rsidRDefault="00135105" w:rsidP="00135105">
            <w:pPr>
              <w:ind w:firstLine="0"/>
              <w:cnfStyle w:val="000000100000"/>
              <w:rPr>
                <w:sz w:val="20"/>
              </w:rPr>
            </w:pPr>
            <w:r w:rsidRPr="00242020">
              <w:rPr>
                <w:sz w:val="20"/>
              </w:rPr>
              <w:t>Кіровоградська область</w:t>
            </w:r>
          </w:p>
        </w:tc>
        <w:tc>
          <w:tcPr>
            <w:cnfStyle w:val="000010000000"/>
            <w:tcW w:w="916" w:type="dxa"/>
            <w:vAlign w:val="center"/>
          </w:tcPr>
          <w:p w:rsidR="00135105" w:rsidRPr="00242020" w:rsidRDefault="00135105" w:rsidP="00135105">
            <w:pPr>
              <w:ind w:firstLine="0"/>
              <w:jc w:val="center"/>
              <w:rPr>
                <w:sz w:val="20"/>
              </w:rPr>
            </w:pPr>
            <w:r w:rsidRPr="00242020">
              <w:rPr>
                <w:sz w:val="20"/>
              </w:rPr>
              <w:t>2092</w:t>
            </w:r>
          </w:p>
        </w:tc>
        <w:tc>
          <w:tcPr>
            <w:tcW w:w="916" w:type="dxa"/>
            <w:noWrap/>
            <w:vAlign w:val="center"/>
          </w:tcPr>
          <w:p w:rsidR="00135105" w:rsidRPr="00242020" w:rsidRDefault="00135105" w:rsidP="00135105">
            <w:pPr>
              <w:ind w:firstLine="0"/>
              <w:jc w:val="center"/>
              <w:cnfStyle w:val="000000100000"/>
              <w:rPr>
                <w:sz w:val="20"/>
              </w:rPr>
            </w:pPr>
            <w:r w:rsidRPr="00242020">
              <w:rPr>
                <w:sz w:val="20"/>
              </w:rPr>
              <w:t>2024</w:t>
            </w:r>
          </w:p>
        </w:tc>
        <w:tc>
          <w:tcPr>
            <w:cnfStyle w:val="000010000000"/>
            <w:tcW w:w="781" w:type="dxa"/>
            <w:noWrap/>
            <w:vAlign w:val="center"/>
          </w:tcPr>
          <w:p w:rsidR="00135105" w:rsidRPr="00242020" w:rsidRDefault="00135105" w:rsidP="00135105">
            <w:pPr>
              <w:ind w:firstLine="0"/>
              <w:jc w:val="center"/>
              <w:rPr>
                <w:sz w:val="20"/>
              </w:rPr>
            </w:pPr>
            <w:r w:rsidRPr="00242020">
              <w:rPr>
                <w:sz w:val="20"/>
              </w:rPr>
              <w:t>20</w:t>
            </w:r>
          </w:p>
        </w:tc>
        <w:tc>
          <w:tcPr>
            <w:tcW w:w="656" w:type="dxa"/>
            <w:noWrap/>
            <w:vAlign w:val="center"/>
          </w:tcPr>
          <w:p w:rsidR="00135105" w:rsidRPr="00242020" w:rsidRDefault="00135105" w:rsidP="00135105">
            <w:pPr>
              <w:ind w:firstLine="0"/>
              <w:jc w:val="center"/>
              <w:cnfStyle w:val="000000100000"/>
              <w:rPr>
                <w:sz w:val="20"/>
              </w:rPr>
            </w:pPr>
            <w:r w:rsidRPr="00242020">
              <w:rPr>
                <w:sz w:val="20"/>
              </w:rPr>
              <w:t>38</w:t>
            </w:r>
          </w:p>
        </w:tc>
        <w:tc>
          <w:tcPr>
            <w:cnfStyle w:val="000010000000"/>
            <w:tcW w:w="656" w:type="dxa"/>
            <w:noWrap/>
            <w:vAlign w:val="center"/>
          </w:tcPr>
          <w:p w:rsidR="00135105" w:rsidRPr="00242020" w:rsidRDefault="00135105" w:rsidP="00135105">
            <w:pPr>
              <w:ind w:firstLine="0"/>
              <w:jc w:val="center"/>
              <w:rPr>
                <w:sz w:val="20"/>
              </w:rPr>
            </w:pPr>
            <w:r w:rsidRPr="00242020">
              <w:rPr>
                <w:sz w:val="20"/>
              </w:rPr>
              <w:t>4</w:t>
            </w:r>
          </w:p>
        </w:tc>
        <w:tc>
          <w:tcPr>
            <w:tcW w:w="656" w:type="dxa"/>
            <w:noWrap/>
            <w:vAlign w:val="center"/>
          </w:tcPr>
          <w:p w:rsidR="00135105" w:rsidRPr="00242020" w:rsidRDefault="00135105" w:rsidP="00135105">
            <w:pPr>
              <w:ind w:firstLine="0"/>
              <w:jc w:val="center"/>
              <w:cnfStyle w:val="000000100000"/>
              <w:rPr>
                <w:sz w:val="20"/>
              </w:rPr>
            </w:pPr>
            <w:r w:rsidRPr="00242020">
              <w:rPr>
                <w:sz w:val="20"/>
              </w:rPr>
              <w:t>6</w:t>
            </w:r>
          </w:p>
        </w:tc>
        <w:tc>
          <w:tcPr>
            <w:cnfStyle w:val="000010000000"/>
            <w:tcW w:w="897" w:type="dxa"/>
            <w:noWrap/>
            <w:vAlign w:val="center"/>
          </w:tcPr>
          <w:p w:rsidR="00135105" w:rsidRPr="00242020" w:rsidRDefault="00135105" w:rsidP="00135105">
            <w:pPr>
              <w:ind w:firstLine="0"/>
              <w:jc w:val="center"/>
              <w:rPr>
                <w:b/>
                <w:i/>
                <w:iCs/>
                <w:sz w:val="20"/>
              </w:rPr>
            </w:pPr>
            <w:r w:rsidRPr="00242020">
              <w:rPr>
                <w:b/>
                <w:i/>
                <w:iCs/>
                <w:sz w:val="20"/>
              </w:rPr>
              <w:t>12</w:t>
            </w:r>
          </w:p>
        </w:tc>
        <w:tc>
          <w:tcPr>
            <w:tcW w:w="516" w:type="dxa"/>
            <w:noWrap/>
            <w:vAlign w:val="center"/>
          </w:tcPr>
          <w:p w:rsidR="00135105" w:rsidRPr="00242020" w:rsidRDefault="00135105" w:rsidP="00135105">
            <w:pPr>
              <w:ind w:firstLine="0"/>
              <w:jc w:val="center"/>
              <w:cnfStyle w:val="000000100000"/>
              <w:rPr>
                <w:b/>
                <w:i/>
                <w:iCs/>
                <w:sz w:val="20"/>
              </w:rPr>
            </w:pPr>
            <w:r w:rsidRPr="00242020">
              <w:rPr>
                <w:b/>
                <w:i/>
                <w:iCs/>
                <w:sz w:val="20"/>
              </w:rPr>
              <w:t>12</w:t>
            </w:r>
          </w:p>
        </w:tc>
        <w:tc>
          <w:tcPr>
            <w:cnfStyle w:val="000010000000"/>
            <w:tcW w:w="503" w:type="dxa"/>
            <w:vAlign w:val="center"/>
          </w:tcPr>
          <w:p w:rsidR="00135105" w:rsidRPr="00242020" w:rsidRDefault="00135105" w:rsidP="00135105">
            <w:pPr>
              <w:ind w:firstLine="0"/>
              <w:jc w:val="center"/>
              <w:rPr>
                <w:b/>
                <w:i/>
                <w:iCs/>
                <w:sz w:val="20"/>
              </w:rPr>
            </w:pPr>
          </w:p>
        </w:tc>
        <w:tc>
          <w:tcPr>
            <w:tcW w:w="436" w:type="dxa"/>
            <w:noWrap/>
            <w:vAlign w:val="center"/>
          </w:tcPr>
          <w:p w:rsidR="00135105" w:rsidRPr="00242020" w:rsidRDefault="00135105" w:rsidP="00135105">
            <w:pPr>
              <w:ind w:firstLine="0"/>
              <w:jc w:val="center"/>
              <w:cnfStyle w:val="000000100000"/>
              <w:rPr>
                <w:b/>
                <w:i/>
                <w:iCs/>
                <w:sz w:val="20"/>
              </w:rPr>
            </w:pPr>
          </w:p>
        </w:tc>
        <w:tc>
          <w:tcPr>
            <w:cnfStyle w:val="000010000000"/>
            <w:tcW w:w="363" w:type="dxa"/>
            <w:vAlign w:val="center"/>
          </w:tcPr>
          <w:p w:rsidR="00135105" w:rsidRPr="00242020" w:rsidRDefault="00135105" w:rsidP="00135105">
            <w:pPr>
              <w:ind w:firstLine="0"/>
              <w:jc w:val="center"/>
              <w:rPr>
                <w:b/>
                <w:i/>
                <w:iCs/>
                <w:sz w:val="20"/>
              </w:rPr>
            </w:pPr>
          </w:p>
        </w:tc>
        <w:tc>
          <w:tcPr>
            <w:tcW w:w="434" w:type="dxa"/>
            <w:vAlign w:val="center"/>
          </w:tcPr>
          <w:p w:rsidR="00135105" w:rsidRPr="00242020" w:rsidRDefault="00135105" w:rsidP="00135105">
            <w:pPr>
              <w:ind w:firstLine="0"/>
              <w:jc w:val="center"/>
              <w:cnfStyle w:val="000000100000"/>
              <w:rPr>
                <w:b/>
                <w:i/>
                <w:iCs/>
                <w:sz w:val="20"/>
              </w:rPr>
            </w:pPr>
          </w:p>
        </w:tc>
        <w:tc>
          <w:tcPr>
            <w:cnfStyle w:val="000010000000"/>
            <w:tcW w:w="916" w:type="dxa"/>
            <w:vAlign w:val="center"/>
          </w:tcPr>
          <w:p w:rsidR="00135105" w:rsidRPr="00242020" w:rsidRDefault="00135105" w:rsidP="00135105">
            <w:pPr>
              <w:ind w:firstLine="0"/>
              <w:jc w:val="center"/>
              <w:rPr>
                <w:sz w:val="20"/>
              </w:rPr>
            </w:pPr>
            <w:r w:rsidRPr="00242020">
              <w:rPr>
                <w:sz w:val="20"/>
              </w:rPr>
              <w:t>2104</w:t>
            </w:r>
          </w:p>
        </w:tc>
        <w:tc>
          <w:tcPr>
            <w:tcW w:w="916" w:type="dxa"/>
            <w:noWrap/>
            <w:vAlign w:val="center"/>
          </w:tcPr>
          <w:p w:rsidR="00135105" w:rsidRPr="00242020" w:rsidRDefault="00135105" w:rsidP="00135105">
            <w:pPr>
              <w:ind w:firstLine="0"/>
              <w:jc w:val="center"/>
              <w:cnfStyle w:val="000000100000"/>
              <w:rPr>
                <w:sz w:val="20"/>
              </w:rPr>
            </w:pPr>
            <w:r w:rsidRPr="00242020">
              <w:rPr>
                <w:sz w:val="20"/>
              </w:rPr>
              <w:t>2036</w:t>
            </w:r>
          </w:p>
        </w:tc>
        <w:tc>
          <w:tcPr>
            <w:cnfStyle w:val="000010000000"/>
            <w:tcW w:w="732" w:type="dxa"/>
            <w:noWrap/>
            <w:vAlign w:val="center"/>
          </w:tcPr>
          <w:p w:rsidR="00135105" w:rsidRPr="00242020" w:rsidRDefault="00135105" w:rsidP="00135105">
            <w:pPr>
              <w:ind w:firstLine="0"/>
              <w:jc w:val="center"/>
              <w:rPr>
                <w:sz w:val="20"/>
              </w:rPr>
            </w:pPr>
            <w:r w:rsidRPr="00242020">
              <w:rPr>
                <w:sz w:val="20"/>
              </w:rPr>
              <w:t>20</w:t>
            </w:r>
          </w:p>
        </w:tc>
        <w:tc>
          <w:tcPr>
            <w:tcW w:w="656" w:type="dxa"/>
            <w:noWrap/>
            <w:vAlign w:val="center"/>
          </w:tcPr>
          <w:p w:rsidR="00135105" w:rsidRPr="00242020" w:rsidRDefault="00135105" w:rsidP="00135105">
            <w:pPr>
              <w:ind w:firstLine="0"/>
              <w:jc w:val="center"/>
              <w:cnfStyle w:val="000000100000"/>
              <w:rPr>
                <w:sz w:val="20"/>
              </w:rPr>
            </w:pPr>
            <w:r w:rsidRPr="00242020">
              <w:rPr>
                <w:sz w:val="20"/>
              </w:rPr>
              <w:t>38</w:t>
            </w:r>
          </w:p>
        </w:tc>
        <w:tc>
          <w:tcPr>
            <w:cnfStyle w:val="000010000000"/>
            <w:tcW w:w="656" w:type="dxa"/>
            <w:noWrap/>
            <w:vAlign w:val="center"/>
          </w:tcPr>
          <w:p w:rsidR="00135105" w:rsidRPr="00242020" w:rsidRDefault="00135105" w:rsidP="00135105">
            <w:pPr>
              <w:ind w:firstLine="0"/>
              <w:jc w:val="center"/>
              <w:rPr>
                <w:sz w:val="20"/>
              </w:rPr>
            </w:pPr>
            <w:r w:rsidRPr="00242020">
              <w:rPr>
                <w:sz w:val="20"/>
              </w:rPr>
              <w:t>4</w:t>
            </w:r>
          </w:p>
        </w:tc>
        <w:tc>
          <w:tcPr>
            <w:tcW w:w="656" w:type="dxa"/>
            <w:noWrap/>
            <w:vAlign w:val="center"/>
          </w:tcPr>
          <w:p w:rsidR="00135105" w:rsidRPr="00242020" w:rsidRDefault="00135105" w:rsidP="00135105">
            <w:pPr>
              <w:ind w:firstLine="0"/>
              <w:jc w:val="center"/>
              <w:cnfStyle w:val="000000100000"/>
              <w:rPr>
                <w:sz w:val="20"/>
              </w:rPr>
            </w:pPr>
            <w:r w:rsidRPr="00242020">
              <w:rPr>
                <w:sz w:val="20"/>
              </w:rPr>
              <w:t>6</w:t>
            </w:r>
          </w:p>
        </w:tc>
      </w:tr>
      <w:tr w:rsidR="00EF2524" w:rsidRPr="00242020" w:rsidTr="00EF2524">
        <w:trPr>
          <w:cnfStyle w:val="000000010000"/>
          <w:trHeight w:hRule="exact" w:val="266"/>
        </w:trPr>
        <w:tc>
          <w:tcPr>
            <w:cnfStyle w:val="000010000000"/>
            <w:tcW w:w="434" w:type="dxa"/>
            <w:shd w:val="clear" w:color="auto" w:fill="auto"/>
            <w:vAlign w:val="center"/>
          </w:tcPr>
          <w:p w:rsidR="00135105" w:rsidRPr="00242020" w:rsidRDefault="00135105" w:rsidP="00EF2524">
            <w:pPr>
              <w:ind w:left="-52" w:right="-88" w:firstLine="0"/>
              <w:jc w:val="center"/>
              <w:rPr>
                <w:sz w:val="20"/>
              </w:rPr>
            </w:pPr>
            <w:r w:rsidRPr="00242020">
              <w:rPr>
                <w:sz w:val="20"/>
              </w:rPr>
              <w:t>11</w:t>
            </w:r>
          </w:p>
        </w:tc>
        <w:tc>
          <w:tcPr>
            <w:tcW w:w="2509" w:type="dxa"/>
            <w:gridSpan w:val="2"/>
            <w:shd w:val="clear" w:color="auto" w:fill="auto"/>
            <w:vAlign w:val="center"/>
          </w:tcPr>
          <w:p w:rsidR="00135105" w:rsidRPr="00242020" w:rsidRDefault="00135105" w:rsidP="00135105">
            <w:pPr>
              <w:ind w:firstLine="0"/>
              <w:cnfStyle w:val="000000010000"/>
              <w:rPr>
                <w:sz w:val="20"/>
              </w:rPr>
            </w:pPr>
            <w:r w:rsidRPr="00242020">
              <w:rPr>
                <w:sz w:val="20"/>
              </w:rPr>
              <w:t>Луганська область</w:t>
            </w:r>
          </w:p>
        </w:tc>
        <w:tc>
          <w:tcPr>
            <w:cnfStyle w:val="000010000000"/>
            <w:tcW w:w="916" w:type="dxa"/>
            <w:shd w:val="clear" w:color="auto" w:fill="auto"/>
            <w:vAlign w:val="center"/>
          </w:tcPr>
          <w:p w:rsidR="00135105" w:rsidRPr="00242020" w:rsidRDefault="00135105" w:rsidP="00135105">
            <w:pPr>
              <w:ind w:firstLine="0"/>
              <w:jc w:val="center"/>
              <w:rPr>
                <w:sz w:val="20"/>
              </w:rPr>
            </w:pPr>
            <w:r w:rsidRPr="00242020">
              <w:rPr>
                <w:sz w:val="20"/>
              </w:rPr>
              <w:t>4199</w:t>
            </w:r>
          </w:p>
        </w:tc>
        <w:tc>
          <w:tcPr>
            <w:tcW w:w="91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3988</w:t>
            </w:r>
          </w:p>
        </w:tc>
        <w:tc>
          <w:tcPr>
            <w:cnfStyle w:val="000010000000"/>
            <w:tcW w:w="781" w:type="dxa"/>
            <w:shd w:val="clear" w:color="auto" w:fill="auto"/>
            <w:noWrap/>
            <w:vAlign w:val="center"/>
          </w:tcPr>
          <w:p w:rsidR="00135105" w:rsidRPr="00242020" w:rsidRDefault="00135105" w:rsidP="00135105">
            <w:pPr>
              <w:ind w:firstLine="0"/>
              <w:jc w:val="center"/>
              <w:rPr>
                <w:sz w:val="20"/>
              </w:rPr>
            </w:pPr>
            <w:r w:rsidRPr="00242020">
              <w:rPr>
                <w:sz w:val="20"/>
              </w:rPr>
              <w:t>145</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41</w:t>
            </w:r>
          </w:p>
        </w:tc>
        <w:tc>
          <w:tcPr>
            <w:cnfStyle w:val="000010000000"/>
            <w:tcW w:w="656" w:type="dxa"/>
            <w:shd w:val="clear" w:color="auto" w:fill="auto"/>
            <w:noWrap/>
            <w:vAlign w:val="center"/>
          </w:tcPr>
          <w:p w:rsidR="00135105" w:rsidRPr="00242020" w:rsidRDefault="00135105" w:rsidP="00135105">
            <w:pPr>
              <w:ind w:firstLine="0"/>
              <w:jc w:val="center"/>
              <w:rPr>
                <w:sz w:val="20"/>
              </w:rPr>
            </w:pPr>
            <w:r w:rsidRPr="00242020">
              <w:rPr>
                <w:sz w:val="20"/>
              </w:rPr>
              <w:t>14</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11</w:t>
            </w:r>
          </w:p>
        </w:tc>
        <w:tc>
          <w:tcPr>
            <w:cnfStyle w:val="000010000000"/>
            <w:tcW w:w="897" w:type="dxa"/>
            <w:shd w:val="clear" w:color="auto" w:fill="auto"/>
            <w:noWrap/>
            <w:vAlign w:val="center"/>
          </w:tcPr>
          <w:p w:rsidR="00135105" w:rsidRPr="00242020" w:rsidRDefault="00135105" w:rsidP="00135105">
            <w:pPr>
              <w:ind w:firstLine="0"/>
              <w:jc w:val="center"/>
              <w:rPr>
                <w:b/>
                <w:i/>
                <w:iCs/>
                <w:sz w:val="20"/>
              </w:rPr>
            </w:pPr>
            <w:r w:rsidRPr="00242020">
              <w:rPr>
                <w:b/>
                <w:i/>
                <w:iCs/>
                <w:sz w:val="20"/>
              </w:rPr>
              <w:t>4</w:t>
            </w:r>
          </w:p>
        </w:tc>
        <w:tc>
          <w:tcPr>
            <w:tcW w:w="516" w:type="dxa"/>
            <w:shd w:val="clear" w:color="auto" w:fill="auto"/>
            <w:noWrap/>
            <w:vAlign w:val="center"/>
          </w:tcPr>
          <w:p w:rsidR="00135105" w:rsidRPr="00242020" w:rsidRDefault="00135105" w:rsidP="00135105">
            <w:pPr>
              <w:ind w:firstLine="0"/>
              <w:jc w:val="center"/>
              <w:cnfStyle w:val="000000010000"/>
              <w:rPr>
                <w:b/>
                <w:i/>
                <w:iCs/>
                <w:sz w:val="20"/>
              </w:rPr>
            </w:pPr>
            <w:r w:rsidRPr="00242020">
              <w:rPr>
                <w:b/>
                <w:i/>
                <w:iCs/>
                <w:sz w:val="20"/>
              </w:rPr>
              <w:t>3</w:t>
            </w:r>
          </w:p>
        </w:tc>
        <w:tc>
          <w:tcPr>
            <w:cnfStyle w:val="000010000000"/>
            <w:tcW w:w="503" w:type="dxa"/>
            <w:shd w:val="clear" w:color="auto" w:fill="auto"/>
            <w:vAlign w:val="center"/>
          </w:tcPr>
          <w:p w:rsidR="00135105" w:rsidRPr="00242020" w:rsidRDefault="00135105" w:rsidP="00135105">
            <w:pPr>
              <w:ind w:firstLine="0"/>
              <w:jc w:val="center"/>
              <w:rPr>
                <w:b/>
                <w:i/>
                <w:iCs/>
                <w:sz w:val="20"/>
              </w:rPr>
            </w:pPr>
          </w:p>
        </w:tc>
        <w:tc>
          <w:tcPr>
            <w:tcW w:w="436" w:type="dxa"/>
            <w:shd w:val="clear" w:color="auto" w:fill="auto"/>
            <w:noWrap/>
            <w:vAlign w:val="center"/>
          </w:tcPr>
          <w:p w:rsidR="00135105" w:rsidRPr="00242020" w:rsidRDefault="00135105" w:rsidP="00135105">
            <w:pPr>
              <w:ind w:firstLine="0"/>
              <w:jc w:val="center"/>
              <w:cnfStyle w:val="000000010000"/>
              <w:rPr>
                <w:b/>
                <w:i/>
                <w:iCs/>
                <w:sz w:val="20"/>
              </w:rPr>
            </w:pPr>
            <w:r w:rsidRPr="00242020">
              <w:rPr>
                <w:b/>
                <w:i/>
                <w:iCs/>
                <w:sz w:val="20"/>
              </w:rPr>
              <w:t>1</w:t>
            </w:r>
          </w:p>
        </w:tc>
        <w:tc>
          <w:tcPr>
            <w:cnfStyle w:val="000010000000"/>
            <w:tcW w:w="363" w:type="dxa"/>
            <w:shd w:val="clear" w:color="auto" w:fill="auto"/>
            <w:vAlign w:val="center"/>
          </w:tcPr>
          <w:p w:rsidR="00135105" w:rsidRPr="00242020" w:rsidRDefault="00135105" w:rsidP="00135105">
            <w:pPr>
              <w:ind w:firstLine="0"/>
              <w:jc w:val="center"/>
              <w:rPr>
                <w:b/>
                <w:i/>
                <w:iCs/>
                <w:sz w:val="20"/>
              </w:rPr>
            </w:pPr>
          </w:p>
        </w:tc>
        <w:tc>
          <w:tcPr>
            <w:tcW w:w="434" w:type="dxa"/>
            <w:shd w:val="clear" w:color="auto" w:fill="auto"/>
            <w:vAlign w:val="center"/>
          </w:tcPr>
          <w:p w:rsidR="00135105" w:rsidRPr="00242020" w:rsidRDefault="00135105" w:rsidP="00135105">
            <w:pPr>
              <w:ind w:firstLine="0"/>
              <w:jc w:val="center"/>
              <w:cnfStyle w:val="000000010000"/>
              <w:rPr>
                <w:b/>
                <w:i/>
                <w:iCs/>
                <w:sz w:val="20"/>
              </w:rPr>
            </w:pPr>
          </w:p>
        </w:tc>
        <w:tc>
          <w:tcPr>
            <w:cnfStyle w:val="000010000000"/>
            <w:tcW w:w="916" w:type="dxa"/>
            <w:shd w:val="clear" w:color="auto" w:fill="auto"/>
            <w:vAlign w:val="center"/>
          </w:tcPr>
          <w:p w:rsidR="00135105" w:rsidRPr="00242020" w:rsidRDefault="00135105" w:rsidP="00135105">
            <w:pPr>
              <w:ind w:firstLine="0"/>
              <w:jc w:val="center"/>
              <w:rPr>
                <w:sz w:val="20"/>
              </w:rPr>
            </w:pPr>
            <w:r w:rsidRPr="00242020">
              <w:rPr>
                <w:sz w:val="20"/>
              </w:rPr>
              <w:t>4203</w:t>
            </w:r>
          </w:p>
        </w:tc>
        <w:tc>
          <w:tcPr>
            <w:tcW w:w="91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3991</w:t>
            </w:r>
          </w:p>
        </w:tc>
        <w:tc>
          <w:tcPr>
            <w:cnfStyle w:val="000010000000"/>
            <w:tcW w:w="732" w:type="dxa"/>
            <w:shd w:val="clear" w:color="auto" w:fill="auto"/>
            <w:noWrap/>
            <w:vAlign w:val="center"/>
          </w:tcPr>
          <w:p w:rsidR="00135105" w:rsidRPr="00242020" w:rsidRDefault="00135105" w:rsidP="00135105">
            <w:pPr>
              <w:ind w:firstLine="0"/>
              <w:jc w:val="center"/>
              <w:rPr>
                <w:sz w:val="20"/>
              </w:rPr>
            </w:pPr>
            <w:r w:rsidRPr="00242020">
              <w:rPr>
                <w:sz w:val="20"/>
              </w:rPr>
              <w:t>145</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42</w:t>
            </w:r>
          </w:p>
        </w:tc>
        <w:tc>
          <w:tcPr>
            <w:cnfStyle w:val="000010000000"/>
            <w:tcW w:w="656" w:type="dxa"/>
            <w:shd w:val="clear" w:color="auto" w:fill="auto"/>
            <w:noWrap/>
            <w:vAlign w:val="center"/>
          </w:tcPr>
          <w:p w:rsidR="00135105" w:rsidRPr="00242020" w:rsidRDefault="00135105" w:rsidP="00135105">
            <w:pPr>
              <w:ind w:firstLine="0"/>
              <w:jc w:val="center"/>
              <w:rPr>
                <w:sz w:val="20"/>
              </w:rPr>
            </w:pPr>
            <w:r w:rsidRPr="00242020">
              <w:rPr>
                <w:sz w:val="20"/>
              </w:rPr>
              <w:t>14</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11</w:t>
            </w:r>
          </w:p>
        </w:tc>
      </w:tr>
      <w:tr w:rsidR="00135105" w:rsidRPr="00242020" w:rsidTr="00EF2524">
        <w:trPr>
          <w:cnfStyle w:val="000000100000"/>
          <w:trHeight w:hRule="exact" w:val="266"/>
        </w:trPr>
        <w:tc>
          <w:tcPr>
            <w:cnfStyle w:val="000010000000"/>
            <w:tcW w:w="434" w:type="dxa"/>
            <w:vAlign w:val="center"/>
          </w:tcPr>
          <w:p w:rsidR="00135105" w:rsidRPr="00242020" w:rsidRDefault="00135105" w:rsidP="00EF2524">
            <w:pPr>
              <w:ind w:left="-52" w:right="-88" w:firstLine="0"/>
              <w:jc w:val="center"/>
              <w:rPr>
                <w:sz w:val="20"/>
              </w:rPr>
            </w:pPr>
            <w:r w:rsidRPr="00242020">
              <w:rPr>
                <w:sz w:val="20"/>
              </w:rPr>
              <w:t>12</w:t>
            </w:r>
          </w:p>
        </w:tc>
        <w:tc>
          <w:tcPr>
            <w:tcW w:w="2509" w:type="dxa"/>
            <w:gridSpan w:val="2"/>
            <w:vAlign w:val="center"/>
          </w:tcPr>
          <w:p w:rsidR="00135105" w:rsidRPr="00242020" w:rsidRDefault="00135105" w:rsidP="00135105">
            <w:pPr>
              <w:ind w:firstLine="0"/>
              <w:cnfStyle w:val="000000100000"/>
              <w:rPr>
                <w:sz w:val="20"/>
              </w:rPr>
            </w:pPr>
            <w:r w:rsidRPr="00242020">
              <w:rPr>
                <w:sz w:val="20"/>
              </w:rPr>
              <w:t>Львівська область</w:t>
            </w:r>
          </w:p>
        </w:tc>
        <w:tc>
          <w:tcPr>
            <w:cnfStyle w:val="000010000000"/>
            <w:tcW w:w="916" w:type="dxa"/>
            <w:vAlign w:val="center"/>
          </w:tcPr>
          <w:p w:rsidR="00135105" w:rsidRPr="00242020" w:rsidRDefault="00135105" w:rsidP="00135105">
            <w:pPr>
              <w:ind w:firstLine="0"/>
              <w:jc w:val="center"/>
              <w:rPr>
                <w:sz w:val="20"/>
              </w:rPr>
            </w:pPr>
            <w:r w:rsidRPr="00242020">
              <w:rPr>
                <w:sz w:val="20"/>
              </w:rPr>
              <w:t>11368</w:t>
            </w:r>
          </w:p>
        </w:tc>
        <w:tc>
          <w:tcPr>
            <w:tcW w:w="916" w:type="dxa"/>
            <w:noWrap/>
            <w:vAlign w:val="center"/>
          </w:tcPr>
          <w:p w:rsidR="00135105" w:rsidRPr="00242020" w:rsidRDefault="00135105" w:rsidP="00135105">
            <w:pPr>
              <w:ind w:firstLine="0"/>
              <w:jc w:val="center"/>
              <w:cnfStyle w:val="000000100000"/>
              <w:rPr>
                <w:sz w:val="20"/>
              </w:rPr>
            </w:pPr>
            <w:r w:rsidRPr="00242020">
              <w:rPr>
                <w:sz w:val="20"/>
              </w:rPr>
              <w:t>11089</w:t>
            </w:r>
          </w:p>
        </w:tc>
        <w:tc>
          <w:tcPr>
            <w:cnfStyle w:val="000010000000"/>
            <w:tcW w:w="781" w:type="dxa"/>
            <w:noWrap/>
            <w:vAlign w:val="center"/>
          </w:tcPr>
          <w:p w:rsidR="00135105" w:rsidRPr="00242020" w:rsidRDefault="00135105" w:rsidP="00135105">
            <w:pPr>
              <w:ind w:firstLine="0"/>
              <w:jc w:val="center"/>
              <w:rPr>
                <w:sz w:val="20"/>
              </w:rPr>
            </w:pPr>
            <w:r w:rsidRPr="00242020">
              <w:rPr>
                <w:sz w:val="20"/>
              </w:rPr>
              <w:t>89</w:t>
            </w:r>
          </w:p>
        </w:tc>
        <w:tc>
          <w:tcPr>
            <w:tcW w:w="656" w:type="dxa"/>
            <w:noWrap/>
            <w:vAlign w:val="center"/>
          </w:tcPr>
          <w:p w:rsidR="00135105" w:rsidRPr="00242020" w:rsidRDefault="00135105" w:rsidP="00135105">
            <w:pPr>
              <w:ind w:firstLine="0"/>
              <w:jc w:val="center"/>
              <w:cnfStyle w:val="000000100000"/>
              <w:rPr>
                <w:sz w:val="20"/>
              </w:rPr>
            </w:pPr>
            <w:r w:rsidRPr="00242020">
              <w:rPr>
                <w:sz w:val="20"/>
              </w:rPr>
              <w:t>66</w:t>
            </w:r>
          </w:p>
        </w:tc>
        <w:tc>
          <w:tcPr>
            <w:cnfStyle w:val="000010000000"/>
            <w:tcW w:w="656" w:type="dxa"/>
            <w:noWrap/>
            <w:vAlign w:val="center"/>
          </w:tcPr>
          <w:p w:rsidR="00135105" w:rsidRPr="00242020" w:rsidRDefault="00135105" w:rsidP="00135105">
            <w:pPr>
              <w:ind w:firstLine="0"/>
              <w:jc w:val="center"/>
              <w:rPr>
                <w:sz w:val="20"/>
              </w:rPr>
            </w:pPr>
            <w:r w:rsidRPr="00242020">
              <w:rPr>
                <w:sz w:val="20"/>
              </w:rPr>
              <w:t>65</w:t>
            </w:r>
          </w:p>
        </w:tc>
        <w:tc>
          <w:tcPr>
            <w:tcW w:w="656" w:type="dxa"/>
            <w:noWrap/>
            <w:vAlign w:val="center"/>
          </w:tcPr>
          <w:p w:rsidR="00135105" w:rsidRPr="00242020" w:rsidRDefault="00135105" w:rsidP="00135105">
            <w:pPr>
              <w:ind w:firstLine="0"/>
              <w:jc w:val="center"/>
              <w:cnfStyle w:val="000000100000"/>
              <w:rPr>
                <w:sz w:val="20"/>
              </w:rPr>
            </w:pPr>
            <w:r w:rsidRPr="00242020">
              <w:rPr>
                <w:sz w:val="20"/>
              </w:rPr>
              <w:t>59</w:t>
            </w:r>
          </w:p>
        </w:tc>
        <w:tc>
          <w:tcPr>
            <w:cnfStyle w:val="000010000000"/>
            <w:tcW w:w="897" w:type="dxa"/>
            <w:noWrap/>
            <w:vAlign w:val="center"/>
          </w:tcPr>
          <w:p w:rsidR="00135105" w:rsidRPr="00242020" w:rsidRDefault="00135105" w:rsidP="00135105">
            <w:pPr>
              <w:ind w:firstLine="0"/>
              <w:jc w:val="center"/>
              <w:rPr>
                <w:b/>
                <w:i/>
                <w:iCs/>
                <w:sz w:val="20"/>
              </w:rPr>
            </w:pPr>
            <w:r w:rsidRPr="00242020">
              <w:rPr>
                <w:b/>
                <w:i/>
                <w:iCs/>
                <w:sz w:val="20"/>
              </w:rPr>
              <w:t>121</w:t>
            </w:r>
          </w:p>
        </w:tc>
        <w:tc>
          <w:tcPr>
            <w:tcW w:w="516" w:type="dxa"/>
            <w:noWrap/>
            <w:vAlign w:val="center"/>
          </w:tcPr>
          <w:p w:rsidR="00135105" w:rsidRPr="00242020" w:rsidRDefault="00135105" w:rsidP="00135105">
            <w:pPr>
              <w:ind w:firstLine="0"/>
              <w:jc w:val="center"/>
              <w:cnfStyle w:val="000000100000"/>
              <w:rPr>
                <w:b/>
                <w:i/>
                <w:iCs/>
                <w:sz w:val="20"/>
              </w:rPr>
            </w:pPr>
            <w:r w:rsidRPr="00242020">
              <w:rPr>
                <w:b/>
                <w:i/>
                <w:iCs/>
                <w:sz w:val="20"/>
              </w:rPr>
              <w:t>119</w:t>
            </w:r>
          </w:p>
        </w:tc>
        <w:tc>
          <w:tcPr>
            <w:cnfStyle w:val="000010000000"/>
            <w:tcW w:w="503" w:type="dxa"/>
            <w:vAlign w:val="center"/>
          </w:tcPr>
          <w:p w:rsidR="00135105" w:rsidRPr="00242020" w:rsidRDefault="00135105" w:rsidP="00135105">
            <w:pPr>
              <w:ind w:firstLine="0"/>
              <w:jc w:val="center"/>
              <w:rPr>
                <w:b/>
                <w:i/>
                <w:iCs/>
                <w:sz w:val="20"/>
              </w:rPr>
            </w:pPr>
          </w:p>
        </w:tc>
        <w:tc>
          <w:tcPr>
            <w:tcW w:w="436" w:type="dxa"/>
            <w:noWrap/>
            <w:vAlign w:val="center"/>
          </w:tcPr>
          <w:p w:rsidR="00135105" w:rsidRPr="00242020" w:rsidRDefault="00135105" w:rsidP="00135105">
            <w:pPr>
              <w:ind w:firstLine="0"/>
              <w:jc w:val="center"/>
              <w:cnfStyle w:val="000000100000"/>
              <w:rPr>
                <w:b/>
                <w:i/>
                <w:iCs/>
                <w:sz w:val="20"/>
              </w:rPr>
            </w:pPr>
            <w:r w:rsidRPr="00242020">
              <w:rPr>
                <w:b/>
                <w:i/>
                <w:iCs/>
                <w:sz w:val="20"/>
              </w:rPr>
              <w:t>1</w:t>
            </w:r>
          </w:p>
        </w:tc>
        <w:tc>
          <w:tcPr>
            <w:cnfStyle w:val="000010000000"/>
            <w:tcW w:w="363" w:type="dxa"/>
            <w:vAlign w:val="center"/>
          </w:tcPr>
          <w:p w:rsidR="00135105" w:rsidRPr="00242020" w:rsidRDefault="00135105" w:rsidP="00135105">
            <w:pPr>
              <w:ind w:firstLine="0"/>
              <w:jc w:val="center"/>
              <w:rPr>
                <w:b/>
                <w:i/>
                <w:iCs/>
                <w:sz w:val="20"/>
              </w:rPr>
            </w:pPr>
          </w:p>
        </w:tc>
        <w:tc>
          <w:tcPr>
            <w:tcW w:w="434" w:type="dxa"/>
            <w:vAlign w:val="center"/>
          </w:tcPr>
          <w:p w:rsidR="00135105" w:rsidRPr="00242020" w:rsidRDefault="00135105" w:rsidP="00135105">
            <w:pPr>
              <w:ind w:firstLine="0"/>
              <w:jc w:val="center"/>
              <w:cnfStyle w:val="000000100000"/>
              <w:rPr>
                <w:b/>
                <w:i/>
                <w:iCs/>
                <w:sz w:val="20"/>
              </w:rPr>
            </w:pPr>
            <w:r w:rsidRPr="00242020">
              <w:rPr>
                <w:b/>
                <w:i/>
                <w:iCs/>
                <w:sz w:val="20"/>
              </w:rPr>
              <w:t>1</w:t>
            </w:r>
          </w:p>
        </w:tc>
        <w:tc>
          <w:tcPr>
            <w:cnfStyle w:val="000010000000"/>
            <w:tcW w:w="916" w:type="dxa"/>
            <w:vAlign w:val="center"/>
          </w:tcPr>
          <w:p w:rsidR="00135105" w:rsidRPr="00242020" w:rsidRDefault="00135105" w:rsidP="00135105">
            <w:pPr>
              <w:ind w:firstLine="0"/>
              <w:jc w:val="center"/>
              <w:rPr>
                <w:sz w:val="20"/>
              </w:rPr>
            </w:pPr>
            <w:r w:rsidRPr="00242020">
              <w:rPr>
                <w:sz w:val="20"/>
              </w:rPr>
              <w:t>11489</w:t>
            </w:r>
          </w:p>
        </w:tc>
        <w:tc>
          <w:tcPr>
            <w:tcW w:w="916" w:type="dxa"/>
            <w:noWrap/>
            <w:vAlign w:val="center"/>
          </w:tcPr>
          <w:p w:rsidR="00135105" w:rsidRPr="00242020" w:rsidRDefault="00135105" w:rsidP="00135105">
            <w:pPr>
              <w:ind w:firstLine="0"/>
              <w:jc w:val="center"/>
              <w:cnfStyle w:val="000000100000"/>
              <w:rPr>
                <w:sz w:val="20"/>
              </w:rPr>
            </w:pPr>
            <w:r w:rsidRPr="00242020">
              <w:rPr>
                <w:sz w:val="20"/>
              </w:rPr>
              <w:t>11208</w:t>
            </w:r>
          </w:p>
        </w:tc>
        <w:tc>
          <w:tcPr>
            <w:cnfStyle w:val="000010000000"/>
            <w:tcW w:w="732" w:type="dxa"/>
            <w:noWrap/>
            <w:vAlign w:val="center"/>
          </w:tcPr>
          <w:p w:rsidR="00135105" w:rsidRPr="00242020" w:rsidRDefault="00135105" w:rsidP="00135105">
            <w:pPr>
              <w:ind w:firstLine="0"/>
              <w:jc w:val="center"/>
              <w:rPr>
                <w:sz w:val="20"/>
              </w:rPr>
            </w:pPr>
            <w:r w:rsidRPr="00242020">
              <w:rPr>
                <w:sz w:val="20"/>
              </w:rPr>
              <w:t>89</w:t>
            </w:r>
          </w:p>
        </w:tc>
        <w:tc>
          <w:tcPr>
            <w:tcW w:w="656" w:type="dxa"/>
            <w:noWrap/>
            <w:vAlign w:val="center"/>
          </w:tcPr>
          <w:p w:rsidR="00135105" w:rsidRPr="00242020" w:rsidRDefault="00135105" w:rsidP="00135105">
            <w:pPr>
              <w:ind w:firstLine="0"/>
              <w:jc w:val="center"/>
              <w:cnfStyle w:val="000000100000"/>
              <w:rPr>
                <w:sz w:val="20"/>
              </w:rPr>
            </w:pPr>
            <w:r w:rsidRPr="00242020">
              <w:rPr>
                <w:sz w:val="20"/>
              </w:rPr>
              <w:t>67</w:t>
            </w:r>
          </w:p>
        </w:tc>
        <w:tc>
          <w:tcPr>
            <w:cnfStyle w:val="000010000000"/>
            <w:tcW w:w="656" w:type="dxa"/>
            <w:noWrap/>
            <w:vAlign w:val="center"/>
          </w:tcPr>
          <w:p w:rsidR="00135105" w:rsidRPr="00242020" w:rsidRDefault="00135105" w:rsidP="00135105">
            <w:pPr>
              <w:ind w:firstLine="0"/>
              <w:jc w:val="center"/>
              <w:rPr>
                <w:sz w:val="20"/>
              </w:rPr>
            </w:pPr>
            <w:r w:rsidRPr="00242020">
              <w:rPr>
                <w:sz w:val="20"/>
              </w:rPr>
              <w:t>65</w:t>
            </w:r>
          </w:p>
        </w:tc>
        <w:tc>
          <w:tcPr>
            <w:tcW w:w="656" w:type="dxa"/>
            <w:noWrap/>
            <w:vAlign w:val="center"/>
          </w:tcPr>
          <w:p w:rsidR="00135105" w:rsidRPr="00242020" w:rsidRDefault="00135105" w:rsidP="00135105">
            <w:pPr>
              <w:ind w:firstLine="0"/>
              <w:jc w:val="center"/>
              <w:cnfStyle w:val="000000100000"/>
              <w:rPr>
                <w:sz w:val="20"/>
              </w:rPr>
            </w:pPr>
            <w:r w:rsidRPr="00242020">
              <w:rPr>
                <w:sz w:val="20"/>
              </w:rPr>
              <w:t>60</w:t>
            </w:r>
          </w:p>
        </w:tc>
      </w:tr>
      <w:tr w:rsidR="00EF2524" w:rsidRPr="00242020" w:rsidTr="00EF2524">
        <w:trPr>
          <w:cnfStyle w:val="000000010000"/>
          <w:trHeight w:hRule="exact" w:val="266"/>
        </w:trPr>
        <w:tc>
          <w:tcPr>
            <w:cnfStyle w:val="000010000000"/>
            <w:tcW w:w="434" w:type="dxa"/>
            <w:shd w:val="clear" w:color="auto" w:fill="auto"/>
            <w:vAlign w:val="center"/>
          </w:tcPr>
          <w:p w:rsidR="00135105" w:rsidRPr="00242020" w:rsidRDefault="00135105" w:rsidP="00EF2524">
            <w:pPr>
              <w:ind w:left="-52" w:right="-88" w:firstLine="0"/>
              <w:jc w:val="center"/>
              <w:rPr>
                <w:sz w:val="20"/>
              </w:rPr>
            </w:pPr>
            <w:r w:rsidRPr="00242020">
              <w:rPr>
                <w:sz w:val="20"/>
              </w:rPr>
              <w:t>13</w:t>
            </w:r>
          </w:p>
        </w:tc>
        <w:tc>
          <w:tcPr>
            <w:tcW w:w="2509" w:type="dxa"/>
            <w:gridSpan w:val="2"/>
            <w:shd w:val="clear" w:color="auto" w:fill="auto"/>
            <w:vAlign w:val="center"/>
          </w:tcPr>
          <w:p w:rsidR="00135105" w:rsidRPr="00242020" w:rsidRDefault="00135105" w:rsidP="00135105">
            <w:pPr>
              <w:ind w:firstLine="0"/>
              <w:cnfStyle w:val="000000010000"/>
              <w:rPr>
                <w:sz w:val="20"/>
              </w:rPr>
            </w:pPr>
            <w:r w:rsidRPr="00242020">
              <w:rPr>
                <w:sz w:val="20"/>
              </w:rPr>
              <w:t>Миколаївська область</w:t>
            </w:r>
          </w:p>
        </w:tc>
        <w:tc>
          <w:tcPr>
            <w:cnfStyle w:val="000010000000"/>
            <w:tcW w:w="916" w:type="dxa"/>
            <w:shd w:val="clear" w:color="auto" w:fill="auto"/>
            <w:vAlign w:val="center"/>
          </w:tcPr>
          <w:p w:rsidR="00135105" w:rsidRPr="00242020" w:rsidRDefault="00135105" w:rsidP="00135105">
            <w:pPr>
              <w:ind w:firstLine="0"/>
              <w:jc w:val="center"/>
              <w:rPr>
                <w:sz w:val="20"/>
              </w:rPr>
            </w:pPr>
            <w:r w:rsidRPr="00242020">
              <w:rPr>
                <w:sz w:val="20"/>
              </w:rPr>
              <w:t>2931</w:t>
            </w:r>
          </w:p>
        </w:tc>
        <w:tc>
          <w:tcPr>
            <w:tcW w:w="91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2730</w:t>
            </w:r>
          </w:p>
        </w:tc>
        <w:tc>
          <w:tcPr>
            <w:cnfStyle w:val="000010000000"/>
            <w:tcW w:w="781" w:type="dxa"/>
            <w:shd w:val="clear" w:color="auto" w:fill="auto"/>
            <w:noWrap/>
            <w:vAlign w:val="center"/>
          </w:tcPr>
          <w:p w:rsidR="00135105" w:rsidRPr="00242020" w:rsidRDefault="00135105" w:rsidP="00135105">
            <w:pPr>
              <w:ind w:firstLine="0"/>
              <w:jc w:val="center"/>
              <w:rPr>
                <w:sz w:val="20"/>
              </w:rPr>
            </w:pPr>
            <w:r w:rsidRPr="00242020">
              <w:rPr>
                <w:sz w:val="20"/>
              </w:rPr>
              <w:t>133</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40</w:t>
            </w:r>
          </w:p>
        </w:tc>
        <w:tc>
          <w:tcPr>
            <w:cnfStyle w:val="000010000000"/>
            <w:tcW w:w="656" w:type="dxa"/>
            <w:shd w:val="clear" w:color="auto" w:fill="auto"/>
            <w:noWrap/>
            <w:vAlign w:val="center"/>
          </w:tcPr>
          <w:p w:rsidR="00135105" w:rsidRPr="00242020" w:rsidRDefault="00135105" w:rsidP="00135105">
            <w:pPr>
              <w:ind w:firstLine="0"/>
              <w:jc w:val="center"/>
              <w:rPr>
                <w:sz w:val="20"/>
              </w:rPr>
            </w:pPr>
            <w:r w:rsidRPr="00242020">
              <w:rPr>
                <w:sz w:val="20"/>
              </w:rPr>
              <w:t>11</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17</w:t>
            </w:r>
          </w:p>
        </w:tc>
        <w:tc>
          <w:tcPr>
            <w:cnfStyle w:val="000010000000"/>
            <w:tcW w:w="897" w:type="dxa"/>
            <w:shd w:val="clear" w:color="auto" w:fill="auto"/>
            <w:noWrap/>
            <w:vAlign w:val="center"/>
          </w:tcPr>
          <w:p w:rsidR="00135105" w:rsidRPr="00242020" w:rsidRDefault="00135105" w:rsidP="00135105">
            <w:pPr>
              <w:ind w:firstLine="0"/>
              <w:jc w:val="center"/>
              <w:rPr>
                <w:b/>
                <w:i/>
                <w:iCs/>
                <w:sz w:val="20"/>
              </w:rPr>
            </w:pPr>
            <w:r w:rsidRPr="00242020">
              <w:rPr>
                <w:b/>
                <w:i/>
                <w:iCs/>
                <w:sz w:val="20"/>
              </w:rPr>
              <w:t>22</w:t>
            </w:r>
          </w:p>
        </w:tc>
        <w:tc>
          <w:tcPr>
            <w:tcW w:w="516" w:type="dxa"/>
            <w:shd w:val="clear" w:color="auto" w:fill="auto"/>
            <w:noWrap/>
            <w:vAlign w:val="center"/>
          </w:tcPr>
          <w:p w:rsidR="00135105" w:rsidRPr="00242020" w:rsidRDefault="00135105" w:rsidP="00135105">
            <w:pPr>
              <w:ind w:firstLine="0"/>
              <w:jc w:val="center"/>
              <w:cnfStyle w:val="000000010000"/>
              <w:rPr>
                <w:b/>
                <w:i/>
                <w:iCs/>
                <w:sz w:val="20"/>
              </w:rPr>
            </w:pPr>
            <w:r w:rsidRPr="00242020">
              <w:rPr>
                <w:b/>
                <w:i/>
                <w:iCs/>
                <w:sz w:val="20"/>
              </w:rPr>
              <w:t>22</w:t>
            </w:r>
          </w:p>
        </w:tc>
        <w:tc>
          <w:tcPr>
            <w:cnfStyle w:val="000010000000"/>
            <w:tcW w:w="503" w:type="dxa"/>
            <w:shd w:val="clear" w:color="auto" w:fill="auto"/>
            <w:vAlign w:val="center"/>
          </w:tcPr>
          <w:p w:rsidR="00135105" w:rsidRPr="00242020" w:rsidRDefault="00135105" w:rsidP="00135105">
            <w:pPr>
              <w:ind w:firstLine="0"/>
              <w:jc w:val="center"/>
              <w:rPr>
                <w:b/>
                <w:i/>
                <w:iCs/>
                <w:sz w:val="20"/>
              </w:rPr>
            </w:pPr>
          </w:p>
        </w:tc>
        <w:tc>
          <w:tcPr>
            <w:tcW w:w="436" w:type="dxa"/>
            <w:shd w:val="clear" w:color="auto" w:fill="auto"/>
            <w:noWrap/>
            <w:vAlign w:val="center"/>
          </w:tcPr>
          <w:p w:rsidR="00135105" w:rsidRPr="00242020" w:rsidRDefault="00135105" w:rsidP="00135105">
            <w:pPr>
              <w:ind w:firstLine="0"/>
              <w:jc w:val="center"/>
              <w:cnfStyle w:val="000000010000"/>
              <w:rPr>
                <w:b/>
                <w:i/>
                <w:iCs/>
                <w:sz w:val="20"/>
              </w:rPr>
            </w:pPr>
          </w:p>
        </w:tc>
        <w:tc>
          <w:tcPr>
            <w:cnfStyle w:val="000010000000"/>
            <w:tcW w:w="363" w:type="dxa"/>
            <w:shd w:val="clear" w:color="auto" w:fill="auto"/>
            <w:vAlign w:val="center"/>
          </w:tcPr>
          <w:p w:rsidR="00135105" w:rsidRPr="00242020" w:rsidRDefault="00135105" w:rsidP="00135105">
            <w:pPr>
              <w:ind w:firstLine="0"/>
              <w:jc w:val="center"/>
              <w:rPr>
                <w:b/>
                <w:i/>
                <w:iCs/>
                <w:sz w:val="20"/>
              </w:rPr>
            </w:pPr>
          </w:p>
        </w:tc>
        <w:tc>
          <w:tcPr>
            <w:tcW w:w="434" w:type="dxa"/>
            <w:shd w:val="clear" w:color="auto" w:fill="auto"/>
            <w:vAlign w:val="center"/>
          </w:tcPr>
          <w:p w:rsidR="00135105" w:rsidRPr="00242020" w:rsidRDefault="00135105" w:rsidP="00135105">
            <w:pPr>
              <w:ind w:firstLine="0"/>
              <w:jc w:val="center"/>
              <w:cnfStyle w:val="000000010000"/>
              <w:rPr>
                <w:b/>
                <w:i/>
                <w:iCs/>
                <w:sz w:val="20"/>
              </w:rPr>
            </w:pPr>
          </w:p>
        </w:tc>
        <w:tc>
          <w:tcPr>
            <w:cnfStyle w:val="000010000000"/>
            <w:tcW w:w="916" w:type="dxa"/>
            <w:shd w:val="clear" w:color="auto" w:fill="auto"/>
            <w:vAlign w:val="center"/>
          </w:tcPr>
          <w:p w:rsidR="00135105" w:rsidRPr="00242020" w:rsidRDefault="00135105" w:rsidP="00135105">
            <w:pPr>
              <w:ind w:firstLine="0"/>
              <w:jc w:val="center"/>
              <w:rPr>
                <w:sz w:val="20"/>
              </w:rPr>
            </w:pPr>
            <w:r w:rsidRPr="00242020">
              <w:rPr>
                <w:sz w:val="20"/>
              </w:rPr>
              <w:t>2953</w:t>
            </w:r>
          </w:p>
        </w:tc>
        <w:tc>
          <w:tcPr>
            <w:tcW w:w="91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2752</w:t>
            </w:r>
          </w:p>
        </w:tc>
        <w:tc>
          <w:tcPr>
            <w:cnfStyle w:val="000010000000"/>
            <w:tcW w:w="732" w:type="dxa"/>
            <w:shd w:val="clear" w:color="auto" w:fill="auto"/>
            <w:noWrap/>
            <w:vAlign w:val="center"/>
          </w:tcPr>
          <w:p w:rsidR="00135105" w:rsidRPr="00242020" w:rsidRDefault="00135105" w:rsidP="00135105">
            <w:pPr>
              <w:ind w:firstLine="0"/>
              <w:jc w:val="center"/>
              <w:rPr>
                <w:sz w:val="20"/>
              </w:rPr>
            </w:pPr>
            <w:r w:rsidRPr="00242020">
              <w:rPr>
                <w:sz w:val="20"/>
              </w:rPr>
              <w:t>133</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40</w:t>
            </w:r>
          </w:p>
        </w:tc>
        <w:tc>
          <w:tcPr>
            <w:cnfStyle w:val="000010000000"/>
            <w:tcW w:w="656" w:type="dxa"/>
            <w:shd w:val="clear" w:color="auto" w:fill="auto"/>
            <w:noWrap/>
            <w:vAlign w:val="center"/>
          </w:tcPr>
          <w:p w:rsidR="00135105" w:rsidRPr="00242020" w:rsidRDefault="00135105" w:rsidP="00135105">
            <w:pPr>
              <w:ind w:firstLine="0"/>
              <w:jc w:val="center"/>
              <w:rPr>
                <w:sz w:val="20"/>
              </w:rPr>
            </w:pPr>
            <w:r w:rsidRPr="00242020">
              <w:rPr>
                <w:sz w:val="20"/>
              </w:rPr>
              <w:t>11</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17</w:t>
            </w:r>
          </w:p>
        </w:tc>
      </w:tr>
      <w:tr w:rsidR="00135105" w:rsidRPr="00242020" w:rsidTr="00EF2524">
        <w:trPr>
          <w:cnfStyle w:val="000000100000"/>
          <w:trHeight w:hRule="exact" w:val="266"/>
        </w:trPr>
        <w:tc>
          <w:tcPr>
            <w:cnfStyle w:val="000010000000"/>
            <w:tcW w:w="434" w:type="dxa"/>
            <w:vAlign w:val="center"/>
          </w:tcPr>
          <w:p w:rsidR="00135105" w:rsidRPr="00242020" w:rsidRDefault="00135105" w:rsidP="00EF2524">
            <w:pPr>
              <w:ind w:left="-52" w:right="-88" w:firstLine="0"/>
              <w:jc w:val="center"/>
              <w:rPr>
                <w:sz w:val="20"/>
              </w:rPr>
            </w:pPr>
            <w:r w:rsidRPr="00242020">
              <w:rPr>
                <w:sz w:val="20"/>
              </w:rPr>
              <w:t>14</w:t>
            </w:r>
          </w:p>
        </w:tc>
        <w:tc>
          <w:tcPr>
            <w:tcW w:w="2509" w:type="dxa"/>
            <w:gridSpan w:val="2"/>
            <w:vAlign w:val="center"/>
          </w:tcPr>
          <w:p w:rsidR="00135105" w:rsidRPr="00242020" w:rsidRDefault="00135105" w:rsidP="00135105">
            <w:pPr>
              <w:ind w:firstLine="0"/>
              <w:cnfStyle w:val="000000100000"/>
              <w:rPr>
                <w:sz w:val="20"/>
              </w:rPr>
            </w:pPr>
            <w:r w:rsidRPr="00242020">
              <w:rPr>
                <w:sz w:val="20"/>
              </w:rPr>
              <w:t>Одеська область</w:t>
            </w:r>
          </w:p>
        </w:tc>
        <w:tc>
          <w:tcPr>
            <w:cnfStyle w:val="000010000000"/>
            <w:tcW w:w="916" w:type="dxa"/>
            <w:vAlign w:val="center"/>
          </w:tcPr>
          <w:p w:rsidR="00135105" w:rsidRPr="00242020" w:rsidRDefault="00135105" w:rsidP="00135105">
            <w:pPr>
              <w:ind w:firstLine="0"/>
              <w:jc w:val="center"/>
              <w:rPr>
                <w:sz w:val="20"/>
              </w:rPr>
            </w:pPr>
            <w:r w:rsidRPr="00242020">
              <w:rPr>
                <w:sz w:val="20"/>
              </w:rPr>
              <w:t>3543</w:t>
            </w:r>
          </w:p>
        </w:tc>
        <w:tc>
          <w:tcPr>
            <w:tcW w:w="916" w:type="dxa"/>
            <w:noWrap/>
            <w:vAlign w:val="center"/>
          </w:tcPr>
          <w:p w:rsidR="00135105" w:rsidRPr="00242020" w:rsidRDefault="00135105" w:rsidP="00135105">
            <w:pPr>
              <w:ind w:firstLine="0"/>
              <w:jc w:val="center"/>
              <w:cnfStyle w:val="000000100000"/>
              <w:rPr>
                <w:sz w:val="20"/>
              </w:rPr>
            </w:pPr>
            <w:r w:rsidRPr="00242020">
              <w:rPr>
                <w:sz w:val="20"/>
              </w:rPr>
              <w:t>3321</w:t>
            </w:r>
          </w:p>
        </w:tc>
        <w:tc>
          <w:tcPr>
            <w:cnfStyle w:val="000010000000"/>
            <w:tcW w:w="781" w:type="dxa"/>
            <w:noWrap/>
            <w:vAlign w:val="center"/>
          </w:tcPr>
          <w:p w:rsidR="00135105" w:rsidRPr="00242020" w:rsidRDefault="00135105" w:rsidP="00135105">
            <w:pPr>
              <w:ind w:firstLine="0"/>
              <w:jc w:val="center"/>
              <w:rPr>
                <w:sz w:val="20"/>
              </w:rPr>
            </w:pPr>
            <w:r w:rsidRPr="00242020">
              <w:rPr>
                <w:sz w:val="20"/>
              </w:rPr>
              <w:t>109</w:t>
            </w:r>
          </w:p>
        </w:tc>
        <w:tc>
          <w:tcPr>
            <w:tcW w:w="656" w:type="dxa"/>
            <w:noWrap/>
            <w:vAlign w:val="center"/>
          </w:tcPr>
          <w:p w:rsidR="00135105" w:rsidRPr="00242020" w:rsidRDefault="00135105" w:rsidP="00135105">
            <w:pPr>
              <w:ind w:firstLine="0"/>
              <w:jc w:val="center"/>
              <w:cnfStyle w:val="000000100000"/>
              <w:rPr>
                <w:sz w:val="20"/>
              </w:rPr>
            </w:pPr>
            <w:r w:rsidRPr="00242020">
              <w:rPr>
                <w:sz w:val="20"/>
              </w:rPr>
              <w:t>72</w:t>
            </w:r>
          </w:p>
        </w:tc>
        <w:tc>
          <w:tcPr>
            <w:cnfStyle w:val="000010000000"/>
            <w:tcW w:w="656" w:type="dxa"/>
            <w:noWrap/>
            <w:vAlign w:val="center"/>
          </w:tcPr>
          <w:p w:rsidR="00135105" w:rsidRPr="00242020" w:rsidRDefault="00135105" w:rsidP="00135105">
            <w:pPr>
              <w:ind w:firstLine="0"/>
              <w:jc w:val="center"/>
              <w:rPr>
                <w:sz w:val="20"/>
              </w:rPr>
            </w:pPr>
            <w:r w:rsidRPr="00242020">
              <w:rPr>
                <w:sz w:val="20"/>
              </w:rPr>
              <w:t>20</w:t>
            </w:r>
          </w:p>
        </w:tc>
        <w:tc>
          <w:tcPr>
            <w:tcW w:w="656" w:type="dxa"/>
            <w:noWrap/>
            <w:vAlign w:val="center"/>
          </w:tcPr>
          <w:p w:rsidR="00135105" w:rsidRPr="00242020" w:rsidRDefault="00135105" w:rsidP="00135105">
            <w:pPr>
              <w:ind w:firstLine="0"/>
              <w:jc w:val="center"/>
              <w:cnfStyle w:val="000000100000"/>
              <w:rPr>
                <w:sz w:val="20"/>
              </w:rPr>
            </w:pPr>
            <w:r w:rsidRPr="00242020">
              <w:rPr>
                <w:sz w:val="20"/>
              </w:rPr>
              <w:t>21</w:t>
            </w:r>
          </w:p>
        </w:tc>
        <w:tc>
          <w:tcPr>
            <w:cnfStyle w:val="000010000000"/>
            <w:tcW w:w="897" w:type="dxa"/>
            <w:noWrap/>
            <w:vAlign w:val="center"/>
          </w:tcPr>
          <w:p w:rsidR="00135105" w:rsidRPr="00242020" w:rsidRDefault="00135105" w:rsidP="00135105">
            <w:pPr>
              <w:ind w:firstLine="0"/>
              <w:jc w:val="center"/>
              <w:rPr>
                <w:b/>
                <w:i/>
                <w:iCs/>
                <w:sz w:val="20"/>
              </w:rPr>
            </w:pPr>
            <w:r w:rsidRPr="00242020">
              <w:rPr>
                <w:b/>
                <w:i/>
                <w:iCs/>
                <w:sz w:val="20"/>
              </w:rPr>
              <w:t>0</w:t>
            </w:r>
          </w:p>
        </w:tc>
        <w:tc>
          <w:tcPr>
            <w:tcW w:w="516" w:type="dxa"/>
            <w:noWrap/>
            <w:vAlign w:val="center"/>
          </w:tcPr>
          <w:p w:rsidR="00135105" w:rsidRPr="00242020" w:rsidRDefault="00135105" w:rsidP="00135105">
            <w:pPr>
              <w:ind w:firstLine="0"/>
              <w:jc w:val="center"/>
              <w:cnfStyle w:val="000000100000"/>
              <w:rPr>
                <w:b/>
                <w:i/>
                <w:iCs/>
                <w:sz w:val="20"/>
              </w:rPr>
            </w:pPr>
          </w:p>
        </w:tc>
        <w:tc>
          <w:tcPr>
            <w:cnfStyle w:val="000010000000"/>
            <w:tcW w:w="503" w:type="dxa"/>
            <w:vAlign w:val="center"/>
          </w:tcPr>
          <w:p w:rsidR="00135105" w:rsidRPr="00242020" w:rsidRDefault="00135105" w:rsidP="00135105">
            <w:pPr>
              <w:ind w:firstLine="0"/>
              <w:jc w:val="center"/>
              <w:rPr>
                <w:b/>
                <w:i/>
                <w:iCs/>
                <w:sz w:val="20"/>
              </w:rPr>
            </w:pPr>
          </w:p>
        </w:tc>
        <w:tc>
          <w:tcPr>
            <w:tcW w:w="436" w:type="dxa"/>
            <w:noWrap/>
            <w:vAlign w:val="center"/>
          </w:tcPr>
          <w:p w:rsidR="00135105" w:rsidRPr="00242020" w:rsidRDefault="00135105" w:rsidP="00135105">
            <w:pPr>
              <w:ind w:firstLine="0"/>
              <w:jc w:val="center"/>
              <w:cnfStyle w:val="000000100000"/>
              <w:rPr>
                <w:b/>
                <w:i/>
                <w:iCs/>
                <w:sz w:val="20"/>
              </w:rPr>
            </w:pPr>
          </w:p>
        </w:tc>
        <w:tc>
          <w:tcPr>
            <w:cnfStyle w:val="000010000000"/>
            <w:tcW w:w="363" w:type="dxa"/>
            <w:vAlign w:val="center"/>
          </w:tcPr>
          <w:p w:rsidR="00135105" w:rsidRPr="00242020" w:rsidRDefault="00135105" w:rsidP="00135105">
            <w:pPr>
              <w:ind w:firstLine="0"/>
              <w:jc w:val="center"/>
              <w:rPr>
                <w:b/>
                <w:i/>
                <w:iCs/>
                <w:sz w:val="20"/>
              </w:rPr>
            </w:pPr>
          </w:p>
        </w:tc>
        <w:tc>
          <w:tcPr>
            <w:tcW w:w="434" w:type="dxa"/>
            <w:vAlign w:val="center"/>
          </w:tcPr>
          <w:p w:rsidR="00135105" w:rsidRPr="00242020" w:rsidRDefault="00135105" w:rsidP="00135105">
            <w:pPr>
              <w:ind w:firstLine="0"/>
              <w:jc w:val="center"/>
              <w:cnfStyle w:val="000000100000"/>
              <w:rPr>
                <w:b/>
                <w:i/>
                <w:iCs/>
                <w:sz w:val="20"/>
              </w:rPr>
            </w:pPr>
          </w:p>
        </w:tc>
        <w:tc>
          <w:tcPr>
            <w:cnfStyle w:val="000010000000"/>
            <w:tcW w:w="916" w:type="dxa"/>
            <w:vAlign w:val="center"/>
          </w:tcPr>
          <w:p w:rsidR="00135105" w:rsidRPr="00242020" w:rsidRDefault="00135105" w:rsidP="00135105">
            <w:pPr>
              <w:ind w:firstLine="0"/>
              <w:jc w:val="center"/>
              <w:rPr>
                <w:sz w:val="20"/>
              </w:rPr>
            </w:pPr>
            <w:r w:rsidRPr="00242020">
              <w:rPr>
                <w:sz w:val="20"/>
              </w:rPr>
              <w:t>3543</w:t>
            </w:r>
          </w:p>
        </w:tc>
        <w:tc>
          <w:tcPr>
            <w:tcW w:w="916" w:type="dxa"/>
            <w:noWrap/>
            <w:vAlign w:val="center"/>
          </w:tcPr>
          <w:p w:rsidR="00135105" w:rsidRPr="00242020" w:rsidRDefault="00135105" w:rsidP="00135105">
            <w:pPr>
              <w:ind w:firstLine="0"/>
              <w:jc w:val="center"/>
              <w:cnfStyle w:val="000000100000"/>
              <w:rPr>
                <w:sz w:val="20"/>
              </w:rPr>
            </w:pPr>
            <w:r w:rsidRPr="00242020">
              <w:rPr>
                <w:sz w:val="20"/>
              </w:rPr>
              <w:t>3321</w:t>
            </w:r>
          </w:p>
        </w:tc>
        <w:tc>
          <w:tcPr>
            <w:cnfStyle w:val="000010000000"/>
            <w:tcW w:w="732" w:type="dxa"/>
            <w:noWrap/>
            <w:vAlign w:val="center"/>
          </w:tcPr>
          <w:p w:rsidR="00135105" w:rsidRPr="00242020" w:rsidRDefault="00135105" w:rsidP="00135105">
            <w:pPr>
              <w:ind w:firstLine="0"/>
              <w:jc w:val="center"/>
              <w:rPr>
                <w:sz w:val="20"/>
              </w:rPr>
            </w:pPr>
            <w:r w:rsidRPr="00242020">
              <w:rPr>
                <w:sz w:val="20"/>
              </w:rPr>
              <w:t>109</w:t>
            </w:r>
          </w:p>
        </w:tc>
        <w:tc>
          <w:tcPr>
            <w:tcW w:w="656" w:type="dxa"/>
            <w:noWrap/>
            <w:vAlign w:val="center"/>
          </w:tcPr>
          <w:p w:rsidR="00135105" w:rsidRPr="00242020" w:rsidRDefault="00135105" w:rsidP="00135105">
            <w:pPr>
              <w:ind w:firstLine="0"/>
              <w:jc w:val="center"/>
              <w:cnfStyle w:val="000000100000"/>
              <w:rPr>
                <w:sz w:val="20"/>
              </w:rPr>
            </w:pPr>
            <w:r w:rsidRPr="00242020">
              <w:rPr>
                <w:sz w:val="20"/>
              </w:rPr>
              <w:t>72</w:t>
            </w:r>
          </w:p>
        </w:tc>
        <w:tc>
          <w:tcPr>
            <w:cnfStyle w:val="000010000000"/>
            <w:tcW w:w="656" w:type="dxa"/>
            <w:noWrap/>
            <w:vAlign w:val="center"/>
          </w:tcPr>
          <w:p w:rsidR="00135105" w:rsidRPr="00242020" w:rsidRDefault="00135105" w:rsidP="00135105">
            <w:pPr>
              <w:ind w:firstLine="0"/>
              <w:jc w:val="center"/>
              <w:rPr>
                <w:sz w:val="20"/>
              </w:rPr>
            </w:pPr>
            <w:r w:rsidRPr="00242020">
              <w:rPr>
                <w:sz w:val="20"/>
              </w:rPr>
              <w:t>20</w:t>
            </w:r>
          </w:p>
        </w:tc>
        <w:tc>
          <w:tcPr>
            <w:tcW w:w="656" w:type="dxa"/>
            <w:noWrap/>
            <w:vAlign w:val="center"/>
          </w:tcPr>
          <w:p w:rsidR="00135105" w:rsidRPr="00242020" w:rsidRDefault="00135105" w:rsidP="00135105">
            <w:pPr>
              <w:ind w:firstLine="0"/>
              <w:jc w:val="center"/>
              <w:cnfStyle w:val="000000100000"/>
              <w:rPr>
                <w:sz w:val="20"/>
              </w:rPr>
            </w:pPr>
            <w:r w:rsidRPr="00242020">
              <w:rPr>
                <w:sz w:val="20"/>
              </w:rPr>
              <w:t>21</w:t>
            </w:r>
          </w:p>
        </w:tc>
      </w:tr>
      <w:tr w:rsidR="00EF2524" w:rsidRPr="00242020" w:rsidTr="00EF2524">
        <w:trPr>
          <w:cnfStyle w:val="000000010000"/>
          <w:trHeight w:hRule="exact" w:val="266"/>
        </w:trPr>
        <w:tc>
          <w:tcPr>
            <w:cnfStyle w:val="000010000000"/>
            <w:tcW w:w="434" w:type="dxa"/>
            <w:shd w:val="clear" w:color="auto" w:fill="auto"/>
            <w:vAlign w:val="center"/>
          </w:tcPr>
          <w:p w:rsidR="00135105" w:rsidRPr="00242020" w:rsidRDefault="00135105" w:rsidP="00EF2524">
            <w:pPr>
              <w:ind w:left="-52" w:right="-88" w:firstLine="0"/>
              <w:jc w:val="center"/>
              <w:rPr>
                <w:sz w:val="20"/>
              </w:rPr>
            </w:pPr>
            <w:r w:rsidRPr="00242020">
              <w:rPr>
                <w:sz w:val="20"/>
              </w:rPr>
              <w:t>15</w:t>
            </w:r>
          </w:p>
        </w:tc>
        <w:tc>
          <w:tcPr>
            <w:tcW w:w="2509" w:type="dxa"/>
            <w:gridSpan w:val="2"/>
            <w:shd w:val="clear" w:color="auto" w:fill="auto"/>
            <w:vAlign w:val="center"/>
          </w:tcPr>
          <w:p w:rsidR="00135105" w:rsidRPr="00242020" w:rsidRDefault="00135105" w:rsidP="00135105">
            <w:pPr>
              <w:ind w:firstLine="0"/>
              <w:cnfStyle w:val="000000010000"/>
              <w:rPr>
                <w:sz w:val="20"/>
              </w:rPr>
            </w:pPr>
            <w:r w:rsidRPr="00242020">
              <w:rPr>
                <w:sz w:val="20"/>
              </w:rPr>
              <w:t>Полтавська область</w:t>
            </w:r>
          </w:p>
        </w:tc>
        <w:tc>
          <w:tcPr>
            <w:cnfStyle w:val="000010000000"/>
            <w:tcW w:w="916" w:type="dxa"/>
            <w:shd w:val="clear" w:color="auto" w:fill="auto"/>
            <w:vAlign w:val="center"/>
          </w:tcPr>
          <w:p w:rsidR="00135105" w:rsidRPr="00242020" w:rsidRDefault="00135105" w:rsidP="00135105">
            <w:pPr>
              <w:ind w:firstLine="0"/>
              <w:jc w:val="center"/>
              <w:rPr>
                <w:sz w:val="20"/>
              </w:rPr>
            </w:pPr>
            <w:r w:rsidRPr="00242020">
              <w:rPr>
                <w:sz w:val="20"/>
              </w:rPr>
              <w:t>2503</w:t>
            </w:r>
          </w:p>
        </w:tc>
        <w:tc>
          <w:tcPr>
            <w:tcW w:w="91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2391</w:t>
            </w:r>
          </w:p>
        </w:tc>
        <w:tc>
          <w:tcPr>
            <w:cnfStyle w:val="000010000000"/>
            <w:tcW w:w="781" w:type="dxa"/>
            <w:shd w:val="clear" w:color="auto" w:fill="auto"/>
            <w:noWrap/>
            <w:vAlign w:val="center"/>
          </w:tcPr>
          <w:p w:rsidR="00135105" w:rsidRPr="00242020" w:rsidRDefault="00135105" w:rsidP="00135105">
            <w:pPr>
              <w:ind w:firstLine="0"/>
              <w:jc w:val="center"/>
              <w:rPr>
                <w:sz w:val="20"/>
              </w:rPr>
            </w:pPr>
            <w:r w:rsidRPr="00242020">
              <w:rPr>
                <w:sz w:val="20"/>
              </w:rPr>
              <w:t>64</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36</w:t>
            </w:r>
          </w:p>
        </w:tc>
        <w:tc>
          <w:tcPr>
            <w:cnfStyle w:val="000010000000"/>
            <w:tcW w:w="656" w:type="dxa"/>
            <w:shd w:val="clear" w:color="auto" w:fill="auto"/>
            <w:noWrap/>
            <w:vAlign w:val="center"/>
          </w:tcPr>
          <w:p w:rsidR="00135105" w:rsidRPr="00242020" w:rsidRDefault="00135105" w:rsidP="00135105">
            <w:pPr>
              <w:ind w:firstLine="0"/>
              <w:jc w:val="center"/>
              <w:rPr>
                <w:sz w:val="20"/>
              </w:rPr>
            </w:pPr>
            <w:r w:rsidRPr="00242020">
              <w:rPr>
                <w:sz w:val="20"/>
              </w:rPr>
              <w:t>6</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6</w:t>
            </w:r>
          </w:p>
        </w:tc>
        <w:tc>
          <w:tcPr>
            <w:cnfStyle w:val="000010000000"/>
            <w:tcW w:w="897" w:type="dxa"/>
            <w:shd w:val="clear" w:color="auto" w:fill="auto"/>
            <w:noWrap/>
            <w:vAlign w:val="center"/>
          </w:tcPr>
          <w:p w:rsidR="00135105" w:rsidRPr="00242020" w:rsidRDefault="00135105" w:rsidP="00135105">
            <w:pPr>
              <w:ind w:firstLine="0"/>
              <w:jc w:val="center"/>
              <w:rPr>
                <w:b/>
                <w:i/>
                <w:iCs/>
                <w:sz w:val="20"/>
              </w:rPr>
            </w:pPr>
            <w:r w:rsidRPr="00242020">
              <w:rPr>
                <w:b/>
                <w:i/>
                <w:iCs/>
                <w:sz w:val="20"/>
              </w:rPr>
              <w:t>16</w:t>
            </w:r>
          </w:p>
        </w:tc>
        <w:tc>
          <w:tcPr>
            <w:tcW w:w="516" w:type="dxa"/>
            <w:shd w:val="clear" w:color="auto" w:fill="auto"/>
            <w:noWrap/>
            <w:vAlign w:val="center"/>
          </w:tcPr>
          <w:p w:rsidR="00135105" w:rsidRPr="00242020" w:rsidRDefault="00135105" w:rsidP="00135105">
            <w:pPr>
              <w:ind w:firstLine="0"/>
              <w:jc w:val="center"/>
              <w:cnfStyle w:val="000000010000"/>
              <w:rPr>
                <w:b/>
                <w:i/>
                <w:iCs/>
                <w:sz w:val="20"/>
              </w:rPr>
            </w:pPr>
            <w:r w:rsidRPr="00242020">
              <w:rPr>
                <w:b/>
                <w:i/>
                <w:iCs/>
                <w:sz w:val="20"/>
              </w:rPr>
              <w:t>16</w:t>
            </w:r>
          </w:p>
        </w:tc>
        <w:tc>
          <w:tcPr>
            <w:cnfStyle w:val="000010000000"/>
            <w:tcW w:w="503" w:type="dxa"/>
            <w:shd w:val="clear" w:color="auto" w:fill="auto"/>
            <w:vAlign w:val="center"/>
          </w:tcPr>
          <w:p w:rsidR="00135105" w:rsidRPr="00242020" w:rsidRDefault="00135105" w:rsidP="00135105">
            <w:pPr>
              <w:ind w:firstLine="0"/>
              <w:jc w:val="center"/>
              <w:rPr>
                <w:b/>
                <w:i/>
                <w:iCs/>
                <w:sz w:val="20"/>
              </w:rPr>
            </w:pPr>
          </w:p>
        </w:tc>
        <w:tc>
          <w:tcPr>
            <w:tcW w:w="436" w:type="dxa"/>
            <w:shd w:val="clear" w:color="auto" w:fill="auto"/>
            <w:noWrap/>
            <w:vAlign w:val="center"/>
          </w:tcPr>
          <w:p w:rsidR="00135105" w:rsidRPr="00242020" w:rsidRDefault="00135105" w:rsidP="00135105">
            <w:pPr>
              <w:ind w:firstLine="0"/>
              <w:jc w:val="center"/>
              <w:cnfStyle w:val="000000010000"/>
              <w:rPr>
                <w:b/>
                <w:i/>
                <w:iCs/>
                <w:sz w:val="20"/>
              </w:rPr>
            </w:pPr>
          </w:p>
        </w:tc>
        <w:tc>
          <w:tcPr>
            <w:cnfStyle w:val="000010000000"/>
            <w:tcW w:w="363" w:type="dxa"/>
            <w:shd w:val="clear" w:color="auto" w:fill="auto"/>
            <w:vAlign w:val="center"/>
          </w:tcPr>
          <w:p w:rsidR="00135105" w:rsidRPr="00242020" w:rsidRDefault="00135105" w:rsidP="00135105">
            <w:pPr>
              <w:ind w:firstLine="0"/>
              <w:jc w:val="center"/>
              <w:rPr>
                <w:b/>
                <w:i/>
                <w:iCs/>
                <w:sz w:val="20"/>
              </w:rPr>
            </w:pPr>
          </w:p>
        </w:tc>
        <w:tc>
          <w:tcPr>
            <w:tcW w:w="434" w:type="dxa"/>
            <w:shd w:val="clear" w:color="auto" w:fill="auto"/>
            <w:vAlign w:val="center"/>
          </w:tcPr>
          <w:p w:rsidR="00135105" w:rsidRPr="00242020" w:rsidRDefault="00135105" w:rsidP="00135105">
            <w:pPr>
              <w:ind w:firstLine="0"/>
              <w:jc w:val="center"/>
              <w:cnfStyle w:val="000000010000"/>
              <w:rPr>
                <w:b/>
                <w:i/>
                <w:iCs/>
                <w:sz w:val="20"/>
              </w:rPr>
            </w:pPr>
          </w:p>
        </w:tc>
        <w:tc>
          <w:tcPr>
            <w:cnfStyle w:val="000010000000"/>
            <w:tcW w:w="916" w:type="dxa"/>
            <w:shd w:val="clear" w:color="auto" w:fill="auto"/>
            <w:vAlign w:val="center"/>
          </w:tcPr>
          <w:p w:rsidR="00135105" w:rsidRPr="00242020" w:rsidRDefault="00135105" w:rsidP="00135105">
            <w:pPr>
              <w:ind w:firstLine="0"/>
              <w:jc w:val="center"/>
              <w:rPr>
                <w:sz w:val="20"/>
              </w:rPr>
            </w:pPr>
            <w:r w:rsidRPr="00242020">
              <w:rPr>
                <w:sz w:val="20"/>
              </w:rPr>
              <w:t>2519</w:t>
            </w:r>
          </w:p>
        </w:tc>
        <w:tc>
          <w:tcPr>
            <w:tcW w:w="91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2407</w:t>
            </w:r>
          </w:p>
        </w:tc>
        <w:tc>
          <w:tcPr>
            <w:cnfStyle w:val="000010000000"/>
            <w:tcW w:w="732" w:type="dxa"/>
            <w:shd w:val="clear" w:color="auto" w:fill="auto"/>
            <w:noWrap/>
            <w:vAlign w:val="center"/>
          </w:tcPr>
          <w:p w:rsidR="00135105" w:rsidRPr="00242020" w:rsidRDefault="00135105" w:rsidP="00135105">
            <w:pPr>
              <w:ind w:firstLine="0"/>
              <w:jc w:val="center"/>
              <w:rPr>
                <w:sz w:val="20"/>
              </w:rPr>
            </w:pPr>
            <w:r w:rsidRPr="00242020">
              <w:rPr>
                <w:sz w:val="20"/>
              </w:rPr>
              <w:t>64</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36</w:t>
            </w:r>
          </w:p>
        </w:tc>
        <w:tc>
          <w:tcPr>
            <w:cnfStyle w:val="000010000000"/>
            <w:tcW w:w="656" w:type="dxa"/>
            <w:shd w:val="clear" w:color="auto" w:fill="auto"/>
            <w:noWrap/>
            <w:vAlign w:val="center"/>
          </w:tcPr>
          <w:p w:rsidR="00135105" w:rsidRPr="00242020" w:rsidRDefault="00135105" w:rsidP="00135105">
            <w:pPr>
              <w:ind w:firstLine="0"/>
              <w:jc w:val="center"/>
              <w:rPr>
                <w:sz w:val="20"/>
              </w:rPr>
            </w:pPr>
            <w:r w:rsidRPr="00242020">
              <w:rPr>
                <w:sz w:val="20"/>
              </w:rPr>
              <w:t>6</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6</w:t>
            </w:r>
          </w:p>
        </w:tc>
      </w:tr>
      <w:tr w:rsidR="00135105" w:rsidRPr="00242020" w:rsidTr="00EF2524">
        <w:trPr>
          <w:cnfStyle w:val="000000100000"/>
          <w:trHeight w:hRule="exact" w:val="266"/>
        </w:trPr>
        <w:tc>
          <w:tcPr>
            <w:cnfStyle w:val="000010000000"/>
            <w:tcW w:w="434" w:type="dxa"/>
            <w:vAlign w:val="center"/>
          </w:tcPr>
          <w:p w:rsidR="00135105" w:rsidRPr="00242020" w:rsidRDefault="00135105" w:rsidP="00EF2524">
            <w:pPr>
              <w:ind w:left="-52" w:right="-88" w:firstLine="0"/>
              <w:jc w:val="center"/>
              <w:rPr>
                <w:sz w:val="20"/>
              </w:rPr>
            </w:pPr>
            <w:r w:rsidRPr="00242020">
              <w:rPr>
                <w:sz w:val="20"/>
              </w:rPr>
              <w:t>16</w:t>
            </w:r>
          </w:p>
        </w:tc>
        <w:tc>
          <w:tcPr>
            <w:tcW w:w="2509" w:type="dxa"/>
            <w:gridSpan w:val="2"/>
            <w:vAlign w:val="center"/>
          </w:tcPr>
          <w:p w:rsidR="00135105" w:rsidRPr="00242020" w:rsidRDefault="00135105" w:rsidP="00135105">
            <w:pPr>
              <w:ind w:firstLine="0"/>
              <w:cnfStyle w:val="000000100000"/>
              <w:rPr>
                <w:sz w:val="20"/>
              </w:rPr>
            </w:pPr>
            <w:r w:rsidRPr="00242020">
              <w:rPr>
                <w:sz w:val="20"/>
              </w:rPr>
              <w:t>Рівненська область</w:t>
            </w:r>
          </w:p>
        </w:tc>
        <w:tc>
          <w:tcPr>
            <w:cnfStyle w:val="000010000000"/>
            <w:tcW w:w="916" w:type="dxa"/>
            <w:vAlign w:val="center"/>
          </w:tcPr>
          <w:p w:rsidR="00135105" w:rsidRPr="00242020" w:rsidRDefault="00135105" w:rsidP="00135105">
            <w:pPr>
              <w:ind w:firstLine="0"/>
              <w:jc w:val="center"/>
              <w:rPr>
                <w:sz w:val="20"/>
              </w:rPr>
            </w:pPr>
            <w:r w:rsidRPr="00242020">
              <w:rPr>
                <w:sz w:val="20"/>
              </w:rPr>
              <w:t>1504</w:t>
            </w:r>
          </w:p>
        </w:tc>
        <w:tc>
          <w:tcPr>
            <w:tcW w:w="916" w:type="dxa"/>
            <w:noWrap/>
            <w:vAlign w:val="center"/>
          </w:tcPr>
          <w:p w:rsidR="00135105" w:rsidRPr="00242020" w:rsidRDefault="00135105" w:rsidP="00135105">
            <w:pPr>
              <w:ind w:firstLine="0"/>
              <w:jc w:val="center"/>
              <w:cnfStyle w:val="000000100000"/>
              <w:rPr>
                <w:sz w:val="20"/>
              </w:rPr>
            </w:pPr>
            <w:r w:rsidRPr="00242020">
              <w:rPr>
                <w:sz w:val="20"/>
              </w:rPr>
              <w:t>1454</w:t>
            </w:r>
          </w:p>
        </w:tc>
        <w:tc>
          <w:tcPr>
            <w:cnfStyle w:val="000010000000"/>
            <w:tcW w:w="781" w:type="dxa"/>
            <w:noWrap/>
            <w:vAlign w:val="center"/>
          </w:tcPr>
          <w:p w:rsidR="00135105" w:rsidRPr="00242020" w:rsidRDefault="00135105" w:rsidP="00135105">
            <w:pPr>
              <w:ind w:firstLine="0"/>
              <w:jc w:val="center"/>
              <w:rPr>
                <w:sz w:val="20"/>
              </w:rPr>
            </w:pPr>
            <w:r w:rsidRPr="00242020">
              <w:rPr>
                <w:sz w:val="20"/>
              </w:rPr>
              <w:t>31</w:t>
            </w:r>
          </w:p>
        </w:tc>
        <w:tc>
          <w:tcPr>
            <w:tcW w:w="656" w:type="dxa"/>
            <w:noWrap/>
            <w:vAlign w:val="center"/>
          </w:tcPr>
          <w:p w:rsidR="00135105" w:rsidRPr="00242020" w:rsidRDefault="00135105" w:rsidP="00135105">
            <w:pPr>
              <w:ind w:firstLine="0"/>
              <w:jc w:val="center"/>
              <w:cnfStyle w:val="000000100000"/>
              <w:rPr>
                <w:sz w:val="20"/>
              </w:rPr>
            </w:pPr>
            <w:r w:rsidRPr="00242020">
              <w:rPr>
                <w:sz w:val="20"/>
              </w:rPr>
              <w:t>11</w:t>
            </w:r>
          </w:p>
        </w:tc>
        <w:tc>
          <w:tcPr>
            <w:cnfStyle w:val="000010000000"/>
            <w:tcW w:w="656" w:type="dxa"/>
            <w:noWrap/>
            <w:vAlign w:val="center"/>
          </w:tcPr>
          <w:p w:rsidR="00135105" w:rsidRPr="00242020" w:rsidRDefault="00135105" w:rsidP="00135105">
            <w:pPr>
              <w:ind w:firstLine="0"/>
              <w:jc w:val="center"/>
              <w:rPr>
                <w:sz w:val="20"/>
              </w:rPr>
            </w:pPr>
            <w:r w:rsidRPr="00242020">
              <w:rPr>
                <w:sz w:val="20"/>
              </w:rPr>
              <w:t>1</w:t>
            </w:r>
          </w:p>
        </w:tc>
        <w:tc>
          <w:tcPr>
            <w:tcW w:w="656" w:type="dxa"/>
            <w:noWrap/>
            <w:vAlign w:val="center"/>
          </w:tcPr>
          <w:p w:rsidR="00135105" w:rsidRPr="00242020" w:rsidRDefault="00135105" w:rsidP="00135105">
            <w:pPr>
              <w:ind w:firstLine="0"/>
              <w:jc w:val="center"/>
              <w:cnfStyle w:val="000000100000"/>
              <w:rPr>
                <w:sz w:val="20"/>
              </w:rPr>
            </w:pPr>
            <w:r w:rsidRPr="00242020">
              <w:rPr>
                <w:sz w:val="20"/>
              </w:rPr>
              <w:t>7</w:t>
            </w:r>
          </w:p>
        </w:tc>
        <w:tc>
          <w:tcPr>
            <w:cnfStyle w:val="000010000000"/>
            <w:tcW w:w="897" w:type="dxa"/>
            <w:noWrap/>
            <w:vAlign w:val="center"/>
          </w:tcPr>
          <w:p w:rsidR="00135105" w:rsidRPr="00242020" w:rsidRDefault="00135105" w:rsidP="00135105">
            <w:pPr>
              <w:ind w:firstLine="0"/>
              <w:jc w:val="center"/>
              <w:rPr>
                <w:b/>
                <w:i/>
                <w:iCs/>
                <w:sz w:val="20"/>
              </w:rPr>
            </w:pPr>
            <w:r w:rsidRPr="00242020">
              <w:rPr>
                <w:b/>
                <w:i/>
                <w:iCs/>
                <w:sz w:val="20"/>
              </w:rPr>
              <w:t>6</w:t>
            </w:r>
          </w:p>
        </w:tc>
        <w:tc>
          <w:tcPr>
            <w:tcW w:w="516" w:type="dxa"/>
            <w:noWrap/>
            <w:vAlign w:val="center"/>
          </w:tcPr>
          <w:p w:rsidR="00135105" w:rsidRPr="00242020" w:rsidRDefault="00135105" w:rsidP="00135105">
            <w:pPr>
              <w:ind w:firstLine="0"/>
              <w:jc w:val="center"/>
              <w:cnfStyle w:val="000000100000"/>
              <w:rPr>
                <w:b/>
                <w:i/>
                <w:iCs/>
                <w:sz w:val="20"/>
              </w:rPr>
            </w:pPr>
            <w:r w:rsidRPr="00242020">
              <w:rPr>
                <w:b/>
                <w:i/>
                <w:iCs/>
                <w:sz w:val="20"/>
              </w:rPr>
              <w:t>6</w:t>
            </w:r>
          </w:p>
        </w:tc>
        <w:tc>
          <w:tcPr>
            <w:cnfStyle w:val="000010000000"/>
            <w:tcW w:w="503" w:type="dxa"/>
            <w:vAlign w:val="center"/>
          </w:tcPr>
          <w:p w:rsidR="00135105" w:rsidRPr="00242020" w:rsidRDefault="00135105" w:rsidP="00135105">
            <w:pPr>
              <w:ind w:firstLine="0"/>
              <w:jc w:val="center"/>
              <w:rPr>
                <w:b/>
                <w:i/>
                <w:iCs/>
                <w:sz w:val="20"/>
              </w:rPr>
            </w:pPr>
          </w:p>
        </w:tc>
        <w:tc>
          <w:tcPr>
            <w:tcW w:w="436" w:type="dxa"/>
            <w:noWrap/>
            <w:vAlign w:val="center"/>
          </w:tcPr>
          <w:p w:rsidR="00135105" w:rsidRPr="00242020" w:rsidRDefault="00135105" w:rsidP="00135105">
            <w:pPr>
              <w:ind w:firstLine="0"/>
              <w:jc w:val="center"/>
              <w:cnfStyle w:val="000000100000"/>
              <w:rPr>
                <w:b/>
                <w:i/>
                <w:iCs/>
                <w:sz w:val="20"/>
              </w:rPr>
            </w:pPr>
          </w:p>
        </w:tc>
        <w:tc>
          <w:tcPr>
            <w:cnfStyle w:val="000010000000"/>
            <w:tcW w:w="363" w:type="dxa"/>
            <w:vAlign w:val="center"/>
          </w:tcPr>
          <w:p w:rsidR="00135105" w:rsidRPr="00242020" w:rsidRDefault="00135105" w:rsidP="00135105">
            <w:pPr>
              <w:ind w:firstLine="0"/>
              <w:jc w:val="center"/>
              <w:rPr>
                <w:b/>
                <w:i/>
                <w:iCs/>
                <w:sz w:val="20"/>
              </w:rPr>
            </w:pPr>
          </w:p>
        </w:tc>
        <w:tc>
          <w:tcPr>
            <w:tcW w:w="434" w:type="dxa"/>
            <w:vAlign w:val="center"/>
          </w:tcPr>
          <w:p w:rsidR="00135105" w:rsidRPr="00242020" w:rsidRDefault="00135105" w:rsidP="00135105">
            <w:pPr>
              <w:ind w:firstLine="0"/>
              <w:jc w:val="center"/>
              <w:cnfStyle w:val="000000100000"/>
              <w:rPr>
                <w:b/>
                <w:i/>
                <w:iCs/>
                <w:sz w:val="20"/>
              </w:rPr>
            </w:pPr>
          </w:p>
        </w:tc>
        <w:tc>
          <w:tcPr>
            <w:cnfStyle w:val="000010000000"/>
            <w:tcW w:w="916" w:type="dxa"/>
            <w:vAlign w:val="center"/>
          </w:tcPr>
          <w:p w:rsidR="00135105" w:rsidRPr="00242020" w:rsidRDefault="00135105" w:rsidP="00135105">
            <w:pPr>
              <w:ind w:firstLine="0"/>
              <w:jc w:val="center"/>
              <w:rPr>
                <w:sz w:val="20"/>
              </w:rPr>
            </w:pPr>
            <w:r w:rsidRPr="00242020">
              <w:rPr>
                <w:sz w:val="20"/>
              </w:rPr>
              <w:t>1510</w:t>
            </w:r>
          </w:p>
        </w:tc>
        <w:tc>
          <w:tcPr>
            <w:tcW w:w="916" w:type="dxa"/>
            <w:noWrap/>
            <w:vAlign w:val="center"/>
          </w:tcPr>
          <w:p w:rsidR="00135105" w:rsidRPr="00242020" w:rsidRDefault="00135105" w:rsidP="00135105">
            <w:pPr>
              <w:ind w:firstLine="0"/>
              <w:jc w:val="center"/>
              <w:cnfStyle w:val="000000100000"/>
              <w:rPr>
                <w:sz w:val="20"/>
              </w:rPr>
            </w:pPr>
            <w:r w:rsidRPr="00242020">
              <w:rPr>
                <w:sz w:val="20"/>
              </w:rPr>
              <w:t>1460</w:t>
            </w:r>
          </w:p>
        </w:tc>
        <w:tc>
          <w:tcPr>
            <w:cnfStyle w:val="000010000000"/>
            <w:tcW w:w="732" w:type="dxa"/>
            <w:noWrap/>
            <w:vAlign w:val="center"/>
          </w:tcPr>
          <w:p w:rsidR="00135105" w:rsidRPr="00242020" w:rsidRDefault="00135105" w:rsidP="00135105">
            <w:pPr>
              <w:ind w:firstLine="0"/>
              <w:jc w:val="center"/>
              <w:rPr>
                <w:sz w:val="20"/>
              </w:rPr>
            </w:pPr>
            <w:r w:rsidRPr="00242020">
              <w:rPr>
                <w:sz w:val="20"/>
              </w:rPr>
              <w:t>31</w:t>
            </w:r>
          </w:p>
        </w:tc>
        <w:tc>
          <w:tcPr>
            <w:tcW w:w="656" w:type="dxa"/>
            <w:noWrap/>
            <w:vAlign w:val="center"/>
          </w:tcPr>
          <w:p w:rsidR="00135105" w:rsidRPr="00242020" w:rsidRDefault="00135105" w:rsidP="00135105">
            <w:pPr>
              <w:ind w:firstLine="0"/>
              <w:jc w:val="center"/>
              <w:cnfStyle w:val="000000100000"/>
              <w:rPr>
                <w:sz w:val="20"/>
              </w:rPr>
            </w:pPr>
            <w:r w:rsidRPr="00242020">
              <w:rPr>
                <w:sz w:val="20"/>
              </w:rPr>
              <w:t>11</w:t>
            </w:r>
          </w:p>
        </w:tc>
        <w:tc>
          <w:tcPr>
            <w:cnfStyle w:val="000010000000"/>
            <w:tcW w:w="656" w:type="dxa"/>
            <w:noWrap/>
            <w:vAlign w:val="center"/>
          </w:tcPr>
          <w:p w:rsidR="00135105" w:rsidRPr="00242020" w:rsidRDefault="00135105" w:rsidP="00135105">
            <w:pPr>
              <w:ind w:firstLine="0"/>
              <w:jc w:val="center"/>
              <w:rPr>
                <w:sz w:val="20"/>
              </w:rPr>
            </w:pPr>
            <w:r w:rsidRPr="00242020">
              <w:rPr>
                <w:sz w:val="20"/>
              </w:rPr>
              <w:t>1</w:t>
            </w:r>
          </w:p>
        </w:tc>
        <w:tc>
          <w:tcPr>
            <w:tcW w:w="656" w:type="dxa"/>
            <w:noWrap/>
            <w:vAlign w:val="center"/>
          </w:tcPr>
          <w:p w:rsidR="00135105" w:rsidRPr="00242020" w:rsidRDefault="00135105" w:rsidP="00135105">
            <w:pPr>
              <w:ind w:firstLine="0"/>
              <w:jc w:val="center"/>
              <w:cnfStyle w:val="000000100000"/>
              <w:rPr>
                <w:sz w:val="20"/>
              </w:rPr>
            </w:pPr>
            <w:r w:rsidRPr="00242020">
              <w:rPr>
                <w:sz w:val="20"/>
              </w:rPr>
              <w:t>7</w:t>
            </w:r>
          </w:p>
        </w:tc>
      </w:tr>
      <w:tr w:rsidR="00EF2524" w:rsidRPr="00242020" w:rsidTr="00EF2524">
        <w:trPr>
          <w:cnfStyle w:val="000000010000"/>
          <w:trHeight w:hRule="exact" w:val="266"/>
        </w:trPr>
        <w:tc>
          <w:tcPr>
            <w:cnfStyle w:val="000010000000"/>
            <w:tcW w:w="434" w:type="dxa"/>
            <w:shd w:val="clear" w:color="auto" w:fill="auto"/>
            <w:vAlign w:val="center"/>
          </w:tcPr>
          <w:p w:rsidR="00135105" w:rsidRPr="00242020" w:rsidRDefault="00135105" w:rsidP="00EF2524">
            <w:pPr>
              <w:ind w:left="-52" w:right="-88" w:firstLine="0"/>
              <w:jc w:val="center"/>
              <w:rPr>
                <w:sz w:val="20"/>
              </w:rPr>
            </w:pPr>
            <w:r w:rsidRPr="00242020">
              <w:rPr>
                <w:sz w:val="20"/>
              </w:rPr>
              <w:t>17</w:t>
            </w:r>
          </w:p>
        </w:tc>
        <w:tc>
          <w:tcPr>
            <w:tcW w:w="2509" w:type="dxa"/>
            <w:gridSpan w:val="2"/>
            <w:shd w:val="clear" w:color="auto" w:fill="auto"/>
            <w:vAlign w:val="center"/>
          </w:tcPr>
          <w:p w:rsidR="00135105" w:rsidRPr="00242020" w:rsidRDefault="00135105" w:rsidP="00135105">
            <w:pPr>
              <w:ind w:firstLine="0"/>
              <w:cnfStyle w:val="000000010000"/>
              <w:rPr>
                <w:sz w:val="20"/>
              </w:rPr>
            </w:pPr>
            <w:r w:rsidRPr="00242020">
              <w:rPr>
                <w:sz w:val="20"/>
              </w:rPr>
              <w:t>Сумська область</w:t>
            </w:r>
          </w:p>
        </w:tc>
        <w:tc>
          <w:tcPr>
            <w:cnfStyle w:val="000010000000"/>
            <w:tcW w:w="916" w:type="dxa"/>
            <w:shd w:val="clear" w:color="auto" w:fill="auto"/>
            <w:vAlign w:val="center"/>
          </w:tcPr>
          <w:p w:rsidR="00135105" w:rsidRPr="00242020" w:rsidRDefault="00135105" w:rsidP="00135105">
            <w:pPr>
              <w:ind w:firstLine="0"/>
              <w:jc w:val="center"/>
              <w:rPr>
                <w:sz w:val="20"/>
              </w:rPr>
            </w:pPr>
            <w:r w:rsidRPr="00242020">
              <w:rPr>
                <w:sz w:val="20"/>
              </w:rPr>
              <w:t>2385</w:t>
            </w:r>
          </w:p>
        </w:tc>
        <w:tc>
          <w:tcPr>
            <w:tcW w:w="91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2315</w:t>
            </w:r>
          </w:p>
        </w:tc>
        <w:tc>
          <w:tcPr>
            <w:cnfStyle w:val="000010000000"/>
            <w:tcW w:w="781" w:type="dxa"/>
            <w:shd w:val="clear" w:color="auto" w:fill="auto"/>
            <w:noWrap/>
            <w:vAlign w:val="center"/>
          </w:tcPr>
          <w:p w:rsidR="00135105" w:rsidRPr="00242020" w:rsidRDefault="00135105" w:rsidP="00135105">
            <w:pPr>
              <w:ind w:firstLine="0"/>
              <w:jc w:val="center"/>
              <w:rPr>
                <w:sz w:val="20"/>
              </w:rPr>
            </w:pPr>
            <w:r w:rsidRPr="00242020">
              <w:rPr>
                <w:sz w:val="20"/>
              </w:rPr>
              <w:t>30</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27</w:t>
            </w:r>
          </w:p>
        </w:tc>
        <w:tc>
          <w:tcPr>
            <w:cnfStyle w:val="000010000000"/>
            <w:tcW w:w="656" w:type="dxa"/>
            <w:shd w:val="clear" w:color="auto" w:fill="auto"/>
            <w:noWrap/>
            <w:vAlign w:val="center"/>
          </w:tcPr>
          <w:p w:rsidR="00135105" w:rsidRPr="00242020" w:rsidRDefault="00135105" w:rsidP="00135105">
            <w:pPr>
              <w:ind w:firstLine="0"/>
              <w:jc w:val="center"/>
              <w:rPr>
                <w:sz w:val="20"/>
              </w:rPr>
            </w:pPr>
            <w:r w:rsidRPr="00242020">
              <w:rPr>
                <w:sz w:val="20"/>
              </w:rPr>
              <w:t>0</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13</w:t>
            </w:r>
          </w:p>
        </w:tc>
        <w:tc>
          <w:tcPr>
            <w:cnfStyle w:val="000010000000"/>
            <w:tcW w:w="897" w:type="dxa"/>
            <w:shd w:val="clear" w:color="auto" w:fill="auto"/>
            <w:noWrap/>
            <w:vAlign w:val="center"/>
          </w:tcPr>
          <w:p w:rsidR="00135105" w:rsidRPr="00242020" w:rsidRDefault="00135105" w:rsidP="00135105">
            <w:pPr>
              <w:ind w:firstLine="0"/>
              <w:jc w:val="center"/>
              <w:rPr>
                <w:b/>
                <w:i/>
                <w:iCs/>
                <w:sz w:val="20"/>
              </w:rPr>
            </w:pPr>
            <w:r w:rsidRPr="00242020">
              <w:rPr>
                <w:b/>
                <w:i/>
                <w:iCs/>
                <w:sz w:val="20"/>
              </w:rPr>
              <w:t>22</w:t>
            </w:r>
          </w:p>
        </w:tc>
        <w:tc>
          <w:tcPr>
            <w:tcW w:w="516" w:type="dxa"/>
            <w:shd w:val="clear" w:color="auto" w:fill="auto"/>
            <w:noWrap/>
            <w:vAlign w:val="center"/>
          </w:tcPr>
          <w:p w:rsidR="00135105" w:rsidRPr="00242020" w:rsidRDefault="00135105" w:rsidP="00135105">
            <w:pPr>
              <w:ind w:firstLine="0"/>
              <w:jc w:val="center"/>
              <w:cnfStyle w:val="000000010000"/>
              <w:rPr>
                <w:b/>
                <w:i/>
                <w:iCs/>
                <w:sz w:val="20"/>
              </w:rPr>
            </w:pPr>
            <w:r w:rsidRPr="00242020">
              <w:rPr>
                <w:b/>
                <w:i/>
                <w:iCs/>
                <w:sz w:val="20"/>
              </w:rPr>
              <w:t>22</w:t>
            </w:r>
          </w:p>
        </w:tc>
        <w:tc>
          <w:tcPr>
            <w:cnfStyle w:val="000010000000"/>
            <w:tcW w:w="503" w:type="dxa"/>
            <w:shd w:val="clear" w:color="auto" w:fill="auto"/>
            <w:vAlign w:val="center"/>
          </w:tcPr>
          <w:p w:rsidR="00135105" w:rsidRPr="00242020" w:rsidRDefault="00135105" w:rsidP="00135105">
            <w:pPr>
              <w:ind w:firstLine="0"/>
              <w:jc w:val="center"/>
              <w:rPr>
                <w:b/>
                <w:i/>
                <w:iCs/>
                <w:sz w:val="20"/>
              </w:rPr>
            </w:pPr>
          </w:p>
        </w:tc>
        <w:tc>
          <w:tcPr>
            <w:tcW w:w="436" w:type="dxa"/>
            <w:shd w:val="clear" w:color="auto" w:fill="auto"/>
            <w:noWrap/>
            <w:vAlign w:val="center"/>
          </w:tcPr>
          <w:p w:rsidR="00135105" w:rsidRPr="00242020" w:rsidRDefault="00135105" w:rsidP="00135105">
            <w:pPr>
              <w:ind w:firstLine="0"/>
              <w:jc w:val="center"/>
              <w:cnfStyle w:val="000000010000"/>
              <w:rPr>
                <w:b/>
                <w:i/>
                <w:iCs/>
                <w:sz w:val="20"/>
              </w:rPr>
            </w:pPr>
          </w:p>
        </w:tc>
        <w:tc>
          <w:tcPr>
            <w:cnfStyle w:val="000010000000"/>
            <w:tcW w:w="363" w:type="dxa"/>
            <w:shd w:val="clear" w:color="auto" w:fill="auto"/>
            <w:vAlign w:val="center"/>
          </w:tcPr>
          <w:p w:rsidR="00135105" w:rsidRPr="00242020" w:rsidRDefault="00135105" w:rsidP="00135105">
            <w:pPr>
              <w:ind w:firstLine="0"/>
              <w:jc w:val="center"/>
              <w:rPr>
                <w:b/>
                <w:i/>
                <w:iCs/>
                <w:sz w:val="20"/>
              </w:rPr>
            </w:pPr>
          </w:p>
        </w:tc>
        <w:tc>
          <w:tcPr>
            <w:tcW w:w="434" w:type="dxa"/>
            <w:shd w:val="clear" w:color="auto" w:fill="auto"/>
            <w:vAlign w:val="center"/>
          </w:tcPr>
          <w:p w:rsidR="00135105" w:rsidRPr="00242020" w:rsidRDefault="00135105" w:rsidP="00135105">
            <w:pPr>
              <w:ind w:firstLine="0"/>
              <w:jc w:val="center"/>
              <w:cnfStyle w:val="000000010000"/>
              <w:rPr>
                <w:b/>
                <w:i/>
                <w:iCs/>
                <w:sz w:val="20"/>
              </w:rPr>
            </w:pPr>
          </w:p>
        </w:tc>
        <w:tc>
          <w:tcPr>
            <w:cnfStyle w:val="000010000000"/>
            <w:tcW w:w="916" w:type="dxa"/>
            <w:shd w:val="clear" w:color="auto" w:fill="auto"/>
            <w:vAlign w:val="center"/>
          </w:tcPr>
          <w:p w:rsidR="00135105" w:rsidRPr="00242020" w:rsidRDefault="00135105" w:rsidP="00135105">
            <w:pPr>
              <w:ind w:firstLine="0"/>
              <w:jc w:val="center"/>
              <w:rPr>
                <w:sz w:val="20"/>
              </w:rPr>
            </w:pPr>
            <w:r w:rsidRPr="00242020">
              <w:rPr>
                <w:sz w:val="20"/>
              </w:rPr>
              <w:t>2407</w:t>
            </w:r>
          </w:p>
        </w:tc>
        <w:tc>
          <w:tcPr>
            <w:tcW w:w="91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2337</w:t>
            </w:r>
          </w:p>
        </w:tc>
        <w:tc>
          <w:tcPr>
            <w:cnfStyle w:val="000010000000"/>
            <w:tcW w:w="732" w:type="dxa"/>
            <w:shd w:val="clear" w:color="auto" w:fill="auto"/>
            <w:noWrap/>
            <w:vAlign w:val="center"/>
          </w:tcPr>
          <w:p w:rsidR="00135105" w:rsidRPr="00242020" w:rsidRDefault="00135105" w:rsidP="00135105">
            <w:pPr>
              <w:ind w:firstLine="0"/>
              <w:jc w:val="center"/>
              <w:rPr>
                <w:sz w:val="20"/>
              </w:rPr>
            </w:pPr>
            <w:r w:rsidRPr="00242020">
              <w:rPr>
                <w:sz w:val="20"/>
              </w:rPr>
              <w:t>30</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27</w:t>
            </w:r>
          </w:p>
        </w:tc>
        <w:tc>
          <w:tcPr>
            <w:cnfStyle w:val="000010000000"/>
            <w:tcW w:w="656" w:type="dxa"/>
            <w:shd w:val="clear" w:color="auto" w:fill="auto"/>
            <w:noWrap/>
            <w:vAlign w:val="center"/>
          </w:tcPr>
          <w:p w:rsidR="00135105" w:rsidRPr="00242020" w:rsidRDefault="00135105" w:rsidP="00135105">
            <w:pPr>
              <w:ind w:firstLine="0"/>
              <w:jc w:val="center"/>
              <w:rPr>
                <w:sz w:val="20"/>
              </w:rPr>
            </w:pPr>
            <w:r w:rsidRPr="00242020">
              <w:rPr>
                <w:sz w:val="20"/>
              </w:rPr>
              <w:t>0</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13</w:t>
            </w:r>
          </w:p>
        </w:tc>
      </w:tr>
      <w:tr w:rsidR="00135105" w:rsidRPr="00242020" w:rsidTr="00EF2524">
        <w:trPr>
          <w:cnfStyle w:val="000000100000"/>
          <w:trHeight w:hRule="exact" w:val="266"/>
        </w:trPr>
        <w:tc>
          <w:tcPr>
            <w:cnfStyle w:val="000010000000"/>
            <w:tcW w:w="434" w:type="dxa"/>
            <w:vAlign w:val="center"/>
          </w:tcPr>
          <w:p w:rsidR="00135105" w:rsidRPr="00242020" w:rsidRDefault="00135105" w:rsidP="00EF2524">
            <w:pPr>
              <w:ind w:left="-52" w:right="-88" w:firstLine="0"/>
              <w:jc w:val="center"/>
              <w:rPr>
                <w:sz w:val="20"/>
              </w:rPr>
            </w:pPr>
            <w:r w:rsidRPr="00242020">
              <w:rPr>
                <w:sz w:val="20"/>
              </w:rPr>
              <w:t>18</w:t>
            </w:r>
          </w:p>
        </w:tc>
        <w:tc>
          <w:tcPr>
            <w:tcW w:w="2509" w:type="dxa"/>
            <w:gridSpan w:val="2"/>
            <w:vAlign w:val="center"/>
          </w:tcPr>
          <w:p w:rsidR="00135105" w:rsidRPr="00242020" w:rsidRDefault="00135105" w:rsidP="00135105">
            <w:pPr>
              <w:ind w:firstLine="0"/>
              <w:cnfStyle w:val="000000100000"/>
              <w:rPr>
                <w:sz w:val="20"/>
              </w:rPr>
            </w:pPr>
            <w:r w:rsidRPr="00242020">
              <w:rPr>
                <w:sz w:val="20"/>
              </w:rPr>
              <w:t>Тернопільська область</w:t>
            </w:r>
          </w:p>
        </w:tc>
        <w:tc>
          <w:tcPr>
            <w:cnfStyle w:val="000010000000"/>
            <w:tcW w:w="916" w:type="dxa"/>
            <w:vAlign w:val="center"/>
          </w:tcPr>
          <w:p w:rsidR="00135105" w:rsidRPr="00242020" w:rsidRDefault="00135105" w:rsidP="00135105">
            <w:pPr>
              <w:ind w:firstLine="0"/>
              <w:jc w:val="center"/>
              <w:rPr>
                <w:sz w:val="20"/>
              </w:rPr>
            </w:pPr>
            <w:r w:rsidRPr="00242020">
              <w:rPr>
                <w:sz w:val="20"/>
              </w:rPr>
              <w:t>2451</w:t>
            </w:r>
          </w:p>
        </w:tc>
        <w:tc>
          <w:tcPr>
            <w:tcW w:w="916" w:type="dxa"/>
            <w:noWrap/>
            <w:vAlign w:val="center"/>
          </w:tcPr>
          <w:p w:rsidR="00135105" w:rsidRPr="00242020" w:rsidRDefault="00135105" w:rsidP="00135105">
            <w:pPr>
              <w:ind w:firstLine="0"/>
              <w:jc w:val="center"/>
              <w:cnfStyle w:val="000000100000"/>
              <w:rPr>
                <w:sz w:val="20"/>
              </w:rPr>
            </w:pPr>
            <w:r w:rsidRPr="00242020">
              <w:rPr>
                <w:sz w:val="20"/>
              </w:rPr>
              <w:t>2396</w:t>
            </w:r>
          </w:p>
        </w:tc>
        <w:tc>
          <w:tcPr>
            <w:cnfStyle w:val="000010000000"/>
            <w:tcW w:w="781" w:type="dxa"/>
            <w:noWrap/>
            <w:vAlign w:val="center"/>
          </w:tcPr>
          <w:p w:rsidR="00135105" w:rsidRPr="00242020" w:rsidRDefault="00135105" w:rsidP="00135105">
            <w:pPr>
              <w:ind w:firstLine="0"/>
              <w:jc w:val="center"/>
              <w:rPr>
                <w:sz w:val="20"/>
              </w:rPr>
            </w:pPr>
            <w:r w:rsidRPr="00242020">
              <w:rPr>
                <w:sz w:val="20"/>
              </w:rPr>
              <w:t>11</w:t>
            </w:r>
          </w:p>
        </w:tc>
        <w:tc>
          <w:tcPr>
            <w:tcW w:w="656" w:type="dxa"/>
            <w:noWrap/>
            <w:vAlign w:val="center"/>
          </w:tcPr>
          <w:p w:rsidR="00135105" w:rsidRPr="00242020" w:rsidRDefault="00135105" w:rsidP="00135105">
            <w:pPr>
              <w:ind w:firstLine="0"/>
              <w:jc w:val="center"/>
              <w:cnfStyle w:val="000000100000"/>
              <w:rPr>
                <w:sz w:val="20"/>
              </w:rPr>
            </w:pPr>
            <w:r w:rsidRPr="00242020">
              <w:rPr>
                <w:sz w:val="20"/>
              </w:rPr>
              <w:t>13</w:t>
            </w:r>
          </w:p>
        </w:tc>
        <w:tc>
          <w:tcPr>
            <w:cnfStyle w:val="000010000000"/>
            <w:tcW w:w="656" w:type="dxa"/>
            <w:noWrap/>
            <w:vAlign w:val="center"/>
          </w:tcPr>
          <w:p w:rsidR="00135105" w:rsidRPr="00242020" w:rsidRDefault="00135105" w:rsidP="00135105">
            <w:pPr>
              <w:ind w:firstLine="0"/>
              <w:jc w:val="center"/>
              <w:rPr>
                <w:sz w:val="20"/>
              </w:rPr>
            </w:pPr>
            <w:r w:rsidRPr="00242020">
              <w:rPr>
                <w:sz w:val="20"/>
              </w:rPr>
              <w:t>3</w:t>
            </w:r>
          </w:p>
        </w:tc>
        <w:tc>
          <w:tcPr>
            <w:tcW w:w="656" w:type="dxa"/>
            <w:noWrap/>
            <w:vAlign w:val="center"/>
          </w:tcPr>
          <w:p w:rsidR="00135105" w:rsidRPr="00242020" w:rsidRDefault="00135105" w:rsidP="00135105">
            <w:pPr>
              <w:ind w:firstLine="0"/>
              <w:jc w:val="center"/>
              <w:cnfStyle w:val="000000100000"/>
              <w:rPr>
                <w:sz w:val="20"/>
              </w:rPr>
            </w:pPr>
            <w:r w:rsidRPr="00242020">
              <w:rPr>
                <w:sz w:val="20"/>
              </w:rPr>
              <w:t>28</w:t>
            </w:r>
          </w:p>
        </w:tc>
        <w:tc>
          <w:tcPr>
            <w:cnfStyle w:val="000010000000"/>
            <w:tcW w:w="897" w:type="dxa"/>
            <w:noWrap/>
            <w:vAlign w:val="center"/>
          </w:tcPr>
          <w:p w:rsidR="00135105" w:rsidRPr="00242020" w:rsidRDefault="00135105" w:rsidP="00135105">
            <w:pPr>
              <w:ind w:firstLine="0"/>
              <w:jc w:val="center"/>
              <w:rPr>
                <w:b/>
                <w:i/>
                <w:iCs/>
                <w:sz w:val="20"/>
              </w:rPr>
            </w:pPr>
            <w:r w:rsidRPr="00242020">
              <w:rPr>
                <w:b/>
                <w:i/>
                <w:iCs/>
                <w:sz w:val="20"/>
              </w:rPr>
              <w:t>9</w:t>
            </w:r>
          </w:p>
        </w:tc>
        <w:tc>
          <w:tcPr>
            <w:tcW w:w="516" w:type="dxa"/>
            <w:noWrap/>
            <w:vAlign w:val="center"/>
          </w:tcPr>
          <w:p w:rsidR="00135105" w:rsidRPr="00242020" w:rsidRDefault="00135105" w:rsidP="00135105">
            <w:pPr>
              <w:ind w:firstLine="0"/>
              <w:jc w:val="center"/>
              <w:cnfStyle w:val="000000100000"/>
              <w:rPr>
                <w:b/>
                <w:i/>
                <w:iCs/>
                <w:sz w:val="20"/>
              </w:rPr>
            </w:pPr>
            <w:r w:rsidRPr="00242020">
              <w:rPr>
                <w:b/>
                <w:i/>
                <w:iCs/>
                <w:sz w:val="20"/>
              </w:rPr>
              <w:t>9</w:t>
            </w:r>
          </w:p>
        </w:tc>
        <w:tc>
          <w:tcPr>
            <w:cnfStyle w:val="000010000000"/>
            <w:tcW w:w="503" w:type="dxa"/>
            <w:vAlign w:val="center"/>
          </w:tcPr>
          <w:p w:rsidR="00135105" w:rsidRPr="00242020" w:rsidRDefault="00135105" w:rsidP="00135105">
            <w:pPr>
              <w:ind w:firstLine="0"/>
              <w:jc w:val="center"/>
              <w:rPr>
                <w:b/>
                <w:i/>
                <w:iCs/>
                <w:sz w:val="20"/>
              </w:rPr>
            </w:pPr>
          </w:p>
        </w:tc>
        <w:tc>
          <w:tcPr>
            <w:tcW w:w="436" w:type="dxa"/>
            <w:noWrap/>
            <w:vAlign w:val="center"/>
          </w:tcPr>
          <w:p w:rsidR="00135105" w:rsidRPr="00242020" w:rsidRDefault="00135105" w:rsidP="00135105">
            <w:pPr>
              <w:ind w:firstLine="0"/>
              <w:jc w:val="center"/>
              <w:cnfStyle w:val="000000100000"/>
              <w:rPr>
                <w:b/>
                <w:i/>
                <w:iCs/>
                <w:sz w:val="20"/>
              </w:rPr>
            </w:pPr>
          </w:p>
        </w:tc>
        <w:tc>
          <w:tcPr>
            <w:cnfStyle w:val="000010000000"/>
            <w:tcW w:w="363" w:type="dxa"/>
            <w:vAlign w:val="center"/>
          </w:tcPr>
          <w:p w:rsidR="00135105" w:rsidRPr="00242020" w:rsidRDefault="00135105" w:rsidP="00135105">
            <w:pPr>
              <w:ind w:firstLine="0"/>
              <w:jc w:val="center"/>
              <w:rPr>
                <w:b/>
                <w:i/>
                <w:iCs/>
                <w:sz w:val="20"/>
              </w:rPr>
            </w:pPr>
          </w:p>
        </w:tc>
        <w:tc>
          <w:tcPr>
            <w:tcW w:w="434" w:type="dxa"/>
            <w:vAlign w:val="center"/>
          </w:tcPr>
          <w:p w:rsidR="00135105" w:rsidRPr="00242020" w:rsidRDefault="00135105" w:rsidP="00135105">
            <w:pPr>
              <w:ind w:firstLine="0"/>
              <w:jc w:val="center"/>
              <w:cnfStyle w:val="000000100000"/>
              <w:rPr>
                <w:b/>
                <w:i/>
                <w:iCs/>
                <w:sz w:val="20"/>
              </w:rPr>
            </w:pPr>
          </w:p>
        </w:tc>
        <w:tc>
          <w:tcPr>
            <w:cnfStyle w:val="000010000000"/>
            <w:tcW w:w="916" w:type="dxa"/>
            <w:vAlign w:val="center"/>
          </w:tcPr>
          <w:p w:rsidR="00135105" w:rsidRPr="00242020" w:rsidRDefault="00135105" w:rsidP="00135105">
            <w:pPr>
              <w:ind w:firstLine="0"/>
              <w:jc w:val="center"/>
              <w:rPr>
                <w:sz w:val="20"/>
              </w:rPr>
            </w:pPr>
            <w:r w:rsidRPr="00242020">
              <w:rPr>
                <w:sz w:val="20"/>
              </w:rPr>
              <w:t>2460</w:t>
            </w:r>
          </w:p>
        </w:tc>
        <w:tc>
          <w:tcPr>
            <w:tcW w:w="916" w:type="dxa"/>
            <w:noWrap/>
            <w:vAlign w:val="center"/>
          </w:tcPr>
          <w:p w:rsidR="00135105" w:rsidRPr="00242020" w:rsidRDefault="00135105" w:rsidP="00135105">
            <w:pPr>
              <w:ind w:firstLine="0"/>
              <w:jc w:val="center"/>
              <w:cnfStyle w:val="000000100000"/>
              <w:rPr>
                <w:sz w:val="20"/>
              </w:rPr>
            </w:pPr>
            <w:r w:rsidRPr="00242020">
              <w:rPr>
                <w:sz w:val="20"/>
              </w:rPr>
              <w:t>2405</w:t>
            </w:r>
          </w:p>
        </w:tc>
        <w:tc>
          <w:tcPr>
            <w:cnfStyle w:val="000010000000"/>
            <w:tcW w:w="732" w:type="dxa"/>
            <w:noWrap/>
            <w:vAlign w:val="center"/>
          </w:tcPr>
          <w:p w:rsidR="00135105" w:rsidRPr="00242020" w:rsidRDefault="00135105" w:rsidP="00135105">
            <w:pPr>
              <w:ind w:firstLine="0"/>
              <w:jc w:val="center"/>
              <w:rPr>
                <w:sz w:val="20"/>
              </w:rPr>
            </w:pPr>
            <w:r w:rsidRPr="00242020">
              <w:rPr>
                <w:sz w:val="20"/>
              </w:rPr>
              <w:t>11</w:t>
            </w:r>
          </w:p>
        </w:tc>
        <w:tc>
          <w:tcPr>
            <w:tcW w:w="656" w:type="dxa"/>
            <w:noWrap/>
            <w:vAlign w:val="center"/>
          </w:tcPr>
          <w:p w:rsidR="00135105" w:rsidRPr="00242020" w:rsidRDefault="00135105" w:rsidP="00135105">
            <w:pPr>
              <w:ind w:firstLine="0"/>
              <w:jc w:val="center"/>
              <w:cnfStyle w:val="000000100000"/>
              <w:rPr>
                <w:sz w:val="20"/>
              </w:rPr>
            </w:pPr>
            <w:r w:rsidRPr="00242020">
              <w:rPr>
                <w:sz w:val="20"/>
              </w:rPr>
              <w:t>13</w:t>
            </w:r>
          </w:p>
        </w:tc>
        <w:tc>
          <w:tcPr>
            <w:cnfStyle w:val="000010000000"/>
            <w:tcW w:w="656" w:type="dxa"/>
            <w:noWrap/>
            <w:vAlign w:val="center"/>
          </w:tcPr>
          <w:p w:rsidR="00135105" w:rsidRPr="00242020" w:rsidRDefault="00135105" w:rsidP="00135105">
            <w:pPr>
              <w:ind w:firstLine="0"/>
              <w:jc w:val="center"/>
              <w:rPr>
                <w:sz w:val="20"/>
              </w:rPr>
            </w:pPr>
            <w:r w:rsidRPr="00242020">
              <w:rPr>
                <w:sz w:val="20"/>
              </w:rPr>
              <w:t>3</w:t>
            </w:r>
          </w:p>
        </w:tc>
        <w:tc>
          <w:tcPr>
            <w:tcW w:w="656" w:type="dxa"/>
            <w:noWrap/>
            <w:vAlign w:val="center"/>
          </w:tcPr>
          <w:p w:rsidR="00135105" w:rsidRPr="00242020" w:rsidRDefault="00135105" w:rsidP="00135105">
            <w:pPr>
              <w:ind w:firstLine="0"/>
              <w:jc w:val="center"/>
              <w:cnfStyle w:val="000000100000"/>
              <w:rPr>
                <w:sz w:val="20"/>
              </w:rPr>
            </w:pPr>
            <w:r w:rsidRPr="00242020">
              <w:rPr>
                <w:sz w:val="20"/>
              </w:rPr>
              <w:t>28</w:t>
            </w:r>
          </w:p>
        </w:tc>
      </w:tr>
      <w:tr w:rsidR="00EF2524" w:rsidRPr="00242020" w:rsidTr="00EF2524">
        <w:trPr>
          <w:cnfStyle w:val="000000010000"/>
          <w:trHeight w:hRule="exact" w:val="266"/>
        </w:trPr>
        <w:tc>
          <w:tcPr>
            <w:cnfStyle w:val="000010000000"/>
            <w:tcW w:w="434" w:type="dxa"/>
            <w:shd w:val="clear" w:color="auto" w:fill="auto"/>
            <w:vAlign w:val="center"/>
          </w:tcPr>
          <w:p w:rsidR="00135105" w:rsidRPr="00242020" w:rsidRDefault="00135105" w:rsidP="00EF2524">
            <w:pPr>
              <w:ind w:left="-52" w:right="-88" w:firstLine="0"/>
              <w:jc w:val="center"/>
              <w:rPr>
                <w:sz w:val="20"/>
              </w:rPr>
            </w:pPr>
            <w:r w:rsidRPr="00242020">
              <w:rPr>
                <w:sz w:val="20"/>
              </w:rPr>
              <w:t>19</w:t>
            </w:r>
          </w:p>
        </w:tc>
        <w:tc>
          <w:tcPr>
            <w:tcW w:w="2509" w:type="dxa"/>
            <w:gridSpan w:val="2"/>
            <w:shd w:val="clear" w:color="auto" w:fill="auto"/>
            <w:vAlign w:val="center"/>
          </w:tcPr>
          <w:p w:rsidR="00135105" w:rsidRPr="00242020" w:rsidRDefault="00135105" w:rsidP="00135105">
            <w:pPr>
              <w:ind w:firstLine="0"/>
              <w:cnfStyle w:val="000000010000"/>
              <w:rPr>
                <w:sz w:val="20"/>
              </w:rPr>
            </w:pPr>
            <w:r w:rsidRPr="00242020">
              <w:rPr>
                <w:sz w:val="20"/>
              </w:rPr>
              <w:t>Харківська область</w:t>
            </w:r>
          </w:p>
        </w:tc>
        <w:tc>
          <w:tcPr>
            <w:cnfStyle w:val="000010000000"/>
            <w:tcW w:w="916" w:type="dxa"/>
            <w:shd w:val="clear" w:color="auto" w:fill="auto"/>
            <w:vAlign w:val="center"/>
          </w:tcPr>
          <w:p w:rsidR="00135105" w:rsidRPr="00242020" w:rsidRDefault="00135105" w:rsidP="00135105">
            <w:pPr>
              <w:ind w:firstLine="0"/>
              <w:jc w:val="center"/>
              <w:rPr>
                <w:sz w:val="20"/>
              </w:rPr>
            </w:pPr>
            <w:r w:rsidRPr="00242020">
              <w:rPr>
                <w:sz w:val="20"/>
              </w:rPr>
              <w:t>6431</w:t>
            </w:r>
          </w:p>
        </w:tc>
        <w:tc>
          <w:tcPr>
            <w:tcW w:w="91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6227</w:t>
            </w:r>
          </w:p>
        </w:tc>
        <w:tc>
          <w:tcPr>
            <w:cnfStyle w:val="000010000000"/>
            <w:tcW w:w="781" w:type="dxa"/>
            <w:shd w:val="clear" w:color="auto" w:fill="auto"/>
            <w:noWrap/>
            <w:vAlign w:val="center"/>
          </w:tcPr>
          <w:p w:rsidR="00135105" w:rsidRPr="00242020" w:rsidRDefault="00135105" w:rsidP="00135105">
            <w:pPr>
              <w:ind w:firstLine="0"/>
              <w:jc w:val="center"/>
              <w:rPr>
                <w:sz w:val="20"/>
              </w:rPr>
            </w:pPr>
            <w:r w:rsidRPr="00242020">
              <w:rPr>
                <w:sz w:val="20"/>
              </w:rPr>
              <w:t>125</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49</w:t>
            </w:r>
          </w:p>
        </w:tc>
        <w:tc>
          <w:tcPr>
            <w:cnfStyle w:val="000010000000"/>
            <w:tcW w:w="656" w:type="dxa"/>
            <w:shd w:val="clear" w:color="auto" w:fill="auto"/>
            <w:noWrap/>
            <w:vAlign w:val="center"/>
          </w:tcPr>
          <w:p w:rsidR="00135105" w:rsidRPr="00242020" w:rsidRDefault="00135105" w:rsidP="00135105">
            <w:pPr>
              <w:ind w:firstLine="0"/>
              <w:jc w:val="center"/>
              <w:rPr>
                <w:sz w:val="20"/>
              </w:rPr>
            </w:pPr>
            <w:r w:rsidRPr="00242020">
              <w:rPr>
                <w:sz w:val="20"/>
              </w:rPr>
              <w:t>8</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22</w:t>
            </w:r>
          </w:p>
        </w:tc>
        <w:tc>
          <w:tcPr>
            <w:cnfStyle w:val="000010000000"/>
            <w:tcW w:w="897" w:type="dxa"/>
            <w:shd w:val="clear" w:color="auto" w:fill="auto"/>
            <w:noWrap/>
            <w:vAlign w:val="center"/>
          </w:tcPr>
          <w:p w:rsidR="00135105" w:rsidRPr="00242020" w:rsidRDefault="00135105" w:rsidP="00135105">
            <w:pPr>
              <w:ind w:firstLine="0"/>
              <w:jc w:val="center"/>
              <w:rPr>
                <w:b/>
                <w:i/>
                <w:iCs/>
                <w:sz w:val="20"/>
              </w:rPr>
            </w:pPr>
            <w:r w:rsidRPr="00242020">
              <w:rPr>
                <w:b/>
                <w:i/>
                <w:iCs/>
                <w:sz w:val="20"/>
              </w:rPr>
              <w:t>97</w:t>
            </w:r>
          </w:p>
        </w:tc>
        <w:tc>
          <w:tcPr>
            <w:tcW w:w="516" w:type="dxa"/>
            <w:shd w:val="clear" w:color="auto" w:fill="auto"/>
            <w:noWrap/>
            <w:vAlign w:val="center"/>
          </w:tcPr>
          <w:p w:rsidR="00135105" w:rsidRPr="00242020" w:rsidRDefault="00135105" w:rsidP="00135105">
            <w:pPr>
              <w:ind w:firstLine="0"/>
              <w:jc w:val="center"/>
              <w:cnfStyle w:val="000000010000"/>
              <w:rPr>
                <w:b/>
                <w:i/>
                <w:iCs/>
                <w:sz w:val="20"/>
              </w:rPr>
            </w:pPr>
            <w:r w:rsidRPr="00242020">
              <w:rPr>
                <w:b/>
                <w:i/>
                <w:iCs/>
                <w:sz w:val="20"/>
              </w:rPr>
              <w:t>97</w:t>
            </w:r>
          </w:p>
        </w:tc>
        <w:tc>
          <w:tcPr>
            <w:cnfStyle w:val="000010000000"/>
            <w:tcW w:w="503" w:type="dxa"/>
            <w:shd w:val="clear" w:color="auto" w:fill="auto"/>
            <w:vAlign w:val="center"/>
          </w:tcPr>
          <w:p w:rsidR="00135105" w:rsidRPr="00242020" w:rsidRDefault="00135105" w:rsidP="00135105">
            <w:pPr>
              <w:ind w:firstLine="0"/>
              <w:jc w:val="center"/>
              <w:rPr>
                <w:b/>
                <w:i/>
                <w:iCs/>
                <w:sz w:val="20"/>
              </w:rPr>
            </w:pPr>
          </w:p>
        </w:tc>
        <w:tc>
          <w:tcPr>
            <w:tcW w:w="436" w:type="dxa"/>
            <w:shd w:val="clear" w:color="auto" w:fill="auto"/>
            <w:noWrap/>
            <w:vAlign w:val="center"/>
          </w:tcPr>
          <w:p w:rsidR="00135105" w:rsidRPr="00242020" w:rsidRDefault="00135105" w:rsidP="00135105">
            <w:pPr>
              <w:ind w:firstLine="0"/>
              <w:jc w:val="center"/>
              <w:cnfStyle w:val="000000010000"/>
              <w:rPr>
                <w:b/>
                <w:i/>
                <w:iCs/>
                <w:sz w:val="20"/>
              </w:rPr>
            </w:pPr>
          </w:p>
        </w:tc>
        <w:tc>
          <w:tcPr>
            <w:cnfStyle w:val="000010000000"/>
            <w:tcW w:w="363" w:type="dxa"/>
            <w:shd w:val="clear" w:color="auto" w:fill="auto"/>
            <w:vAlign w:val="center"/>
          </w:tcPr>
          <w:p w:rsidR="00135105" w:rsidRPr="00242020" w:rsidRDefault="00135105" w:rsidP="00135105">
            <w:pPr>
              <w:ind w:firstLine="0"/>
              <w:jc w:val="center"/>
              <w:rPr>
                <w:b/>
                <w:i/>
                <w:iCs/>
                <w:sz w:val="20"/>
              </w:rPr>
            </w:pPr>
          </w:p>
        </w:tc>
        <w:tc>
          <w:tcPr>
            <w:tcW w:w="434" w:type="dxa"/>
            <w:shd w:val="clear" w:color="auto" w:fill="auto"/>
            <w:vAlign w:val="center"/>
          </w:tcPr>
          <w:p w:rsidR="00135105" w:rsidRPr="00242020" w:rsidRDefault="00135105" w:rsidP="00135105">
            <w:pPr>
              <w:ind w:firstLine="0"/>
              <w:jc w:val="center"/>
              <w:cnfStyle w:val="000000010000"/>
              <w:rPr>
                <w:b/>
                <w:i/>
                <w:iCs/>
                <w:sz w:val="20"/>
              </w:rPr>
            </w:pPr>
          </w:p>
        </w:tc>
        <w:tc>
          <w:tcPr>
            <w:cnfStyle w:val="000010000000"/>
            <w:tcW w:w="916" w:type="dxa"/>
            <w:shd w:val="clear" w:color="auto" w:fill="auto"/>
            <w:vAlign w:val="center"/>
          </w:tcPr>
          <w:p w:rsidR="00135105" w:rsidRPr="00242020" w:rsidRDefault="00135105" w:rsidP="00135105">
            <w:pPr>
              <w:ind w:firstLine="0"/>
              <w:jc w:val="center"/>
              <w:rPr>
                <w:sz w:val="20"/>
              </w:rPr>
            </w:pPr>
            <w:r w:rsidRPr="00242020">
              <w:rPr>
                <w:sz w:val="20"/>
              </w:rPr>
              <w:t>6528</w:t>
            </w:r>
          </w:p>
        </w:tc>
        <w:tc>
          <w:tcPr>
            <w:tcW w:w="91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6324</w:t>
            </w:r>
          </w:p>
        </w:tc>
        <w:tc>
          <w:tcPr>
            <w:cnfStyle w:val="000010000000"/>
            <w:tcW w:w="732" w:type="dxa"/>
            <w:shd w:val="clear" w:color="auto" w:fill="auto"/>
            <w:noWrap/>
            <w:vAlign w:val="center"/>
          </w:tcPr>
          <w:p w:rsidR="00135105" w:rsidRPr="00242020" w:rsidRDefault="00135105" w:rsidP="00135105">
            <w:pPr>
              <w:ind w:firstLine="0"/>
              <w:jc w:val="center"/>
              <w:rPr>
                <w:sz w:val="20"/>
              </w:rPr>
            </w:pPr>
            <w:r w:rsidRPr="00242020">
              <w:rPr>
                <w:sz w:val="20"/>
              </w:rPr>
              <w:t>125</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49</w:t>
            </w:r>
          </w:p>
        </w:tc>
        <w:tc>
          <w:tcPr>
            <w:cnfStyle w:val="000010000000"/>
            <w:tcW w:w="656" w:type="dxa"/>
            <w:shd w:val="clear" w:color="auto" w:fill="auto"/>
            <w:noWrap/>
            <w:vAlign w:val="center"/>
          </w:tcPr>
          <w:p w:rsidR="00135105" w:rsidRPr="00242020" w:rsidRDefault="00135105" w:rsidP="00135105">
            <w:pPr>
              <w:ind w:firstLine="0"/>
              <w:jc w:val="center"/>
              <w:rPr>
                <w:sz w:val="20"/>
              </w:rPr>
            </w:pPr>
            <w:r w:rsidRPr="00242020">
              <w:rPr>
                <w:sz w:val="20"/>
              </w:rPr>
              <w:t>8</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22</w:t>
            </w:r>
          </w:p>
        </w:tc>
      </w:tr>
      <w:tr w:rsidR="00135105" w:rsidRPr="00242020" w:rsidTr="00EF2524">
        <w:trPr>
          <w:cnfStyle w:val="000000100000"/>
          <w:trHeight w:hRule="exact" w:val="266"/>
        </w:trPr>
        <w:tc>
          <w:tcPr>
            <w:cnfStyle w:val="000010000000"/>
            <w:tcW w:w="434" w:type="dxa"/>
            <w:vAlign w:val="center"/>
          </w:tcPr>
          <w:p w:rsidR="00135105" w:rsidRPr="00242020" w:rsidRDefault="00135105" w:rsidP="00EF2524">
            <w:pPr>
              <w:ind w:left="-52" w:right="-88" w:firstLine="0"/>
              <w:jc w:val="center"/>
              <w:rPr>
                <w:sz w:val="20"/>
              </w:rPr>
            </w:pPr>
            <w:r w:rsidRPr="00242020">
              <w:rPr>
                <w:sz w:val="20"/>
              </w:rPr>
              <w:t>20</w:t>
            </w:r>
          </w:p>
        </w:tc>
        <w:tc>
          <w:tcPr>
            <w:tcW w:w="2509" w:type="dxa"/>
            <w:gridSpan w:val="2"/>
            <w:vAlign w:val="center"/>
          </w:tcPr>
          <w:p w:rsidR="00135105" w:rsidRPr="00242020" w:rsidRDefault="00135105" w:rsidP="00135105">
            <w:pPr>
              <w:ind w:firstLine="0"/>
              <w:cnfStyle w:val="000000100000"/>
              <w:rPr>
                <w:sz w:val="20"/>
              </w:rPr>
            </w:pPr>
            <w:r w:rsidRPr="00242020">
              <w:rPr>
                <w:sz w:val="20"/>
              </w:rPr>
              <w:t>Херсонська область</w:t>
            </w:r>
          </w:p>
        </w:tc>
        <w:tc>
          <w:tcPr>
            <w:cnfStyle w:val="000010000000"/>
            <w:tcW w:w="916" w:type="dxa"/>
            <w:vAlign w:val="center"/>
          </w:tcPr>
          <w:p w:rsidR="00135105" w:rsidRPr="00242020" w:rsidRDefault="00135105" w:rsidP="00135105">
            <w:pPr>
              <w:ind w:firstLine="0"/>
              <w:jc w:val="center"/>
              <w:rPr>
                <w:sz w:val="20"/>
              </w:rPr>
            </w:pPr>
            <w:r w:rsidRPr="00242020">
              <w:rPr>
                <w:sz w:val="20"/>
              </w:rPr>
              <w:t>1939</w:t>
            </w:r>
          </w:p>
        </w:tc>
        <w:tc>
          <w:tcPr>
            <w:tcW w:w="916" w:type="dxa"/>
            <w:noWrap/>
            <w:vAlign w:val="center"/>
          </w:tcPr>
          <w:p w:rsidR="00135105" w:rsidRPr="00242020" w:rsidRDefault="00135105" w:rsidP="00135105">
            <w:pPr>
              <w:ind w:firstLine="0"/>
              <w:jc w:val="center"/>
              <w:cnfStyle w:val="000000100000"/>
              <w:rPr>
                <w:sz w:val="20"/>
              </w:rPr>
            </w:pPr>
            <w:r w:rsidRPr="00242020">
              <w:rPr>
                <w:sz w:val="20"/>
              </w:rPr>
              <w:t>1644</w:t>
            </w:r>
          </w:p>
        </w:tc>
        <w:tc>
          <w:tcPr>
            <w:cnfStyle w:val="000010000000"/>
            <w:tcW w:w="781" w:type="dxa"/>
            <w:noWrap/>
            <w:vAlign w:val="center"/>
          </w:tcPr>
          <w:p w:rsidR="00135105" w:rsidRPr="00242020" w:rsidRDefault="00135105" w:rsidP="00135105">
            <w:pPr>
              <w:ind w:firstLine="0"/>
              <w:jc w:val="center"/>
              <w:rPr>
                <w:sz w:val="20"/>
              </w:rPr>
            </w:pPr>
            <w:r w:rsidRPr="00242020">
              <w:rPr>
                <w:sz w:val="20"/>
              </w:rPr>
              <w:t>243</w:t>
            </w:r>
          </w:p>
        </w:tc>
        <w:tc>
          <w:tcPr>
            <w:tcW w:w="656" w:type="dxa"/>
            <w:noWrap/>
            <w:vAlign w:val="center"/>
          </w:tcPr>
          <w:p w:rsidR="00135105" w:rsidRPr="00242020" w:rsidRDefault="00135105" w:rsidP="00135105">
            <w:pPr>
              <w:ind w:firstLine="0"/>
              <w:jc w:val="center"/>
              <w:cnfStyle w:val="000000100000"/>
              <w:rPr>
                <w:sz w:val="20"/>
              </w:rPr>
            </w:pPr>
            <w:r w:rsidRPr="00242020">
              <w:rPr>
                <w:sz w:val="20"/>
              </w:rPr>
              <w:t>39</w:t>
            </w:r>
          </w:p>
        </w:tc>
        <w:tc>
          <w:tcPr>
            <w:cnfStyle w:val="000010000000"/>
            <w:tcW w:w="656" w:type="dxa"/>
            <w:noWrap/>
            <w:vAlign w:val="center"/>
          </w:tcPr>
          <w:p w:rsidR="00135105" w:rsidRPr="00242020" w:rsidRDefault="00135105" w:rsidP="00135105">
            <w:pPr>
              <w:ind w:firstLine="0"/>
              <w:jc w:val="center"/>
              <w:rPr>
                <w:sz w:val="20"/>
              </w:rPr>
            </w:pPr>
            <w:r w:rsidRPr="00242020">
              <w:rPr>
                <w:sz w:val="20"/>
              </w:rPr>
              <w:t>2</w:t>
            </w:r>
          </w:p>
        </w:tc>
        <w:tc>
          <w:tcPr>
            <w:tcW w:w="656" w:type="dxa"/>
            <w:noWrap/>
            <w:vAlign w:val="center"/>
          </w:tcPr>
          <w:p w:rsidR="00135105" w:rsidRPr="00242020" w:rsidRDefault="00135105" w:rsidP="00135105">
            <w:pPr>
              <w:ind w:firstLine="0"/>
              <w:jc w:val="center"/>
              <w:cnfStyle w:val="000000100000"/>
              <w:rPr>
                <w:sz w:val="20"/>
              </w:rPr>
            </w:pPr>
            <w:r w:rsidRPr="00242020">
              <w:rPr>
                <w:sz w:val="20"/>
              </w:rPr>
              <w:t>11</w:t>
            </w:r>
          </w:p>
        </w:tc>
        <w:tc>
          <w:tcPr>
            <w:cnfStyle w:val="000010000000"/>
            <w:tcW w:w="897" w:type="dxa"/>
            <w:noWrap/>
            <w:vAlign w:val="center"/>
          </w:tcPr>
          <w:p w:rsidR="00135105" w:rsidRPr="00242020" w:rsidRDefault="00135105" w:rsidP="00135105">
            <w:pPr>
              <w:ind w:firstLine="0"/>
              <w:jc w:val="center"/>
              <w:rPr>
                <w:b/>
                <w:i/>
                <w:iCs/>
                <w:sz w:val="20"/>
              </w:rPr>
            </w:pPr>
            <w:r w:rsidRPr="00242020">
              <w:rPr>
                <w:b/>
                <w:i/>
                <w:iCs/>
                <w:sz w:val="20"/>
              </w:rPr>
              <w:t>3</w:t>
            </w:r>
          </w:p>
        </w:tc>
        <w:tc>
          <w:tcPr>
            <w:tcW w:w="516" w:type="dxa"/>
            <w:noWrap/>
            <w:vAlign w:val="center"/>
          </w:tcPr>
          <w:p w:rsidR="00135105" w:rsidRPr="00242020" w:rsidRDefault="00135105" w:rsidP="00135105">
            <w:pPr>
              <w:ind w:firstLine="0"/>
              <w:jc w:val="center"/>
              <w:cnfStyle w:val="000000100000"/>
              <w:rPr>
                <w:b/>
                <w:i/>
                <w:iCs/>
                <w:sz w:val="20"/>
              </w:rPr>
            </w:pPr>
            <w:r w:rsidRPr="00242020">
              <w:rPr>
                <w:b/>
                <w:i/>
                <w:iCs/>
                <w:sz w:val="20"/>
              </w:rPr>
              <w:t>3</w:t>
            </w:r>
          </w:p>
        </w:tc>
        <w:tc>
          <w:tcPr>
            <w:cnfStyle w:val="000010000000"/>
            <w:tcW w:w="503" w:type="dxa"/>
            <w:vAlign w:val="center"/>
          </w:tcPr>
          <w:p w:rsidR="00135105" w:rsidRPr="00242020" w:rsidRDefault="00135105" w:rsidP="00135105">
            <w:pPr>
              <w:ind w:firstLine="0"/>
              <w:jc w:val="center"/>
              <w:rPr>
                <w:b/>
                <w:i/>
                <w:iCs/>
                <w:sz w:val="20"/>
              </w:rPr>
            </w:pPr>
          </w:p>
        </w:tc>
        <w:tc>
          <w:tcPr>
            <w:tcW w:w="436" w:type="dxa"/>
            <w:noWrap/>
            <w:vAlign w:val="center"/>
          </w:tcPr>
          <w:p w:rsidR="00135105" w:rsidRPr="00242020" w:rsidRDefault="00135105" w:rsidP="00135105">
            <w:pPr>
              <w:ind w:firstLine="0"/>
              <w:jc w:val="center"/>
              <w:cnfStyle w:val="000000100000"/>
              <w:rPr>
                <w:b/>
                <w:i/>
                <w:iCs/>
                <w:sz w:val="20"/>
              </w:rPr>
            </w:pPr>
          </w:p>
        </w:tc>
        <w:tc>
          <w:tcPr>
            <w:cnfStyle w:val="000010000000"/>
            <w:tcW w:w="363" w:type="dxa"/>
            <w:vAlign w:val="center"/>
          </w:tcPr>
          <w:p w:rsidR="00135105" w:rsidRPr="00242020" w:rsidRDefault="00135105" w:rsidP="00135105">
            <w:pPr>
              <w:ind w:firstLine="0"/>
              <w:jc w:val="center"/>
              <w:rPr>
                <w:b/>
                <w:i/>
                <w:iCs/>
                <w:sz w:val="20"/>
              </w:rPr>
            </w:pPr>
          </w:p>
        </w:tc>
        <w:tc>
          <w:tcPr>
            <w:tcW w:w="434" w:type="dxa"/>
            <w:vAlign w:val="center"/>
          </w:tcPr>
          <w:p w:rsidR="00135105" w:rsidRPr="00242020" w:rsidRDefault="00135105" w:rsidP="00135105">
            <w:pPr>
              <w:ind w:firstLine="0"/>
              <w:jc w:val="center"/>
              <w:cnfStyle w:val="000000100000"/>
              <w:rPr>
                <w:b/>
                <w:i/>
                <w:iCs/>
                <w:sz w:val="20"/>
              </w:rPr>
            </w:pPr>
          </w:p>
        </w:tc>
        <w:tc>
          <w:tcPr>
            <w:cnfStyle w:val="000010000000"/>
            <w:tcW w:w="916" w:type="dxa"/>
            <w:vAlign w:val="center"/>
          </w:tcPr>
          <w:p w:rsidR="00135105" w:rsidRPr="00242020" w:rsidRDefault="00135105" w:rsidP="00135105">
            <w:pPr>
              <w:ind w:firstLine="0"/>
              <w:jc w:val="center"/>
              <w:rPr>
                <w:sz w:val="20"/>
              </w:rPr>
            </w:pPr>
            <w:r w:rsidRPr="00242020">
              <w:rPr>
                <w:sz w:val="20"/>
              </w:rPr>
              <w:t>1942</w:t>
            </w:r>
          </w:p>
        </w:tc>
        <w:tc>
          <w:tcPr>
            <w:tcW w:w="916" w:type="dxa"/>
            <w:noWrap/>
            <w:vAlign w:val="center"/>
          </w:tcPr>
          <w:p w:rsidR="00135105" w:rsidRPr="00242020" w:rsidRDefault="00135105" w:rsidP="00135105">
            <w:pPr>
              <w:ind w:firstLine="0"/>
              <w:jc w:val="center"/>
              <w:cnfStyle w:val="000000100000"/>
              <w:rPr>
                <w:sz w:val="20"/>
              </w:rPr>
            </w:pPr>
            <w:r w:rsidRPr="00242020">
              <w:rPr>
                <w:sz w:val="20"/>
              </w:rPr>
              <w:t>1647</w:t>
            </w:r>
          </w:p>
        </w:tc>
        <w:tc>
          <w:tcPr>
            <w:cnfStyle w:val="000010000000"/>
            <w:tcW w:w="732" w:type="dxa"/>
            <w:noWrap/>
            <w:vAlign w:val="center"/>
          </w:tcPr>
          <w:p w:rsidR="00135105" w:rsidRPr="00242020" w:rsidRDefault="00135105" w:rsidP="00135105">
            <w:pPr>
              <w:ind w:firstLine="0"/>
              <w:jc w:val="center"/>
              <w:rPr>
                <w:sz w:val="20"/>
              </w:rPr>
            </w:pPr>
            <w:r w:rsidRPr="00242020">
              <w:rPr>
                <w:sz w:val="20"/>
              </w:rPr>
              <w:t>243</w:t>
            </w:r>
          </w:p>
        </w:tc>
        <w:tc>
          <w:tcPr>
            <w:tcW w:w="656" w:type="dxa"/>
            <w:noWrap/>
            <w:vAlign w:val="center"/>
          </w:tcPr>
          <w:p w:rsidR="00135105" w:rsidRPr="00242020" w:rsidRDefault="00135105" w:rsidP="00135105">
            <w:pPr>
              <w:ind w:firstLine="0"/>
              <w:jc w:val="center"/>
              <w:cnfStyle w:val="000000100000"/>
              <w:rPr>
                <w:sz w:val="20"/>
              </w:rPr>
            </w:pPr>
            <w:r w:rsidRPr="00242020">
              <w:rPr>
                <w:sz w:val="20"/>
              </w:rPr>
              <w:t>39</w:t>
            </w:r>
          </w:p>
        </w:tc>
        <w:tc>
          <w:tcPr>
            <w:cnfStyle w:val="000010000000"/>
            <w:tcW w:w="656" w:type="dxa"/>
            <w:noWrap/>
            <w:vAlign w:val="center"/>
          </w:tcPr>
          <w:p w:rsidR="00135105" w:rsidRPr="00242020" w:rsidRDefault="00135105" w:rsidP="00135105">
            <w:pPr>
              <w:ind w:firstLine="0"/>
              <w:jc w:val="center"/>
              <w:rPr>
                <w:sz w:val="20"/>
              </w:rPr>
            </w:pPr>
            <w:r w:rsidRPr="00242020">
              <w:rPr>
                <w:sz w:val="20"/>
              </w:rPr>
              <w:t>2</w:t>
            </w:r>
          </w:p>
        </w:tc>
        <w:tc>
          <w:tcPr>
            <w:tcW w:w="656" w:type="dxa"/>
            <w:noWrap/>
            <w:vAlign w:val="center"/>
          </w:tcPr>
          <w:p w:rsidR="00135105" w:rsidRPr="00242020" w:rsidRDefault="00135105" w:rsidP="00135105">
            <w:pPr>
              <w:ind w:firstLine="0"/>
              <w:jc w:val="center"/>
              <w:cnfStyle w:val="000000100000"/>
              <w:rPr>
                <w:sz w:val="20"/>
              </w:rPr>
            </w:pPr>
            <w:r w:rsidRPr="00242020">
              <w:rPr>
                <w:sz w:val="20"/>
              </w:rPr>
              <w:t>11</w:t>
            </w:r>
          </w:p>
        </w:tc>
      </w:tr>
      <w:tr w:rsidR="00EF2524" w:rsidRPr="00242020" w:rsidTr="00EF2524">
        <w:trPr>
          <w:cnfStyle w:val="000000010000"/>
          <w:trHeight w:hRule="exact" w:val="266"/>
        </w:trPr>
        <w:tc>
          <w:tcPr>
            <w:cnfStyle w:val="000010000000"/>
            <w:tcW w:w="434" w:type="dxa"/>
            <w:shd w:val="clear" w:color="auto" w:fill="auto"/>
            <w:vAlign w:val="center"/>
          </w:tcPr>
          <w:p w:rsidR="00135105" w:rsidRPr="00242020" w:rsidRDefault="00135105" w:rsidP="00EF2524">
            <w:pPr>
              <w:ind w:left="-52" w:right="-88" w:firstLine="0"/>
              <w:jc w:val="center"/>
              <w:rPr>
                <w:sz w:val="20"/>
              </w:rPr>
            </w:pPr>
            <w:r w:rsidRPr="00242020">
              <w:rPr>
                <w:sz w:val="20"/>
              </w:rPr>
              <w:t>21</w:t>
            </w:r>
          </w:p>
        </w:tc>
        <w:tc>
          <w:tcPr>
            <w:tcW w:w="2509" w:type="dxa"/>
            <w:gridSpan w:val="2"/>
            <w:shd w:val="clear" w:color="auto" w:fill="auto"/>
            <w:vAlign w:val="center"/>
          </w:tcPr>
          <w:p w:rsidR="00135105" w:rsidRPr="00242020" w:rsidRDefault="00135105" w:rsidP="00135105">
            <w:pPr>
              <w:ind w:firstLine="0"/>
              <w:cnfStyle w:val="000000010000"/>
              <w:rPr>
                <w:sz w:val="20"/>
              </w:rPr>
            </w:pPr>
            <w:r w:rsidRPr="00242020">
              <w:rPr>
                <w:sz w:val="20"/>
              </w:rPr>
              <w:t>Хмельницька область</w:t>
            </w:r>
          </w:p>
        </w:tc>
        <w:tc>
          <w:tcPr>
            <w:cnfStyle w:val="000010000000"/>
            <w:tcW w:w="916" w:type="dxa"/>
            <w:shd w:val="clear" w:color="auto" w:fill="auto"/>
            <w:vAlign w:val="center"/>
          </w:tcPr>
          <w:p w:rsidR="00135105" w:rsidRPr="00242020" w:rsidRDefault="00135105" w:rsidP="00135105">
            <w:pPr>
              <w:ind w:firstLine="0"/>
              <w:jc w:val="center"/>
              <w:rPr>
                <w:sz w:val="20"/>
              </w:rPr>
            </w:pPr>
            <w:r w:rsidRPr="00242020">
              <w:rPr>
                <w:sz w:val="20"/>
              </w:rPr>
              <w:t>2000</w:t>
            </w:r>
          </w:p>
        </w:tc>
        <w:tc>
          <w:tcPr>
            <w:tcW w:w="91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1890</w:t>
            </w:r>
          </w:p>
        </w:tc>
        <w:tc>
          <w:tcPr>
            <w:cnfStyle w:val="000010000000"/>
            <w:tcW w:w="781" w:type="dxa"/>
            <w:shd w:val="clear" w:color="auto" w:fill="auto"/>
            <w:noWrap/>
            <w:vAlign w:val="center"/>
          </w:tcPr>
          <w:p w:rsidR="00135105" w:rsidRPr="00242020" w:rsidRDefault="00135105" w:rsidP="00135105">
            <w:pPr>
              <w:ind w:firstLine="0"/>
              <w:jc w:val="center"/>
              <w:rPr>
                <w:sz w:val="20"/>
              </w:rPr>
            </w:pPr>
            <w:r w:rsidRPr="00242020">
              <w:rPr>
                <w:sz w:val="20"/>
              </w:rPr>
              <w:t>83</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20</w:t>
            </w:r>
          </w:p>
        </w:tc>
        <w:tc>
          <w:tcPr>
            <w:cnfStyle w:val="000010000000"/>
            <w:tcW w:w="656" w:type="dxa"/>
            <w:shd w:val="clear" w:color="auto" w:fill="auto"/>
            <w:noWrap/>
            <w:vAlign w:val="center"/>
          </w:tcPr>
          <w:p w:rsidR="00135105" w:rsidRPr="00242020" w:rsidRDefault="00135105" w:rsidP="00135105">
            <w:pPr>
              <w:ind w:firstLine="0"/>
              <w:jc w:val="center"/>
              <w:rPr>
                <w:sz w:val="20"/>
              </w:rPr>
            </w:pPr>
            <w:r w:rsidRPr="00242020">
              <w:rPr>
                <w:sz w:val="20"/>
              </w:rPr>
              <w:t>1</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6</w:t>
            </w:r>
          </w:p>
        </w:tc>
        <w:tc>
          <w:tcPr>
            <w:cnfStyle w:val="000010000000"/>
            <w:tcW w:w="897" w:type="dxa"/>
            <w:shd w:val="clear" w:color="auto" w:fill="auto"/>
            <w:noWrap/>
            <w:vAlign w:val="center"/>
          </w:tcPr>
          <w:p w:rsidR="00135105" w:rsidRPr="00242020" w:rsidRDefault="00135105" w:rsidP="00135105">
            <w:pPr>
              <w:ind w:firstLine="0"/>
              <w:jc w:val="center"/>
              <w:rPr>
                <w:b/>
                <w:i/>
                <w:iCs/>
                <w:sz w:val="20"/>
              </w:rPr>
            </w:pPr>
            <w:r w:rsidRPr="00242020">
              <w:rPr>
                <w:b/>
                <w:i/>
                <w:iCs/>
                <w:sz w:val="20"/>
              </w:rPr>
              <w:t>0</w:t>
            </w:r>
          </w:p>
        </w:tc>
        <w:tc>
          <w:tcPr>
            <w:tcW w:w="516" w:type="dxa"/>
            <w:shd w:val="clear" w:color="auto" w:fill="auto"/>
            <w:noWrap/>
            <w:vAlign w:val="center"/>
          </w:tcPr>
          <w:p w:rsidR="00135105" w:rsidRPr="00242020" w:rsidRDefault="00135105" w:rsidP="00135105">
            <w:pPr>
              <w:ind w:firstLine="0"/>
              <w:jc w:val="center"/>
              <w:cnfStyle w:val="000000010000"/>
              <w:rPr>
                <w:b/>
                <w:i/>
                <w:iCs/>
                <w:sz w:val="20"/>
              </w:rPr>
            </w:pPr>
          </w:p>
        </w:tc>
        <w:tc>
          <w:tcPr>
            <w:cnfStyle w:val="000010000000"/>
            <w:tcW w:w="503" w:type="dxa"/>
            <w:shd w:val="clear" w:color="auto" w:fill="auto"/>
            <w:vAlign w:val="center"/>
          </w:tcPr>
          <w:p w:rsidR="00135105" w:rsidRPr="00242020" w:rsidRDefault="00135105" w:rsidP="00135105">
            <w:pPr>
              <w:ind w:firstLine="0"/>
              <w:jc w:val="center"/>
              <w:rPr>
                <w:b/>
                <w:i/>
                <w:iCs/>
                <w:sz w:val="20"/>
              </w:rPr>
            </w:pPr>
          </w:p>
        </w:tc>
        <w:tc>
          <w:tcPr>
            <w:tcW w:w="436" w:type="dxa"/>
            <w:shd w:val="clear" w:color="auto" w:fill="auto"/>
            <w:noWrap/>
            <w:vAlign w:val="center"/>
          </w:tcPr>
          <w:p w:rsidR="00135105" w:rsidRPr="00242020" w:rsidRDefault="00135105" w:rsidP="00135105">
            <w:pPr>
              <w:ind w:firstLine="0"/>
              <w:jc w:val="center"/>
              <w:cnfStyle w:val="000000010000"/>
              <w:rPr>
                <w:b/>
                <w:i/>
                <w:iCs/>
                <w:sz w:val="20"/>
              </w:rPr>
            </w:pPr>
          </w:p>
        </w:tc>
        <w:tc>
          <w:tcPr>
            <w:cnfStyle w:val="000010000000"/>
            <w:tcW w:w="363" w:type="dxa"/>
            <w:shd w:val="clear" w:color="auto" w:fill="auto"/>
            <w:vAlign w:val="center"/>
          </w:tcPr>
          <w:p w:rsidR="00135105" w:rsidRPr="00242020" w:rsidRDefault="00135105" w:rsidP="00135105">
            <w:pPr>
              <w:ind w:firstLine="0"/>
              <w:jc w:val="center"/>
              <w:rPr>
                <w:b/>
                <w:i/>
                <w:iCs/>
                <w:sz w:val="20"/>
              </w:rPr>
            </w:pPr>
          </w:p>
        </w:tc>
        <w:tc>
          <w:tcPr>
            <w:tcW w:w="434" w:type="dxa"/>
            <w:shd w:val="clear" w:color="auto" w:fill="auto"/>
            <w:vAlign w:val="center"/>
          </w:tcPr>
          <w:p w:rsidR="00135105" w:rsidRPr="00242020" w:rsidRDefault="00135105" w:rsidP="00135105">
            <w:pPr>
              <w:ind w:firstLine="0"/>
              <w:jc w:val="center"/>
              <w:cnfStyle w:val="000000010000"/>
              <w:rPr>
                <w:b/>
                <w:i/>
                <w:iCs/>
                <w:sz w:val="20"/>
              </w:rPr>
            </w:pPr>
          </w:p>
        </w:tc>
        <w:tc>
          <w:tcPr>
            <w:cnfStyle w:val="000010000000"/>
            <w:tcW w:w="916" w:type="dxa"/>
            <w:shd w:val="clear" w:color="auto" w:fill="auto"/>
            <w:vAlign w:val="center"/>
          </w:tcPr>
          <w:p w:rsidR="00135105" w:rsidRPr="00242020" w:rsidRDefault="00135105" w:rsidP="00135105">
            <w:pPr>
              <w:ind w:firstLine="0"/>
              <w:jc w:val="center"/>
              <w:rPr>
                <w:sz w:val="20"/>
              </w:rPr>
            </w:pPr>
            <w:r w:rsidRPr="00242020">
              <w:rPr>
                <w:sz w:val="20"/>
              </w:rPr>
              <w:t>2000</w:t>
            </w:r>
          </w:p>
        </w:tc>
        <w:tc>
          <w:tcPr>
            <w:tcW w:w="91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1890</w:t>
            </w:r>
          </w:p>
        </w:tc>
        <w:tc>
          <w:tcPr>
            <w:cnfStyle w:val="000010000000"/>
            <w:tcW w:w="732" w:type="dxa"/>
            <w:shd w:val="clear" w:color="auto" w:fill="auto"/>
            <w:noWrap/>
            <w:vAlign w:val="center"/>
          </w:tcPr>
          <w:p w:rsidR="00135105" w:rsidRPr="00242020" w:rsidRDefault="00135105" w:rsidP="00135105">
            <w:pPr>
              <w:ind w:firstLine="0"/>
              <w:jc w:val="center"/>
              <w:rPr>
                <w:sz w:val="20"/>
              </w:rPr>
            </w:pPr>
            <w:r w:rsidRPr="00242020">
              <w:rPr>
                <w:sz w:val="20"/>
              </w:rPr>
              <w:t>83</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20</w:t>
            </w:r>
          </w:p>
        </w:tc>
        <w:tc>
          <w:tcPr>
            <w:cnfStyle w:val="000010000000"/>
            <w:tcW w:w="656" w:type="dxa"/>
            <w:shd w:val="clear" w:color="auto" w:fill="auto"/>
            <w:noWrap/>
            <w:vAlign w:val="center"/>
          </w:tcPr>
          <w:p w:rsidR="00135105" w:rsidRPr="00242020" w:rsidRDefault="00135105" w:rsidP="00135105">
            <w:pPr>
              <w:ind w:firstLine="0"/>
              <w:jc w:val="center"/>
              <w:rPr>
                <w:sz w:val="20"/>
              </w:rPr>
            </w:pPr>
            <w:r w:rsidRPr="00242020">
              <w:rPr>
                <w:sz w:val="20"/>
              </w:rPr>
              <w:t>1</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6</w:t>
            </w:r>
          </w:p>
        </w:tc>
      </w:tr>
      <w:tr w:rsidR="00135105" w:rsidRPr="00242020" w:rsidTr="00EF2524">
        <w:trPr>
          <w:cnfStyle w:val="000000100000"/>
          <w:trHeight w:hRule="exact" w:val="266"/>
        </w:trPr>
        <w:tc>
          <w:tcPr>
            <w:cnfStyle w:val="000010000000"/>
            <w:tcW w:w="434" w:type="dxa"/>
            <w:vAlign w:val="center"/>
          </w:tcPr>
          <w:p w:rsidR="00135105" w:rsidRPr="00242020" w:rsidRDefault="00135105" w:rsidP="00EF2524">
            <w:pPr>
              <w:ind w:left="-52" w:right="-88" w:firstLine="0"/>
              <w:jc w:val="center"/>
              <w:rPr>
                <w:sz w:val="20"/>
              </w:rPr>
            </w:pPr>
            <w:r w:rsidRPr="00242020">
              <w:rPr>
                <w:sz w:val="20"/>
              </w:rPr>
              <w:t>22</w:t>
            </w:r>
          </w:p>
        </w:tc>
        <w:tc>
          <w:tcPr>
            <w:tcW w:w="2509" w:type="dxa"/>
            <w:gridSpan w:val="2"/>
            <w:vAlign w:val="center"/>
          </w:tcPr>
          <w:p w:rsidR="00135105" w:rsidRPr="00242020" w:rsidRDefault="00135105" w:rsidP="00135105">
            <w:pPr>
              <w:ind w:firstLine="0"/>
              <w:cnfStyle w:val="000000100000"/>
              <w:rPr>
                <w:sz w:val="20"/>
              </w:rPr>
            </w:pPr>
            <w:r w:rsidRPr="00242020">
              <w:rPr>
                <w:sz w:val="20"/>
              </w:rPr>
              <w:t>Черкаська область</w:t>
            </w:r>
          </w:p>
        </w:tc>
        <w:tc>
          <w:tcPr>
            <w:cnfStyle w:val="000010000000"/>
            <w:tcW w:w="916" w:type="dxa"/>
            <w:vAlign w:val="center"/>
          </w:tcPr>
          <w:p w:rsidR="00135105" w:rsidRPr="00242020" w:rsidRDefault="00135105" w:rsidP="00135105">
            <w:pPr>
              <w:ind w:firstLine="0"/>
              <w:jc w:val="center"/>
              <w:rPr>
                <w:sz w:val="20"/>
              </w:rPr>
            </w:pPr>
            <w:r w:rsidRPr="00242020">
              <w:rPr>
                <w:sz w:val="20"/>
              </w:rPr>
              <w:t>1798</w:t>
            </w:r>
          </w:p>
        </w:tc>
        <w:tc>
          <w:tcPr>
            <w:tcW w:w="916" w:type="dxa"/>
            <w:noWrap/>
            <w:vAlign w:val="center"/>
          </w:tcPr>
          <w:p w:rsidR="00135105" w:rsidRPr="00242020" w:rsidRDefault="00135105" w:rsidP="00135105">
            <w:pPr>
              <w:ind w:firstLine="0"/>
              <w:jc w:val="center"/>
              <w:cnfStyle w:val="000000100000"/>
              <w:rPr>
                <w:sz w:val="20"/>
              </w:rPr>
            </w:pPr>
            <w:r w:rsidRPr="00242020">
              <w:rPr>
                <w:sz w:val="20"/>
              </w:rPr>
              <w:t>1622</w:t>
            </w:r>
          </w:p>
        </w:tc>
        <w:tc>
          <w:tcPr>
            <w:cnfStyle w:val="000010000000"/>
            <w:tcW w:w="781" w:type="dxa"/>
            <w:noWrap/>
            <w:vAlign w:val="center"/>
          </w:tcPr>
          <w:p w:rsidR="00135105" w:rsidRPr="00242020" w:rsidRDefault="00135105" w:rsidP="00135105">
            <w:pPr>
              <w:ind w:firstLine="0"/>
              <w:jc w:val="center"/>
              <w:rPr>
                <w:sz w:val="20"/>
              </w:rPr>
            </w:pPr>
            <w:r w:rsidRPr="00242020">
              <w:rPr>
                <w:sz w:val="20"/>
              </w:rPr>
              <w:t>103</w:t>
            </w:r>
          </w:p>
        </w:tc>
        <w:tc>
          <w:tcPr>
            <w:tcW w:w="656" w:type="dxa"/>
            <w:noWrap/>
            <w:vAlign w:val="center"/>
          </w:tcPr>
          <w:p w:rsidR="00135105" w:rsidRPr="00242020" w:rsidRDefault="00135105" w:rsidP="00135105">
            <w:pPr>
              <w:ind w:firstLine="0"/>
              <w:jc w:val="center"/>
              <w:cnfStyle w:val="000000100000"/>
              <w:rPr>
                <w:sz w:val="20"/>
              </w:rPr>
            </w:pPr>
            <w:r w:rsidRPr="00242020">
              <w:rPr>
                <w:sz w:val="20"/>
              </w:rPr>
              <w:t>37</w:t>
            </w:r>
          </w:p>
        </w:tc>
        <w:tc>
          <w:tcPr>
            <w:cnfStyle w:val="000010000000"/>
            <w:tcW w:w="656" w:type="dxa"/>
            <w:noWrap/>
            <w:vAlign w:val="center"/>
          </w:tcPr>
          <w:p w:rsidR="00135105" w:rsidRPr="00242020" w:rsidRDefault="00135105" w:rsidP="00135105">
            <w:pPr>
              <w:ind w:firstLine="0"/>
              <w:jc w:val="center"/>
              <w:rPr>
                <w:sz w:val="20"/>
              </w:rPr>
            </w:pPr>
            <w:r w:rsidRPr="00242020">
              <w:rPr>
                <w:sz w:val="20"/>
              </w:rPr>
              <w:t>17</w:t>
            </w:r>
          </w:p>
        </w:tc>
        <w:tc>
          <w:tcPr>
            <w:tcW w:w="656" w:type="dxa"/>
            <w:noWrap/>
            <w:vAlign w:val="center"/>
          </w:tcPr>
          <w:p w:rsidR="00135105" w:rsidRPr="00242020" w:rsidRDefault="00135105" w:rsidP="00135105">
            <w:pPr>
              <w:ind w:firstLine="0"/>
              <w:jc w:val="center"/>
              <w:cnfStyle w:val="000000100000"/>
              <w:rPr>
                <w:sz w:val="20"/>
              </w:rPr>
            </w:pPr>
            <w:r w:rsidRPr="00242020">
              <w:rPr>
                <w:sz w:val="20"/>
              </w:rPr>
              <w:t>19</w:t>
            </w:r>
          </w:p>
        </w:tc>
        <w:tc>
          <w:tcPr>
            <w:cnfStyle w:val="000010000000"/>
            <w:tcW w:w="897" w:type="dxa"/>
            <w:noWrap/>
            <w:vAlign w:val="center"/>
          </w:tcPr>
          <w:p w:rsidR="00135105" w:rsidRPr="00242020" w:rsidRDefault="00135105" w:rsidP="00135105">
            <w:pPr>
              <w:ind w:firstLine="0"/>
              <w:jc w:val="center"/>
              <w:rPr>
                <w:b/>
                <w:i/>
                <w:iCs/>
                <w:sz w:val="20"/>
              </w:rPr>
            </w:pPr>
            <w:r w:rsidRPr="00242020">
              <w:rPr>
                <w:b/>
                <w:i/>
                <w:iCs/>
                <w:sz w:val="20"/>
              </w:rPr>
              <w:t>18</w:t>
            </w:r>
          </w:p>
        </w:tc>
        <w:tc>
          <w:tcPr>
            <w:tcW w:w="516" w:type="dxa"/>
            <w:noWrap/>
            <w:vAlign w:val="center"/>
          </w:tcPr>
          <w:p w:rsidR="00135105" w:rsidRPr="00242020" w:rsidRDefault="00135105" w:rsidP="00135105">
            <w:pPr>
              <w:ind w:firstLine="0"/>
              <w:jc w:val="center"/>
              <w:cnfStyle w:val="000000100000"/>
              <w:rPr>
                <w:b/>
                <w:i/>
                <w:iCs/>
                <w:sz w:val="20"/>
              </w:rPr>
            </w:pPr>
            <w:r w:rsidRPr="00242020">
              <w:rPr>
                <w:b/>
                <w:i/>
                <w:iCs/>
                <w:sz w:val="20"/>
              </w:rPr>
              <w:t>18</w:t>
            </w:r>
          </w:p>
        </w:tc>
        <w:tc>
          <w:tcPr>
            <w:cnfStyle w:val="000010000000"/>
            <w:tcW w:w="503" w:type="dxa"/>
            <w:vAlign w:val="center"/>
          </w:tcPr>
          <w:p w:rsidR="00135105" w:rsidRPr="00242020" w:rsidRDefault="00135105" w:rsidP="00135105">
            <w:pPr>
              <w:ind w:firstLine="0"/>
              <w:jc w:val="center"/>
              <w:rPr>
                <w:b/>
                <w:i/>
                <w:iCs/>
                <w:sz w:val="20"/>
              </w:rPr>
            </w:pPr>
          </w:p>
        </w:tc>
        <w:tc>
          <w:tcPr>
            <w:tcW w:w="436" w:type="dxa"/>
            <w:noWrap/>
            <w:vAlign w:val="center"/>
          </w:tcPr>
          <w:p w:rsidR="00135105" w:rsidRPr="00242020" w:rsidRDefault="00135105" w:rsidP="00135105">
            <w:pPr>
              <w:ind w:firstLine="0"/>
              <w:jc w:val="center"/>
              <w:cnfStyle w:val="000000100000"/>
              <w:rPr>
                <w:b/>
                <w:i/>
                <w:iCs/>
                <w:sz w:val="20"/>
              </w:rPr>
            </w:pPr>
          </w:p>
        </w:tc>
        <w:tc>
          <w:tcPr>
            <w:cnfStyle w:val="000010000000"/>
            <w:tcW w:w="363" w:type="dxa"/>
            <w:vAlign w:val="center"/>
          </w:tcPr>
          <w:p w:rsidR="00135105" w:rsidRPr="00242020" w:rsidRDefault="00135105" w:rsidP="00135105">
            <w:pPr>
              <w:ind w:firstLine="0"/>
              <w:jc w:val="center"/>
              <w:rPr>
                <w:b/>
                <w:i/>
                <w:iCs/>
                <w:sz w:val="20"/>
              </w:rPr>
            </w:pPr>
          </w:p>
        </w:tc>
        <w:tc>
          <w:tcPr>
            <w:tcW w:w="434" w:type="dxa"/>
            <w:vAlign w:val="center"/>
          </w:tcPr>
          <w:p w:rsidR="00135105" w:rsidRPr="00242020" w:rsidRDefault="00135105" w:rsidP="00135105">
            <w:pPr>
              <w:ind w:firstLine="0"/>
              <w:jc w:val="center"/>
              <w:cnfStyle w:val="000000100000"/>
              <w:rPr>
                <w:b/>
                <w:i/>
                <w:iCs/>
                <w:sz w:val="20"/>
              </w:rPr>
            </w:pPr>
          </w:p>
        </w:tc>
        <w:tc>
          <w:tcPr>
            <w:cnfStyle w:val="000010000000"/>
            <w:tcW w:w="916" w:type="dxa"/>
            <w:vAlign w:val="center"/>
          </w:tcPr>
          <w:p w:rsidR="00135105" w:rsidRPr="00242020" w:rsidRDefault="00135105" w:rsidP="00135105">
            <w:pPr>
              <w:ind w:firstLine="0"/>
              <w:jc w:val="center"/>
              <w:rPr>
                <w:sz w:val="20"/>
              </w:rPr>
            </w:pPr>
            <w:r w:rsidRPr="00242020">
              <w:rPr>
                <w:sz w:val="20"/>
              </w:rPr>
              <w:t>1816</w:t>
            </w:r>
          </w:p>
        </w:tc>
        <w:tc>
          <w:tcPr>
            <w:tcW w:w="916" w:type="dxa"/>
            <w:noWrap/>
            <w:vAlign w:val="center"/>
          </w:tcPr>
          <w:p w:rsidR="00135105" w:rsidRPr="00242020" w:rsidRDefault="00135105" w:rsidP="00135105">
            <w:pPr>
              <w:ind w:firstLine="0"/>
              <w:jc w:val="center"/>
              <w:cnfStyle w:val="000000100000"/>
              <w:rPr>
                <w:sz w:val="20"/>
              </w:rPr>
            </w:pPr>
            <w:r w:rsidRPr="00242020">
              <w:rPr>
                <w:sz w:val="20"/>
              </w:rPr>
              <w:t>1640</w:t>
            </w:r>
          </w:p>
        </w:tc>
        <w:tc>
          <w:tcPr>
            <w:cnfStyle w:val="000010000000"/>
            <w:tcW w:w="732" w:type="dxa"/>
            <w:noWrap/>
            <w:vAlign w:val="center"/>
          </w:tcPr>
          <w:p w:rsidR="00135105" w:rsidRPr="00242020" w:rsidRDefault="00135105" w:rsidP="00135105">
            <w:pPr>
              <w:ind w:firstLine="0"/>
              <w:jc w:val="center"/>
              <w:rPr>
                <w:sz w:val="20"/>
              </w:rPr>
            </w:pPr>
            <w:r w:rsidRPr="00242020">
              <w:rPr>
                <w:sz w:val="20"/>
              </w:rPr>
              <w:t>103</w:t>
            </w:r>
          </w:p>
        </w:tc>
        <w:tc>
          <w:tcPr>
            <w:tcW w:w="656" w:type="dxa"/>
            <w:noWrap/>
            <w:vAlign w:val="center"/>
          </w:tcPr>
          <w:p w:rsidR="00135105" w:rsidRPr="00242020" w:rsidRDefault="00135105" w:rsidP="00135105">
            <w:pPr>
              <w:ind w:firstLine="0"/>
              <w:jc w:val="center"/>
              <w:cnfStyle w:val="000000100000"/>
              <w:rPr>
                <w:sz w:val="20"/>
              </w:rPr>
            </w:pPr>
            <w:r w:rsidRPr="00242020">
              <w:rPr>
                <w:sz w:val="20"/>
              </w:rPr>
              <w:t>37</w:t>
            </w:r>
          </w:p>
        </w:tc>
        <w:tc>
          <w:tcPr>
            <w:cnfStyle w:val="000010000000"/>
            <w:tcW w:w="656" w:type="dxa"/>
            <w:noWrap/>
            <w:vAlign w:val="center"/>
          </w:tcPr>
          <w:p w:rsidR="00135105" w:rsidRPr="00242020" w:rsidRDefault="00135105" w:rsidP="00135105">
            <w:pPr>
              <w:ind w:firstLine="0"/>
              <w:jc w:val="center"/>
              <w:rPr>
                <w:sz w:val="20"/>
              </w:rPr>
            </w:pPr>
            <w:r w:rsidRPr="00242020">
              <w:rPr>
                <w:sz w:val="20"/>
              </w:rPr>
              <w:t>17</w:t>
            </w:r>
          </w:p>
        </w:tc>
        <w:tc>
          <w:tcPr>
            <w:tcW w:w="656" w:type="dxa"/>
            <w:noWrap/>
            <w:vAlign w:val="center"/>
          </w:tcPr>
          <w:p w:rsidR="00135105" w:rsidRPr="00242020" w:rsidRDefault="00135105" w:rsidP="00135105">
            <w:pPr>
              <w:ind w:firstLine="0"/>
              <w:jc w:val="center"/>
              <w:cnfStyle w:val="000000100000"/>
              <w:rPr>
                <w:sz w:val="20"/>
              </w:rPr>
            </w:pPr>
            <w:r w:rsidRPr="00242020">
              <w:rPr>
                <w:sz w:val="20"/>
              </w:rPr>
              <w:t>19</w:t>
            </w:r>
          </w:p>
        </w:tc>
      </w:tr>
      <w:tr w:rsidR="00EF2524" w:rsidRPr="00242020" w:rsidTr="00EF2524">
        <w:trPr>
          <w:cnfStyle w:val="000000010000"/>
          <w:trHeight w:hRule="exact" w:val="266"/>
        </w:trPr>
        <w:tc>
          <w:tcPr>
            <w:cnfStyle w:val="000010000000"/>
            <w:tcW w:w="434" w:type="dxa"/>
            <w:shd w:val="clear" w:color="auto" w:fill="auto"/>
            <w:vAlign w:val="center"/>
          </w:tcPr>
          <w:p w:rsidR="00135105" w:rsidRPr="00242020" w:rsidRDefault="00135105" w:rsidP="00EF2524">
            <w:pPr>
              <w:ind w:left="-52" w:right="-88" w:firstLine="0"/>
              <w:jc w:val="center"/>
              <w:rPr>
                <w:sz w:val="20"/>
              </w:rPr>
            </w:pPr>
            <w:r w:rsidRPr="00242020">
              <w:rPr>
                <w:sz w:val="20"/>
              </w:rPr>
              <w:t>23</w:t>
            </w:r>
          </w:p>
        </w:tc>
        <w:tc>
          <w:tcPr>
            <w:tcW w:w="2509" w:type="dxa"/>
            <w:gridSpan w:val="2"/>
            <w:shd w:val="clear" w:color="auto" w:fill="auto"/>
            <w:vAlign w:val="center"/>
          </w:tcPr>
          <w:p w:rsidR="00135105" w:rsidRPr="00242020" w:rsidRDefault="00135105" w:rsidP="00135105">
            <w:pPr>
              <w:ind w:firstLine="0"/>
              <w:cnfStyle w:val="000000010000"/>
              <w:rPr>
                <w:sz w:val="20"/>
              </w:rPr>
            </w:pPr>
            <w:r w:rsidRPr="00242020">
              <w:rPr>
                <w:sz w:val="20"/>
              </w:rPr>
              <w:t>Чернівецька область</w:t>
            </w:r>
          </w:p>
        </w:tc>
        <w:tc>
          <w:tcPr>
            <w:cnfStyle w:val="000010000000"/>
            <w:tcW w:w="916" w:type="dxa"/>
            <w:shd w:val="clear" w:color="auto" w:fill="auto"/>
            <w:vAlign w:val="center"/>
          </w:tcPr>
          <w:p w:rsidR="00135105" w:rsidRPr="00242020" w:rsidRDefault="00135105" w:rsidP="00135105">
            <w:pPr>
              <w:ind w:firstLine="0"/>
              <w:jc w:val="center"/>
              <w:rPr>
                <w:sz w:val="20"/>
              </w:rPr>
            </w:pPr>
            <w:r w:rsidRPr="00242020">
              <w:rPr>
                <w:sz w:val="20"/>
              </w:rPr>
              <w:t>2653</w:t>
            </w:r>
          </w:p>
        </w:tc>
        <w:tc>
          <w:tcPr>
            <w:tcW w:w="91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2592</w:t>
            </w:r>
          </w:p>
        </w:tc>
        <w:tc>
          <w:tcPr>
            <w:cnfStyle w:val="000010000000"/>
            <w:tcW w:w="781" w:type="dxa"/>
            <w:shd w:val="clear" w:color="auto" w:fill="auto"/>
            <w:noWrap/>
            <w:vAlign w:val="center"/>
          </w:tcPr>
          <w:p w:rsidR="00135105" w:rsidRPr="00242020" w:rsidRDefault="00135105" w:rsidP="00135105">
            <w:pPr>
              <w:ind w:firstLine="0"/>
              <w:jc w:val="center"/>
              <w:rPr>
                <w:sz w:val="20"/>
              </w:rPr>
            </w:pPr>
            <w:r w:rsidRPr="00242020">
              <w:rPr>
                <w:sz w:val="20"/>
              </w:rPr>
              <w:t>4</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45</w:t>
            </w:r>
          </w:p>
        </w:tc>
        <w:tc>
          <w:tcPr>
            <w:cnfStyle w:val="000010000000"/>
            <w:tcW w:w="656" w:type="dxa"/>
            <w:shd w:val="clear" w:color="auto" w:fill="auto"/>
            <w:noWrap/>
            <w:vAlign w:val="center"/>
          </w:tcPr>
          <w:p w:rsidR="00135105" w:rsidRPr="00242020" w:rsidRDefault="00135105" w:rsidP="00135105">
            <w:pPr>
              <w:ind w:firstLine="0"/>
              <w:jc w:val="center"/>
              <w:rPr>
                <w:sz w:val="20"/>
              </w:rPr>
            </w:pPr>
            <w:r w:rsidRPr="00242020">
              <w:rPr>
                <w:sz w:val="20"/>
              </w:rPr>
              <w:t>1</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11</w:t>
            </w:r>
          </w:p>
        </w:tc>
        <w:tc>
          <w:tcPr>
            <w:cnfStyle w:val="000010000000"/>
            <w:tcW w:w="897" w:type="dxa"/>
            <w:shd w:val="clear" w:color="auto" w:fill="auto"/>
            <w:noWrap/>
            <w:vAlign w:val="center"/>
          </w:tcPr>
          <w:p w:rsidR="00135105" w:rsidRPr="00242020" w:rsidRDefault="00135105" w:rsidP="00135105">
            <w:pPr>
              <w:ind w:firstLine="0"/>
              <w:jc w:val="center"/>
              <w:rPr>
                <w:b/>
                <w:i/>
                <w:iCs/>
                <w:sz w:val="20"/>
              </w:rPr>
            </w:pPr>
            <w:r w:rsidRPr="00242020">
              <w:rPr>
                <w:b/>
                <w:i/>
                <w:iCs/>
                <w:sz w:val="20"/>
              </w:rPr>
              <w:t>7</w:t>
            </w:r>
          </w:p>
        </w:tc>
        <w:tc>
          <w:tcPr>
            <w:tcW w:w="516" w:type="dxa"/>
            <w:shd w:val="clear" w:color="auto" w:fill="auto"/>
            <w:noWrap/>
            <w:vAlign w:val="center"/>
          </w:tcPr>
          <w:p w:rsidR="00135105" w:rsidRPr="00242020" w:rsidRDefault="00135105" w:rsidP="00135105">
            <w:pPr>
              <w:ind w:firstLine="0"/>
              <w:jc w:val="center"/>
              <w:cnfStyle w:val="000000010000"/>
              <w:rPr>
                <w:b/>
                <w:i/>
                <w:iCs/>
                <w:sz w:val="20"/>
              </w:rPr>
            </w:pPr>
            <w:r w:rsidRPr="00242020">
              <w:rPr>
                <w:b/>
                <w:i/>
                <w:iCs/>
                <w:sz w:val="20"/>
              </w:rPr>
              <w:t>7</w:t>
            </w:r>
          </w:p>
        </w:tc>
        <w:tc>
          <w:tcPr>
            <w:cnfStyle w:val="000010000000"/>
            <w:tcW w:w="503" w:type="dxa"/>
            <w:shd w:val="clear" w:color="auto" w:fill="auto"/>
            <w:vAlign w:val="center"/>
          </w:tcPr>
          <w:p w:rsidR="00135105" w:rsidRPr="00242020" w:rsidRDefault="00135105" w:rsidP="00135105">
            <w:pPr>
              <w:ind w:firstLine="0"/>
              <w:jc w:val="center"/>
              <w:rPr>
                <w:b/>
                <w:i/>
                <w:iCs/>
                <w:sz w:val="20"/>
              </w:rPr>
            </w:pPr>
          </w:p>
        </w:tc>
        <w:tc>
          <w:tcPr>
            <w:tcW w:w="436" w:type="dxa"/>
            <w:shd w:val="clear" w:color="auto" w:fill="auto"/>
            <w:noWrap/>
            <w:vAlign w:val="center"/>
          </w:tcPr>
          <w:p w:rsidR="00135105" w:rsidRPr="00242020" w:rsidRDefault="00135105" w:rsidP="00135105">
            <w:pPr>
              <w:ind w:firstLine="0"/>
              <w:jc w:val="center"/>
              <w:cnfStyle w:val="000000010000"/>
              <w:rPr>
                <w:b/>
                <w:i/>
                <w:iCs/>
                <w:sz w:val="20"/>
              </w:rPr>
            </w:pPr>
          </w:p>
        </w:tc>
        <w:tc>
          <w:tcPr>
            <w:cnfStyle w:val="000010000000"/>
            <w:tcW w:w="363" w:type="dxa"/>
            <w:shd w:val="clear" w:color="auto" w:fill="auto"/>
            <w:vAlign w:val="center"/>
          </w:tcPr>
          <w:p w:rsidR="00135105" w:rsidRPr="00242020" w:rsidRDefault="00135105" w:rsidP="00135105">
            <w:pPr>
              <w:ind w:firstLine="0"/>
              <w:jc w:val="center"/>
              <w:rPr>
                <w:b/>
                <w:i/>
                <w:iCs/>
                <w:sz w:val="20"/>
              </w:rPr>
            </w:pPr>
          </w:p>
        </w:tc>
        <w:tc>
          <w:tcPr>
            <w:tcW w:w="434" w:type="dxa"/>
            <w:shd w:val="clear" w:color="auto" w:fill="auto"/>
            <w:vAlign w:val="center"/>
          </w:tcPr>
          <w:p w:rsidR="00135105" w:rsidRPr="00242020" w:rsidRDefault="00135105" w:rsidP="00135105">
            <w:pPr>
              <w:ind w:firstLine="0"/>
              <w:jc w:val="center"/>
              <w:cnfStyle w:val="000000010000"/>
              <w:rPr>
                <w:b/>
                <w:i/>
                <w:iCs/>
                <w:sz w:val="20"/>
              </w:rPr>
            </w:pPr>
          </w:p>
        </w:tc>
        <w:tc>
          <w:tcPr>
            <w:cnfStyle w:val="000010000000"/>
            <w:tcW w:w="916" w:type="dxa"/>
            <w:shd w:val="clear" w:color="auto" w:fill="auto"/>
            <w:vAlign w:val="center"/>
          </w:tcPr>
          <w:p w:rsidR="00135105" w:rsidRPr="00242020" w:rsidRDefault="00135105" w:rsidP="00135105">
            <w:pPr>
              <w:ind w:firstLine="0"/>
              <w:jc w:val="center"/>
              <w:rPr>
                <w:sz w:val="20"/>
              </w:rPr>
            </w:pPr>
            <w:r w:rsidRPr="00242020">
              <w:rPr>
                <w:sz w:val="20"/>
              </w:rPr>
              <w:t>2660</w:t>
            </w:r>
          </w:p>
        </w:tc>
        <w:tc>
          <w:tcPr>
            <w:tcW w:w="91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2599</w:t>
            </w:r>
          </w:p>
        </w:tc>
        <w:tc>
          <w:tcPr>
            <w:cnfStyle w:val="000010000000"/>
            <w:tcW w:w="732" w:type="dxa"/>
            <w:shd w:val="clear" w:color="auto" w:fill="auto"/>
            <w:noWrap/>
            <w:vAlign w:val="center"/>
          </w:tcPr>
          <w:p w:rsidR="00135105" w:rsidRPr="00242020" w:rsidRDefault="00135105" w:rsidP="00135105">
            <w:pPr>
              <w:ind w:firstLine="0"/>
              <w:jc w:val="center"/>
              <w:rPr>
                <w:sz w:val="20"/>
              </w:rPr>
            </w:pPr>
            <w:r w:rsidRPr="00242020">
              <w:rPr>
                <w:sz w:val="20"/>
              </w:rPr>
              <w:t>4</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45</w:t>
            </w:r>
          </w:p>
        </w:tc>
        <w:tc>
          <w:tcPr>
            <w:cnfStyle w:val="000010000000"/>
            <w:tcW w:w="656" w:type="dxa"/>
            <w:shd w:val="clear" w:color="auto" w:fill="auto"/>
            <w:noWrap/>
            <w:vAlign w:val="center"/>
          </w:tcPr>
          <w:p w:rsidR="00135105" w:rsidRPr="00242020" w:rsidRDefault="00135105" w:rsidP="00135105">
            <w:pPr>
              <w:ind w:firstLine="0"/>
              <w:jc w:val="center"/>
              <w:rPr>
                <w:sz w:val="20"/>
              </w:rPr>
            </w:pPr>
            <w:r w:rsidRPr="00242020">
              <w:rPr>
                <w:sz w:val="20"/>
              </w:rPr>
              <w:t>1</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11</w:t>
            </w:r>
          </w:p>
        </w:tc>
      </w:tr>
      <w:tr w:rsidR="00135105" w:rsidRPr="00242020" w:rsidTr="00EF2524">
        <w:trPr>
          <w:cnfStyle w:val="000000100000"/>
          <w:trHeight w:hRule="exact" w:val="266"/>
        </w:trPr>
        <w:tc>
          <w:tcPr>
            <w:cnfStyle w:val="000010000000"/>
            <w:tcW w:w="434" w:type="dxa"/>
            <w:vAlign w:val="center"/>
          </w:tcPr>
          <w:p w:rsidR="00135105" w:rsidRPr="00242020" w:rsidRDefault="00135105" w:rsidP="00EF2524">
            <w:pPr>
              <w:ind w:left="-52" w:right="-88" w:firstLine="0"/>
              <w:jc w:val="center"/>
              <w:rPr>
                <w:sz w:val="20"/>
              </w:rPr>
            </w:pPr>
            <w:r w:rsidRPr="00242020">
              <w:rPr>
                <w:sz w:val="20"/>
              </w:rPr>
              <w:t>24</w:t>
            </w:r>
          </w:p>
        </w:tc>
        <w:tc>
          <w:tcPr>
            <w:tcW w:w="2509" w:type="dxa"/>
            <w:gridSpan w:val="2"/>
            <w:vAlign w:val="center"/>
          </w:tcPr>
          <w:p w:rsidR="00135105" w:rsidRPr="00242020" w:rsidRDefault="00135105" w:rsidP="00135105">
            <w:pPr>
              <w:ind w:firstLine="0"/>
              <w:cnfStyle w:val="000000100000"/>
              <w:rPr>
                <w:sz w:val="20"/>
              </w:rPr>
            </w:pPr>
            <w:r w:rsidRPr="00242020">
              <w:rPr>
                <w:sz w:val="20"/>
              </w:rPr>
              <w:t>Чернігівська область</w:t>
            </w:r>
          </w:p>
        </w:tc>
        <w:tc>
          <w:tcPr>
            <w:cnfStyle w:val="000010000000"/>
            <w:tcW w:w="916" w:type="dxa"/>
            <w:vAlign w:val="center"/>
          </w:tcPr>
          <w:p w:rsidR="00135105" w:rsidRPr="00242020" w:rsidRDefault="00135105" w:rsidP="00135105">
            <w:pPr>
              <w:ind w:firstLine="0"/>
              <w:jc w:val="center"/>
              <w:rPr>
                <w:sz w:val="20"/>
              </w:rPr>
            </w:pPr>
            <w:r w:rsidRPr="00242020">
              <w:rPr>
                <w:sz w:val="20"/>
              </w:rPr>
              <w:t>1077</w:t>
            </w:r>
          </w:p>
        </w:tc>
        <w:tc>
          <w:tcPr>
            <w:tcW w:w="916" w:type="dxa"/>
            <w:noWrap/>
            <w:vAlign w:val="center"/>
          </w:tcPr>
          <w:p w:rsidR="00135105" w:rsidRPr="00242020" w:rsidRDefault="00135105" w:rsidP="00135105">
            <w:pPr>
              <w:ind w:firstLine="0"/>
              <w:jc w:val="center"/>
              <w:cnfStyle w:val="000000100000"/>
              <w:rPr>
                <w:sz w:val="20"/>
              </w:rPr>
            </w:pPr>
            <w:r w:rsidRPr="00242020">
              <w:rPr>
                <w:sz w:val="20"/>
              </w:rPr>
              <w:t>941</w:t>
            </w:r>
          </w:p>
        </w:tc>
        <w:tc>
          <w:tcPr>
            <w:cnfStyle w:val="000010000000"/>
            <w:tcW w:w="781" w:type="dxa"/>
            <w:noWrap/>
            <w:vAlign w:val="center"/>
          </w:tcPr>
          <w:p w:rsidR="00135105" w:rsidRPr="00242020" w:rsidRDefault="00135105" w:rsidP="00135105">
            <w:pPr>
              <w:ind w:firstLine="0"/>
              <w:jc w:val="center"/>
              <w:rPr>
                <w:sz w:val="20"/>
              </w:rPr>
            </w:pPr>
            <w:r w:rsidRPr="00242020">
              <w:rPr>
                <w:sz w:val="20"/>
              </w:rPr>
              <w:t>114</w:t>
            </w:r>
          </w:p>
        </w:tc>
        <w:tc>
          <w:tcPr>
            <w:tcW w:w="656" w:type="dxa"/>
            <w:noWrap/>
            <w:vAlign w:val="center"/>
          </w:tcPr>
          <w:p w:rsidR="00135105" w:rsidRPr="00242020" w:rsidRDefault="00135105" w:rsidP="00135105">
            <w:pPr>
              <w:ind w:firstLine="0"/>
              <w:jc w:val="center"/>
              <w:cnfStyle w:val="000000100000"/>
              <w:rPr>
                <w:sz w:val="20"/>
              </w:rPr>
            </w:pPr>
            <w:r w:rsidRPr="00242020">
              <w:rPr>
                <w:sz w:val="20"/>
              </w:rPr>
              <w:t>14</w:t>
            </w:r>
          </w:p>
        </w:tc>
        <w:tc>
          <w:tcPr>
            <w:cnfStyle w:val="000010000000"/>
            <w:tcW w:w="656" w:type="dxa"/>
            <w:noWrap/>
            <w:vAlign w:val="center"/>
          </w:tcPr>
          <w:p w:rsidR="00135105" w:rsidRPr="00242020" w:rsidRDefault="00135105" w:rsidP="00135105">
            <w:pPr>
              <w:ind w:firstLine="0"/>
              <w:jc w:val="center"/>
              <w:rPr>
                <w:sz w:val="20"/>
              </w:rPr>
            </w:pPr>
            <w:r w:rsidRPr="00242020">
              <w:rPr>
                <w:sz w:val="20"/>
              </w:rPr>
              <w:t>2</w:t>
            </w:r>
          </w:p>
        </w:tc>
        <w:tc>
          <w:tcPr>
            <w:tcW w:w="656" w:type="dxa"/>
            <w:noWrap/>
            <w:vAlign w:val="center"/>
          </w:tcPr>
          <w:p w:rsidR="00135105" w:rsidRPr="00242020" w:rsidRDefault="00135105" w:rsidP="00135105">
            <w:pPr>
              <w:ind w:firstLine="0"/>
              <w:jc w:val="center"/>
              <w:cnfStyle w:val="000000100000"/>
              <w:rPr>
                <w:sz w:val="20"/>
              </w:rPr>
            </w:pPr>
            <w:r w:rsidRPr="00242020">
              <w:rPr>
                <w:sz w:val="20"/>
              </w:rPr>
              <w:t>6</w:t>
            </w:r>
          </w:p>
        </w:tc>
        <w:tc>
          <w:tcPr>
            <w:cnfStyle w:val="000010000000"/>
            <w:tcW w:w="897" w:type="dxa"/>
            <w:noWrap/>
            <w:vAlign w:val="center"/>
          </w:tcPr>
          <w:p w:rsidR="00135105" w:rsidRPr="00242020" w:rsidRDefault="00135105" w:rsidP="00135105">
            <w:pPr>
              <w:ind w:firstLine="0"/>
              <w:jc w:val="center"/>
              <w:rPr>
                <w:b/>
                <w:i/>
                <w:iCs/>
                <w:sz w:val="20"/>
              </w:rPr>
            </w:pPr>
            <w:r w:rsidRPr="00242020">
              <w:rPr>
                <w:b/>
                <w:i/>
                <w:iCs/>
                <w:sz w:val="20"/>
              </w:rPr>
              <w:t>6</w:t>
            </w:r>
          </w:p>
        </w:tc>
        <w:tc>
          <w:tcPr>
            <w:tcW w:w="516" w:type="dxa"/>
            <w:noWrap/>
            <w:vAlign w:val="center"/>
          </w:tcPr>
          <w:p w:rsidR="00135105" w:rsidRPr="00242020" w:rsidRDefault="00135105" w:rsidP="00135105">
            <w:pPr>
              <w:ind w:firstLine="0"/>
              <w:jc w:val="center"/>
              <w:cnfStyle w:val="000000100000"/>
              <w:rPr>
                <w:b/>
                <w:i/>
                <w:iCs/>
                <w:sz w:val="20"/>
              </w:rPr>
            </w:pPr>
            <w:r w:rsidRPr="00242020">
              <w:rPr>
                <w:b/>
                <w:i/>
                <w:iCs/>
                <w:sz w:val="20"/>
              </w:rPr>
              <w:t>6</w:t>
            </w:r>
          </w:p>
        </w:tc>
        <w:tc>
          <w:tcPr>
            <w:cnfStyle w:val="000010000000"/>
            <w:tcW w:w="503" w:type="dxa"/>
            <w:vAlign w:val="center"/>
          </w:tcPr>
          <w:p w:rsidR="00135105" w:rsidRPr="00242020" w:rsidRDefault="00135105" w:rsidP="00135105">
            <w:pPr>
              <w:ind w:firstLine="0"/>
              <w:jc w:val="center"/>
              <w:rPr>
                <w:b/>
                <w:i/>
                <w:iCs/>
                <w:sz w:val="20"/>
              </w:rPr>
            </w:pPr>
          </w:p>
        </w:tc>
        <w:tc>
          <w:tcPr>
            <w:tcW w:w="436" w:type="dxa"/>
            <w:noWrap/>
            <w:vAlign w:val="center"/>
          </w:tcPr>
          <w:p w:rsidR="00135105" w:rsidRPr="00242020" w:rsidRDefault="00135105" w:rsidP="00135105">
            <w:pPr>
              <w:ind w:firstLine="0"/>
              <w:jc w:val="center"/>
              <w:cnfStyle w:val="000000100000"/>
              <w:rPr>
                <w:b/>
                <w:i/>
                <w:iCs/>
                <w:sz w:val="20"/>
              </w:rPr>
            </w:pPr>
          </w:p>
        </w:tc>
        <w:tc>
          <w:tcPr>
            <w:cnfStyle w:val="000010000000"/>
            <w:tcW w:w="363" w:type="dxa"/>
            <w:vAlign w:val="center"/>
          </w:tcPr>
          <w:p w:rsidR="00135105" w:rsidRPr="00242020" w:rsidRDefault="00135105" w:rsidP="00135105">
            <w:pPr>
              <w:ind w:firstLine="0"/>
              <w:jc w:val="center"/>
              <w:rPr>
                <w:b/>
                <w:i/>
                <w:iCs/>
                <w:sz w:val="20"/>
              </w:rPr>
            </w:pPr>
          </w:p>
        </w:tc>
        <w:tc>
          <w:tcPr>
            <w:tcW w:w="434" w:type="dxa"/>
            <w:vAlign w:val="center"/>
          </w:tcPr>
          <w:p w:rsidR="00135105" w:rsidRPr="00242020" w:rsidRDefault="00135105" w:rsidP="00135105">
            <w:pPr>
              <w:ind w:firstLine="0"/>
              <w:jc w:val="center"/>
              <w:cnfStyle w:val="000000100000"/>
              <w:rPr>
                <w:b/>
                <w:i/>
                <w:iCs/>
                <w:sz w:val="20"/>
              </w:rPr>
            </w:pPr>
          </w:p>
        </w:tc>
        <w:tc>
          <w:tcPr>
            <w:cnfStyle w:val="000010000000"/>
            <w:tcW w:w="916" w:type="dxa"/>
            <w:vAlign w:val="center"/>
          </w:tcPr>
          <w:p w:rsidR="00135105" w:rsidRPr="00242020" w:rsidRDefault="00135105" w:rsidP="00135105">
            <w:pPr>
              <w:ind w:firstLine="0"/>
              <w:jc w:val="center"/>
              <w:rPr>
                <w:sz w:val="20"/>
              </w:rPr>
            </w:pPr>
            <w:r w:rsidRPr="00242020">
              <w:rPr>
                <w:sz w:val="20"/>
              </w:rPr>
              <w:t>1083</w:t>
            </w:r>
          </w:p>
        </w:tc>
        <w:tc>
          <w:tcPr>
            <w:tcW w:w="916" w:type="dxa"/>
            <w:noWrap/>
            <w:vAlign w:val="center"/>
          </w:tcPr>
          <w:p w:rsidR="00135105" w:rsidRPr="00242020" w:rsidRDefault="00135105" w:rsidP="00135105">
            <w:pPr>
              <w:ind w:firstLine="0"/>
              <w:jc w:val="center"/>
              <w:cnfStyle w:val="000000100000"/>
              <w:rPr>
                <w:sz w:val="20"/>
              </w:rPr>
            </w:pPr>
            <w:r w:rsidRPr="00242020">
              <w:rPr>
                <w:sz w:val="20"/>
              </w:rPr>
              <w:t>947</w:t>
            </w:r>
          </w:p>
        </w:tc>
        <w:tc>
          <w:tcPr>
            <w:cnfStyle w:val="000010000000"/>
            <w:tcW w:w="732" w:type="dxa"/>
            <w:noWrap/>
            <w:vAlign w:val="center"/>
          </w:tcPr>
          <w:p w:rsidR="00135105" w:rsidRPr="00242020" w:rsidRDefault="00135105" w:rsidP="00135105">
            <w:pPr>
              <w:ind w:firstLine="0"/>
              <w:jc w:val="center"/>
              <w:rPr>
                <w:sz w:val="20"/>
              </w:rPr>
            </w:pPr>
            <w:r w:rsidRPr="00242020">
              <w:rPr>
                <w:sz w:val="20"/>
              </w:rPr>
              <w:t>114</w:t>
            </w:r>
          </w:p>
        </w:tc>
        <w:tc>
          <w:tcPr>
            <w:tcW w:w="656" w:type="dxa"/>
            <w:noWrap/>
            <w:vAlign w:val="center"/>
          </w:tcPr>
          <w:p w:rsidR="00135105" w:rsidRPr="00242020" w:rsidRDefault="00135105" w:rsidP="00135105">
            <w:pPr>
              <w:ind w:firstLine="0"/>
              <w:jc w:val="center"/>
              <w:cnfStyle w:val="000000100000"/>
              <w:rPr>
                <w:sz w:val="20"/>
              </w:rPr>
            </w:pPr>
            <w:r w:rsidRPr="00242020">
              <w:rPr>
                <w:sz w:val="20"/>
              </w:rPr>
              <w:t>14</w:t>
            </w:r>
          </w:p>
        </w:tc>
        <w:tc>
          <w:tcPr>
            <w:cnfStyle w:val="000010000000"/>
            <w:tcW w:w="656" w:type="dxa"/>
            <w:noWrap/>
            <w:vAlign w:val="center"/>
          </w:tcPr>
          <w:p w:rsidR="00135105" w:rsidRPr="00242020" w:rsidRDefault="00135105" w:rsidP="00135105">
            <w:pPr>
              <w:ind w:firstLine="0"/>
              <w:jc w:val="center"/>
              <w:rPr>
                <w:sz w:val="20"/>
              </w:rPr>
            </w:pPr>
            <w:r w:rsidRPr="00242020">
              <w:rPr>
                <w:sz w:val="20"/>
              </w:rPr>
              <w:t>2</w:t>
            </w:r>
          </w:p>
        </w:tc>
        <w:tc>
          <w:tcPr>
            <w:tcW w:w="656" w:type="dxa"/>
            <w:noWrap/>
            <w:vAlign w:val="center"/>
          </w:tcPr>
          <w:p w:rsidR="00135105" w:rsidRPr="00242020" w:rsidRDefault="00135105" w:rsidP="00135105">
            <w:pPr>
              <w:ind w:firstLine="0"/>
              <w:jc w:val="center"/>
              <w:cnfStyle w:val="000000100000"/>
              <w:rPr>
                <w:sz w:val="20"/>
              </w:rPr>
            </w:pPr>
            <w:r w:rsidRPr="00242020">
              <w:rPr>
                <w:sz w:val="20"/>
              </w:rPr>
              <w:t>6</w:t>
            </w:r>
          </w:p>
        </w:tc>
      </w:tr>
      <w:tr w:rsidR="00EF2524" w:rsidRPr="00242020" w:rsidTr="00EF2524">
        <w:trPr>
          <w:cnfStyle w:val="000000010000"/>
          <w:trHeight w:hRule="exact" w:val="266"/>
        </w:trPr>
        <w:tc>
          <w:tcPr>
            <w:cnfStyle w:val="000010000000"/>
            <w:tcW w:w="434" w:type="dxa"/>
            <w:shd w:val="clear" w:color="auto" w:fill="auto"/>
            <w:vAlign w:val="center"/>
          </w:tcPr>
          <w:p w:rsidR="00135105" w:rsidRPr="00242020" w:rsidRDefault="00135105" w:rsidP="00EF2524">
            <w:pPr>
              <w:ind w:left="-52" w:right="-88" w:firstLine="0"/>
              <w:jc w:val="center"/>
              <w:rPr>
                <w:sz w:val="20"/>
              </w:rPr>
            </w:pPr>
            <w:r w:rsidRPr="00242020">
              <w:rPr>
                <w:sz w:val="20"/>
              </w:rPr>
              <w:t>25</w:t>
            </w:r>
          </w:p>
        </w:tc>
        <w:tc>
          <w:tcPr>
            <w:tcW w:w="2509" w:type="dxa"/>
            <w:gridSpan w:val="2"/>
            <w:shd w:val="clear" w:color="auto" w:fill="auto"/>
            <w:vAlign w:val="center"/>
          </w:tcPr>
          <w:p w:rsidR="00135105" w:rsidRPr="00242020" w:rsidRDefault="00135105" w:rsidP="00135105">
            <w:pPr>
              <w:ind w:firstLine="0"/>
              <w:cnfStyle w:val="000000010000"/>
              <w:rPr>
                <w:sz w:val="20"/>
              </w:rPr>
            </w:pPr>
            <w:r w:rsidRPr="00242020">
              <w:rPr>
                <w:sz w:val="20"/>
              </w:rPr>
              <w:t>м. Київ</w:t>
            </w:r>
          </w:p>
        </w:tc>
        <w:tc>
          <w:tcPr>
            <w:cnfStyle w:val="000010000000"/>
            <w:tcW w:w="916" w:type="dxa"/>
            <w:shd w:val="clear" w:color="auto" w:fill="auto"/>
            <w:vAlign w:val="center"/>
          </w:tcPr>
          <w:p w:rsidR="00135105" w:rsidRPr="00242020" w:rsidRDefault="00135105" w:rsidP="00135105">
            <w:pPr>
              <w:ind w:firstLine="0"/>
              <w:jc w:val="center"/>
              <w:rPr>
                <w:sz w:val="20"/>
              </w:rPr>
            </w:pPr>
            <w:r w:rsidRPr="00242020">
              <w:rPr>
                <w:sz w:val="20"/>
              </w:rPr>
              <w:t>11996</w:t>
            </w:r>
          </w:p>
        </w:tc>
        <w:tc>
          <w:tcPr>
            <w:tcW w:w="91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11681</w:t>
            </w:r>
          </w:p>
        </w:tc>
        <w:tc>
          <w:tcPr>
            <w:cnfStyle w:val="000010000000"/>
            <w:tcW w:w="781" w:type="dxa"/>
            <w:shd w:val="clear" w:color="auto" w:fill="auto"/>
            <w:noWrap/>
            <w:vAlign w:val="center"/>
          </w:tcPr>
          <w:p w:rsidR="00135105" w:rsidRPr="00242020" w:rsidRDefault="00135105" w:rsidP="00135105">
            <w:pPr>
              <w:ind w:firstLine="0"/>
              <w:jc w:val="center"/>
              <w:rPr>
                <w:sz w:val="20"/>
              </w:rPr>
            </w:pPr>
            <w:r w:rsidRPr="00242020">
              <w:rPr>
                <w:sz w:val="20"/>
              </w:rPr>
              <w:t>187</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52</w:t>
            </w:r>
          </w:p>
        </w:tc>
        <w:tc>
          <w:tcPr>
            <w:cnfStyle w:val="000010000000"/>
            <w:tcW w:w="656" w:type="dxa"/>
            <w:shd w:val="clear" w:color="auto" w:fill="auto"/>
            <w:noWrap/>
            <w:vAlign w:val="center"/>
          </w:tcPr>
          <w:p w:rsidR="00135105" w:rsidRPr="00242020" w:rsidRDefault="00135105" w:rsidP="00135105">
            <w:pPr>
              <w:ind w:firstLine="0"/>
              <w:jc w:val="center"/>
              <w:rPr>
                <w:sz w:val="20"/>
              </w:rPr>
            </w:pPr>
            <w:r w:rsidRPr="00242020">
              <w:rPr>
                <w:sz w:val="20"/>
              </w:rPr>
              <w:t>60</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16</w:t>
            </w:r>
          </w:p>
        </w:tc>
        <w:tc>
          <w:tcPr>
            <w:cnfStyle w:val="000010000000"/>
            <w:tcW w:w="897" w:type="dxa"/>
            <w:shd w:val="clear" w:color="auto" w:fill="auto"/>
            <w:noWrap/>
            <w:vAlign w:val="center"/>
          </w:tcPr>
          <w:p w:rsidR="00135105" w:rsidRPr="00242020" w:rsidRDefault="00135105" w:rsidP="00135105">
            <w:pPr>
              <w:ind w:firstLine="0"/>
              <w:jc w:val="center"/>
              <w:rPr>
                <w:b/>
                <w:i/>
                <w:iCs/>
                <w:sz w:val="20"/>
              </w:rPr>
            </w:pPr>
            <w:r w:rsidRPr="00242020">
              <w:rPr>
                <w:b/>
                <w:i/>
                <w:iCs/>
                <w:sz w:val="20"/>
              </w:rPr>
              <w:t>1</w:t>
            </w:r>
          </w:p>
        </w:tc>
        <w:tc>
          <w:tcPr>
            <w:tcW w:w="516" w:type="dxa"/>
            <w:shd w:val="clear" w:color="auto" w:fill="auto"/>
            <w:noWrap/>
            <w:vAlign w:val="center"/>
          </w:tcPr>
          <w:p w:rsidR="00135105" w:rsidRPr="00242020" w:rsidRDefault="00135105" w:rsidP="00135105">
            <w:pPr>
              <w:ind w:firstLine="0"/>
              <w:jc w:val="center"/>
              <w:cnfStyle w:val="000000010000"/>
              <w:rPr>
                <w:b/>
                <w:i/>
                <w:iCs/>
                <w:sz w:val="20"/>
              </w:rPr>
            </w:pPr>
            <w:r w:rsidRPr="00242020">
              <w:rPr>
                <w:b/>
                <w:i/>
                <w:iCs/>
                <w:sz w:val="20"/>
              </w:rPr>
              <w:t>1</w:t>
            </w:r>
          </w:p>
        </w:tc>
        <w:tc>
          <w:tcPr>
            <w:cnfStyle w:val="000010000000"/>
            <w:tcW w:w="503" w:type="dxa"/>
            <w:shd w:val="clear" w:color="auto" w:fill="auto"/>
            <w:vAlign w:val="center"/>
          </w:tcPr>
          <w:p w:rsidR="00135105" w:rsidRPr="00242020" w:rsidRDefault="00135105" w:rsidP="00135105">
            <w:pPr>
              <w:ind w:firstLine="0"/>
              <w:jc w:val="center"/>
              <w:rPr>
                <w:b/>
                <w:i/>
                <w:iCs/>
                <w:sz w:val="20"/>
              </w:rPr>
            </w:pPr>
          </w:p>
        </w:tc>
        <w:tc>
          <w:tcPr>
            <w:tcW w:w="436" w:type="dxa"/>
            <w:shd w:val="clear" w:color="auto" w:fill="auto"/>
            <w:noWrap/>
            <w:vAlign w:val="center"/>
          </w:tcPr>
          <w:p w:rsidR="00135105" w:rsidRPr="00242020" w:rsidRDefault="00135105" w:rsidP="00135105">
            <w:pPr>
              <w:ind w:firstLine="0"/>
              <w:jc w:val="center"/>
              <w:cnfStyle w:val="000000010000"/>
              <w:rPr>
                <w:b/>
                <w:i/>
                <w:iCs/>
                <w:sz w:val="20"/>
              </w:rPr>
            </w:pPr>
          </w:p>
        </w:tc>
        <w:tc>
          <w:tcPr>
            <w:cnfStyle w:val="000010000000"/>
            <w:tcW w:w="363" w:type="dxa"/>
            <w:shd w:val="clear" w:color="auto" w:fill="auto"/>
            <w:vAlign w:val="center"/>
          </w:tcPr>
          <w:p w:rsidR="00135105" w:rsidRPr="00242020" w:rsidRDefault="00135105" w:rsidP="00135105">
            <w:pPr>
              <w:ind w:firstLine="0"/>
              <w:jc w:val="center"/>
              <w:rPr>
                <w:b/>
                <w:i/>
                <w:iCs/>
                <w:sz w:val="20"/>
              </w:rPr>
            </w:pPr>
          </w:p>
        </w:tc>
        <w:tc>
          <w:tcPr>
            <w:tcW w:w="434" w:type="dxa"/>
            <w:shd w:val="clear" w:color="auto" w:fill="auto"/>
            <w:vAlign w:val="center"/>
          </w:tcPr>
          <w:p w:rsidR="00135105" w:rsidRPr="00242020" w:rsidRDefault="00135105" w:rsidP="00135105">
            <w:pPr>
              <w:ind w:firstLine="0"/>
              <w:jc w:val="center"/>
              <w:cnfStyle w:val="000000010000"/>
              <w:rPr>
                <w:b/>
                <w:i/>
                <w:iCs/>
                <w:sz w:val="20"/>
              </w:rPr>
            </w:pPr>
          </w:p>
        </w:tc>
        <w:tc>
          <w:tcPr>
            <w:cnfStyle w:val="000010000000"/>
            <w:tcW w:w="916" w:type="dxa"/>
            <w:shd w:val="clear" w:color="auto" w:fill="auto"/>
            <w:vAlign w:val="center"/>
          </w:tcPr>
          <w:p w:rsidR="00135105" w:rsidRPr="00242020" w:rsidRDefault="00135105" w:rsidP="00135105">
            <w:pPr>
              <w:ind w:firstLine="0"/>
              <w:jc w:val="center"/>
              <w:rPr>
                <w:sz w:val="20"/>
              </w:rPr>
            </w:pPr>
            <w:r w:rsidRPr="00242020">
              <w:rPr>
                <w:sz w:val="20"/>
              </w:rPr>
              <w:t>11997</w:t>
            </w:r>
          </w:p>
        </w:tc>
        <w:tc>
          <w:tcPr>
            <w:tcW w:w="91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11682</w:t>
            </w:r>
          </w:p>
        </w:tc>
        <w:tc>
          <w:tcPr>
            <w:cnfStyle w:val="000010000000"/>
            <w:tcW w:w="732" w:type="dxa"/>
            <w:shd w:val="clear" w:color="auto" w:fill="auto"/>
            <w:noWrap/>
            <w:vAlign w:val="center"/>
          </w:tcPr>
          <w:p w:rsidR="00135105" w:rsidRPr="00242020" w:rsidRDefault="00135105" w:rsidP="00135105">
            <w:pPr>
              <w:ind w:firstLine="0"/>
              <w:jc w:val="center"/>
              <w:rPr>
                <w:sz w:val="20"/>
              </w:rPr>
            </w:pPr>
            <w:r w:rsidRPr="00242020">
              <w:rPr>
                <w:sz w:val="20"/>
              </w:rPr>
              <w:t>187</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52</w:t>
            </w:r>
          </w:p>
        </w:tc>
        <w:tc>
          <w:tcPr>
            <w:cnfStyle w:val="000010000000"/>
            <w:tcW w:w="656" w:type="dxa"/>
            <w:shd w:val="clear" w:color="auto" w:fill="auto"/>
            <w:noWrap/>
            <w:vAlign w:val="center"/>
          </w:tcPr>
          <w:p w:rsidR="00135105" w:rsidRPr="00242020" w:rsidRDefault="00135105" w:rsidP="00135105">
            <w:pPr>
              <w:ind w:firstLine="0"/>
              <w:jc w:val="center"/>
              <w:rPr>
                <w:sz w:val="20"/>
              </w:rPr>
            </w:pPr>
            <w:r w:rsidRPr="00242020">
              <w:rPr>
                <w:sz w:val="20"/>
              </w:rPr>
              <w:t>60</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16</w:t>
            </w:r>
          </w:p>
        </w:tc>
      </w:tr>
      <w:tr w:rsidR="00135105" w:rsidRPr="00242020" w:rsidTr="00D0301A">
        <w:trPr>
          <w:cnfStyle w:val="000000100000"/>
          <w:trHeight w:hRule="exact" w:val="266"/>
        </w:trPr>
        <w:tc>
          <w:tcPr>
            <w:cnfStyle w:val="000010000000"/>
            <w:tcW w:w="2943" w:type="dxa"/>
            <w:gridSpan w:val="3"/>
          </w:tcPr>
          <w:p w:rsidR="00135105" w:rsidRPr="00242020" w:rsidRDefault="00135105" w:rsidP="00135105">
            <w:pPr>
              <w:ind w:firstLine="0"/>
              <w:jc w:val="center"/>
              <w:rPr>
                <w:sz w:val="20"/>
              </w:rPr>
            </w:pPr>
            <w:r w:rsidRPr="00242020">
              <w:rPr>
                <w:sz w:val="20"/>
              </w:rPr>
              <w:t>Усього</w:t>
            </w:r>
          </w:p>
        </w:tc>
        <w:tc>
          <w:tcPr>
            <w:tcW w:w="916" w:type="dxa"/>
            <w:vAlign w:val="center"/>
          </w:tcPr>
          <w:p w:rsidR="00135105" w:rsidRPr="00242020" w:rsidRDefault="00135105" w:rsidP="00135105">
            <w:pPr>
              <w:ind w:firstLine="0"/>
              <w:jc w:val="center"/>
              <w:cnfStyle w:val="000000100000"/>
              <w:rPr>
                <w:b/>
                <w:sz w:val="20"/>
              </w:rPr>
            </w:pPr>
            <w:r w:rsidRPr="00242020">
              <w:rPr>
                <w:b/>
                <w:sz w:val="20"/>
              </w:rPr>
              <w:t>95008</w:t>
            </w:r>
          </w:p>
        </w:tc>
        <w:tc>
          <w:tcPr>
            <w:cnfStyle w:val="000010000000"/>
            <w:tcW w:w="916" w:type="dxa"/>
            <w:noWrap/>
            <w:vAlign w:val="center"/>
          </w:tcPr>
          <w:p w:rsidR="00135105" w:rsidRPr="00242020" w:rsidRDefault="00135105" w:rsidP="00135105">
            <w:pPr>
              <w:ind w:firstLine="0"/>
              <w:jc w:val="center"/>
              <w:rPr>
                <w:b/>
                <w:sz w:val="20"/>
              </w:rPr>
            </w:pPr>
            <w:r w:rsidRPr="00242020">
              <w:rPr>
                <w:b/>
                <w:sz w:val="20"/>
              </w:rPr>
              <w:t>91035</w:t>
            </w:r>
          </w:p>
        </w:tc>
        <w:tc>
          <w:tcPr>
            <w:tcW w:w="781" w:type="dxa"/>
            <w:noWrap/>
            <w:vAlign w:val="center"/>
          </w:tcPr>
          <w:p w:rsidR="00135105" w:rsidRPr="00242020" w:rsidRDefault="00135105" w:rsidP="00135105">
            <w:pPr>
              <w:ind w:firstLine="0"/>
              <w:jc w:val="center"/>
              <w:cnfStyle w:val="000000100000"/>
              <w:rPr>
                <w:b/>
                <w:sz w:val="20"/>
              </w:rPr>
            </w:pPr>
            <w:r w:rsidRPr="00242020">
              <w:rPr>
                <w:b/>
                <w:sz w:val="20"/>
              </w:rPr>
              <w:t>2338</w:t>
            </w:r>
          </w:p>
        </w:tc>
        <w:tc>
          <w:tcPr>
            <w:cnfStyle w:val="000010000000"/>
            <w:tcW w:w="656" w:type="dxa"/>
            <w:noWrap/>
            <w:vAlign w:val="center"/>
          </w:tcPr>
          <w:p w:rsidR="00135105" w:rsidRPr="00242020" w:rsidRDefault="00135105" w:rsidP="00135105">
            <w:pPr>
              <w:ind w:firstLine="0"/>
              <w:jc w:val="center"/>
              <w:rPr>
                <w:b/>
                <w:sz w:val="20"/>
              </w:rPr>
            </w:pPr>
            <w:r w:rsidRPr="00242020">
              <w:rPr>
                <w:b/>
                <w:sz w:val="20"/>
              </w:rPr>
              <w:t>970</w:t>
            </w:r>
          </w:p>
        </w:tc>
        <w:tc>
          <w:tcPr>
            <w:tcW w:w="656" w:type="dxa"/>
            <w:noWrap/>
            <w:vAlign w:val="center"/>
          </w:tcPr>
          <w:p w:rsidR="00135105" w:rsidRPr="00242020" w:rsidRDefault="00135105" w:rsidP="00135105">
            <w:pPr>
              <w:ind w:firstLine="0"/>
              <w:jc w:val="center"/>
              <w:cnfStyle w:val="000000100000"/>
              <w:rPr>
                <w:b/>
                <w:sz w:val="20"/>
              </w:rPr>
            </w:pPr>
            <w:r w:rsidRPr="00242020">
              <w:rPr>
                <w:b/>
                <w:sz w:val="20"/>
              </w:rPr>
              <w:t>260</w:t>
            </w:r>
          </w:p>
        </w:tc>
        <w:tc>
          <w:tcPr>
            <w:cnfStyle w:val="000010000000"/>
            <w:tcW w:w="656" w:type="dxa"/>
            <w:noWrap/>
            <w:vAlign w:val="center"/>
          </w:tcPr>
          <w:p w:rsidR="00135105" w:rsidRPr="00242020" w:rsidRDefault="00135105" w:rsidP="00135105">
            <w:pPr>
              <w:ind w:firstLine="0"/>
              <w:jc w:val="center"/>
              <w:rPr>
                <w:b/>
                <w:sz w:val="20"/>
              </w:rPr>
            </w:pPr>
            <w:r w:rsidRPr="00242020">
              <w:rPr>
                <w:b/>
                <w:sz w:val="20"/>
              </w:rPr>
              <w:t>405</w:t>
            </w:r>
          </w:p>
        </w:tc>
        <w:tc>
          <w:tcPr>
            <w:tcW w:w="897" w:type="dxa"/>
            <w:noWrap/>
            <w:vAlign w:val="center"/>
          </w:tcPr>
          <w:p w:rsidR="00135105" w:rsidRPr="00242020" w:rsidRDefault="00135105" w:rsidP="00135105">
            <w:pPr>
              <w:ind w:firstLine="0"/>
              <w:jc w:val="center"/>
              <w:cnfStyle w:val="000000100000"/>
              <w:rPr>
                <w:b/>
                <w:i/>
                <w:iCs/>
                <w:sz w:val="20"/>
              </w:rPr>
            </w:pPr>
            <w:r w:rsidRPr="00242020">
              <w:rPr>
                <w:b/>
                <w:i/>
                <w:iCs/>
                <w:sz w:val="20"/>
              </w:rPr>
              <w:t>407</w:t>
            </w:r>
          </w:p>
        </w:tc>
        <w:tc>
          <w:tcPr>
            <w:cnfStyle w:val="000010000000"/>
            <w:tcW w:w="516" w:type="dxa"/>
            <w:noWrap/>
            <w:vAlign w:val="center"/>
          </w:tcPr>
          <w:p w:rsidR="00135105" w:rsidRPr="00242020" w:rsidRDefault="00135105" w:rsidP="00135105">
            <w:pPr>
              <w:ind w:firstLine="0"/>
              <w:jc w:val="center"/>
              <w:rPr>
                <w:b/>
                <w:i/>
                <w:iCs/>
                <w:sz w:val="20"/>
              </w:rPr>
            </w:pPr>
            <w:r w:rsidRPr="00242020">
              <w:rPr>
                <w:b/>
                <w:i/>
                <w:iCs/>
                <w:sz w:val="20"/>
              </w:rPr>
              <w:t>403</w:t>
            </w:r>
          </w:p>
        </w:tc>
        <w:tc>
          <w:tcPr>
            <w:tcW w:w="503" w:type="dxa"/>
            <w:vAlign w:val="center"/>
          </w:tcPr>
          <w:p w:rsidR="00135105" w:rsidRPr="00242020" w:rsidRDefault="00135105" w:rsidP="00135105">
            <w:pPr>
              <w:ind w:firstLine="0"/>
              <w:jc w:val="center"/>
              <w:cnfStyle w:val="000000100000"/>
              <w:rPr>
                <w:b/>
                <w:i/>
                <w:iCs/>
                <w:sz w:val="20"/>
              </w:rPr>
            </w:pPr>
            <w:r w:rsidRPr="00242020">
              <w:rPr>
                <w:b/>
                <w:i/>
                <w:iCs/>
                <w:sz w:val="20"/>
              </w:rPr>
              <w:t>0</w:t>
            </w:r>
          </w:p>
        </w:tc>
        <w:tc>
          <w:tcPr>
            <w:cnfStyle w:val="000010000000"/>
            <w:tcW w:w="436" w:type="dxa"/>
            <w:noWrap/>
            <w:vAlign w:val="center"/>
          </w:tcPr>
          <w:p w:rsidR="00135105" w:rsidRPr="00242020" w:rsidRDefault="00135105" w:rsidP="00135105">
            <w:pPr>
              <w:ind w:firstLine="0"/>
              <w:jc w:val="center"/>
              <w:rPr>
                <w:b/>
                <w:i/>
                <w:iCs/>
                <w:sz w:val="20"/>
              </w:rPr>
            </w:pPr>
            <w:r w:rsidRPr="00242020">
              <w:rPr>
                <w:b/>
                <w:i/>
                <w:iCs/>
                <w:sz w:val="20"/>
              </w:rPr>
              <w:t>3</w:t>
            </w:r>
          </w:p>
        </w:tc>
        <w:tc>
          <w:tcPr>
            <w:tcW w:w="363" w:type="dxa"/>
            <w:vAlign w:val="center"/>
          </w:tcPr>
          <w:p w:rsidR="00135105" w:rsidRPr="00242020" w:rsidRDefault="00135105" w:rsidP="00135105">
            <w:pPr>
              <w:ind w:firstLine="0"/>
              <w:jc w:val="center"/>
              <w:cnfStyle w:val="000000100000"/>
              <w:rPr>
                <w:b/>
                <w:i/>
                <w:iCs/>
                <w:sz w:val="20"/>
              </w:rPr>
            </w:pPr>
            <w:r w:rsidRPr="00242020">
              <w:rPr>
                <w:b/>
                <w:i/>
                <w:iCs/>
                <w:sz w:val="20"/>
              </w:rPr>
              <w:t>0</w:t>
            </w:r>
          </w:p>
        </w:tc>
        <w:tc>
          <w:tcPr>
            <w:cnfStyle w:val="000010000000"/>
            <w:tcW w:w="434" w:type="dxa"/>
            <w:vAlign w:val="center"/>
          </w:tcPr>
          <w:p w:rsidR="00135105" w:rsidRPr="00242020" w:rsidRDefault="00135105" w:rsidP="00135105">
            <w:pPr>
              <w:ind w:firstLine="0"/>
              <w:jc w:val="center"/>
              <w:rPr>
                <w:b/>
                <w:i/>
                <w:iCs/>
                <w:sz w:val="20"/>
              </w:rPr>
            </w:pPr>
            <w:r w:rsidRPr="00242020">
              <w:rPr>
                <w:b/>
                <w:i/>
                <w:iCs/>
                <w:sz w:val="20"/>
              </w:rPr>
              <w:t>1</w:t>
            </w:r>
          </w:p>
        </w:tc>
        <w:tc>
          <w:tcPr>
            <w:tcW w:w="916" w:type="dxa"/>
            <w:vAlign w:val="center"/>
          </w:tcPr>
          <w:p w:rsidR="00135105" w:rsidRPr="00242020" w:rsidRDefault="00135105" w:rsidP="00135105">
            <w:pPr>
              <w:ind w:firstLine="0"/>
              <w:jc w:val="center"/>
              <w:cnfStyle w:val="000000100000"/>
              <w:rPr>
                <w:b/>
                <w:sz w:val="20"/>
              </w:rPr>
            </w:pPr>
            <w:r w:rsidRPr="00242020">
              <w:rPr>
                <w:b/>
                <w:sz w:val="20"/>
              </w:rPr>
              <w:t>95415</w:t>
            </w:r>
          </w:p>
        </w:tc>
        <w:tc>
          <w:tcPr>
            <w:cnfStyle w:val="000010000000"/>
            <w:tcW w:w="916" w:type="dxa"/>
            <w:noWrap/>
            <w:vAlign w:val="center"/>
          </w:tcPr>
          <w:p w:rsidR="00135105" w:rsidRPr="00242020" w:rsidRDefault="00135105" w:rsidP="00135105">
            <w:pPr>
              <w:ind w:firstLine="0"/>
              <w:jc w:val="center"/>
              <w:rPr>
                <w:b/>
                <w:sz w:val="20"/>
              </w:rPr>
            </w:pPr>
            <w:r w:rsidRPr="00242020">
              <w:rPr>
                <w:b/>
                <w:sz w:val="20"/>
              </w:rPr>
              <w:t>91438</w:t>
            </w:r>
          </w:p>
        </w:tc>
        <w:tc>
          <w:tcPr>
            <w:tcW w:w="732" w:type="dxa"/>
            <w:noWrap/>
            <w:vAlign w:val="center"/>
          </w:tcPr>
          <w:p w:rsidR="00135105" w:rsidRPr="00242020" w:rsidRDefault="00135105" w:rsidP="00135105">
            <w:pPr>
              <w:ind w:firstLine="0"/>
              <w:jc w:val="center"/>
              <w:cnfStyle w:val="000000100000"/>
              <w:rPr>
                <w:b/>
                <w:sz w:val="20"/>
              </w:rPr>
            </w:pPr>
            <w:r w:rsidRPr="00242020">
              <w:rPr>
                <w:b/>
                <w:sz w:val="20"/>
              </w:rPr>
              <w:t>2338</w:t>
            </w:r>
          </w:p>
        </w:tc>
        <w:tc>
          <w:tcPr>
            <w:cnfStyle w:val="000010000000"/>
            <w:tcW w:w="656" w:type="dxa"/>
            <w:noWrap/>
            <w:vAlign w:val="center"/>
          </w:tcPr>
          <w:p w:rsidR="00135105" w:rsidRPr="00242020" w:rsidRDefault="00135105" w:rsidP="00135105">
            <w:pPr>
              <w:ind w:firstLine="0"/>
              <w:jc w:val="center"/>
              <w:rPr>
                <w:b/>
                <w:sz w:val="20"/>
              </w:rPr>
            </w:pPr>
            <w:r w:rsidRPr="00242020">
              <w:rPr>
                <w:b/>
                <w:sz w:val="20"/>
              </w:rPr>
              <w:t>973</w:t>
            </w:r>
          </w:p>
        </w:tc>
        <w:tc>
          <w:tcPr>
            <w:tcW w:w="656" w:type="dxa"/>
            <w:noWrap/>
            <w:vAlign w:val="center"/>
          </w:tcPr>
          <w:p w:rsidR="00135105" w:rsidRPr="00242020" w:rsidRDefault="00135105" w:rsidP="00135105">
            <w:pPr>
              <w:ind w:firstLine="0"/>
              <w:jc w:val="center"/>
              <w:cnfStyle w:val="000000100000"/>
              <w:rPr>
                <w:b/>
                <w:sz w:val="20"/>
              </w:rPr>
            </w:pPr>
            <w:r w:rsidRPr="00242020">
              <w:rPr>
                <w:b/>
                <w:sz w:val="20"/>
              </w:rPr>
              <w:t>260</w:t>
            </w:r>
          </w:p>
        </w:tc>
        <w:tc>
          <w:tcPr>
            <w:cnfStyle w:val="000010000000"/>
            <w:tcW w:w="656" w:type="dxa"/>
            <w:noWrap/>
            <w:vAlign w:val="center"/>
          </w:tcPr>
          <w:p w:rsidR="00135105" w:rsidRPr="00242020" w:rsidRDefault="00135105" w:rsidP="00135105">
            <w:pPr>
              <w:ind w:firstLine="0"/>
              <w:jc w:val="center"/>
              <w:rPr>
                <w:b/>
                <w:sz w:val="20"/>
              </w:rPr>
            </w:pPr>
            <w:r w:rsidRPr="00242020">
              <w:rPr>
                <w:b/>
                <w:sz w:val="20"/>
              </w:rPr>
              <w:t>406</w:t>
            </w:r>
          </w:p>
        </w:tc>
      </w:tr>
      <w:tr w:rsidR="00135105" w:rsidRPr="00242020" w:rsidTr="00EF2524">
        <w:trPr>
          <w:cnfStyle w:val="000000010000"/>
          <w:trHeight w:hRule="exact" w:val="266"/>
        </w:trPr>
        <w:tc>
          <w:tcPr>
            <w:cnfStyle w:val="000010000000"/>
            <w:tcW w:w="15205" w:type="dxa"/>
            <w:gridSpan w:val="21"/>
            <w:shd w:val="clear" w:color="auto" w:fill="auto"/>
          </w:tcPr>
          <w:p w:rsidR="00135105" w:rsidRPr="00242020" w:rsidRDefault="00135105" w:rsidP="00135105">
            <w:pPr>
              <w:ind w:firstLine="0"/>
              <w:rPr>
                <w:sz w:val="20"/>
                <w:highlight w:val="magenta"/>
              </w:rPr>
            </w:pPr>
            <w:proofErr w:type="spellStart"/>
            <w:r w:rsidRPr="00242020">
              <w:rPr>
                <w:sz w:val="20"/>
              </w:rPr>
              <w:t>Довідково</w:t>
            </w:r>
            <w:proofErr w:type="spellEnd"/>
          </w:p>
        </w:tc>
      </w:tr>
      <w:tr w:rsidR="00135105" w:rsidRPr="00242020" w:rsidTr="00D0301A">
        <w:trPr>
          <w:cnfStyle w:val="000000100000"/>
          <w:trHeight w:hRule="exact" w:val="266"/>
        </w:trPr>
        <w:tc>
          <w:tcPr>
            <w:cnfStyle w:val="000010000000"/>
            <w:tcW w:w="524" w:type="dxa"/>
            <w:gridSpan w:val="2"/>
          </w:tcPr>
          <w:p w:rsidR="00135105" w:rsidRPr="00242020" w:rsidRDefault="00135105" w:rsidP="00135105">
            <w:pPr>
              <w:ind w:firstLine="0"/>
              <w:jc w:val="center"/>
              <w:rPr>
                <w:sz w:val="20"/>
              </w:rPr>
            </w:pPr>
            <w:r w:rsidRPr="00242020">
              <w:rPr>
                <w:sz w:val="20"/>
              </w:rPr>
              <w:t>1</w:t>
            </w:r>
          </w:p>
        </w:tc>
        <w:tc>
          <w:tcPr>
            <w:tcW w:w="2419" w:type="dxa"/>
          </w:tcPr>
          <w:p w:rsidR="00135105" w:rsidRPr="00242020" w:rsidRDefault="00135105" w:rsidP="00135105">
            <w:pPr>
              <w:ind w:left="-89" w:right="-118" w:firstLine="0"/>
              <w:cnfStyle w:val="000000100000"/>
              <w:rPr>
                <w:sz w:val="20"/>
              </w:rPr>
            </w:pPr>
            <w:r w:rsidRPr="00242020">
              <w:rPr>
                <w:sz w:val="20"/>
              </w:rPr>
              <w:t>АР Крим та м. Севастополь</w:t>
            </w:r>
          </w:p>
        </w:tc>
        <w:tc>
          <w:tcPr>
            <w:cnfStyle w:val="000010000000"/>
            <w:tcW w:w="916" w:type="dxa"/>
            <w:vAlign w:val="center"/>
          </w:tcPr>
          <w:p w:rsidR="00135105" w:rsidRPr="00242020" w:rsidRDefault="00135105" w:rsidP="00135105">
            <w:pPr>
              <w:ind w:firstLine="0"/>
              <w:jc w:val="center"/>
              <w:rPr>
                <w:sz w:val="20"/>
              </w:rPr>
            </w:pPr>
            <w:r w:rsidRPr="00242020">
              <w:rPr>
                <w:sz w:val="20"/>
              </w:rPr>
              <w:t>635</w:t>
            </w:r>
          </w:p>
        </w:tc>
        <w:tc>
          <w:tcPr>
            <w:tcW w:w="916" w:type="dxa"/>
            <w:noWrap/>
            <w:vAlign w:val="center"/>
          </w:tcPr>
          <w:p w:rsidR="00135105" w:rsidRPr="00242020" w:rsidRDefault="00135105" w:rsidP="00135105">
            <w:pPr>
              <w:ind w:firstLine="0"/>
              <w:jc w:val="center"/>
              <w:cnfStyle w:val="000000100000"/>
              <w:rPr>
                <w:sz w:val="20"/>
              </w:rPr>
            </w:pPr>
            <w:r w:rsidRPr="00242020">
              <w:rPr>
                <w:sz w:val="20"/>
              </w:rPr>
              <w:t>614</w:t>
            </w:r>
          </w:p>
        </w:tc>
        <w:tc>
          <w:tcPr>
            <w:cnfStyle w:val="000010000000"/>
            <w:tcW w:w="781" w:type="dxa"/>
            <w:noWrap/>
            <w:vAlign w:val="center"/>
          </w:tcPr>
          <w:p w:rsidR="00135105" w:rsidRPr="00242020" w:rsidRDefault="00135105" w:rsidP="00135105">
            <w:pPr>
              <w:ind w:firstLine="0"/>
              <w:jc w:val="center"/>
              <w:rPr>
                <w:sz w:val="20"/>
              </w:rPr>
            </w:pPr>
            <w:r w:rsidRPr="00242020">
              <w:rPr>
                <w:sz w:val="20"/>
              </w:rPr>
              <w:t>18</w:t>
            </w:r>
          </w:p>
        </w:tc>
        <w:tc>
          <w:tcPr>
            <w:tcW w:w="656" w:type="dxa"/>
            <w:noWrap/>
            <w:vAlign w:val="center"/>
          </w:tcPr>
          <w:p w:rsidR="00135105" w:rsidRPr="00242020" w:rsidRDefault="00135105" w:rsidP="00135105">
            <w:pPr>
              <w:ind w:firstLine="0"/>
              <w:jc w:val="center"/>
              <w:cnfStyle w:val="000000100000"/>
              <w:rPr>
                <w:sz w:val="20"/>
              </w:rPr>
            </w:pPr>
            <w:r w:rsidRPr="00242020">
              <w:rPr>
                <w:sz w:val="20"/>
              </w:rPr>
              <w:t>2</w:t>
            </w:r>
          </w:p>
        </w:tc>
        <w:tc>
          <w:tcPr>
            <w:cnfStyle w:val="000010000000"/>
            <w:tcW w:w="656" w:type="dxa"/>
            <w:noWrap/>
            <w:vAlign w:val="center"/>
          </w:tcPr>
          <w:p w:rsidR="00135105" w:rsidRPr="00242020" w:rsidRDefault="00135105" w:rsidP="00135105">
            <w:pPr>
              <w:ind w:firstLine="0"/>
              <w:jc w:val="center"/>
              <w:rPr>
                <w:sz w:val="20"/>
              </w:rPr>
            </w:pPr>
            <w:r w:rsidRPr="00242020">
              <w:rPr>
                <w:sz w:val="20"/>
              </w:rPr>
              <w:t>1</w:t>
            </w:r>
          </w:p>
        </w:tc>
        <w:tc>
          <w:tcPr>
            <w:tcW w:w="656" w:type="dxa"/>
            <w:noWrap/>
            <w:vAlign w:val="center"/>
          </w:tcPr>
          <w:p w:rsidR="00135105" w:rsidRPr="00242020" w:rsidRDefault="00135105" w:rsidP="00135105">
            <w:pPr>
              <w:ind w:firstLine="0"/>
              <w:jc w:val="center"/>
              <w:cnfStyle w:val="000000100000"/>
              <w:rPr>
                <w:sz w:val="20"/>
              </w:rPr>
            </w:pPr>
            <w:r w:rsidRPr="00242020">
              <w:rPr>
                <w:sz w:val="20"/>
              </w:rPr>
              <w:t>0</w:t>
            </w:r>
          </w:p>
        </w:tc>
        <w:tc>
          <w:tcPr>
            <w:cnfStyle w:val="000010000000"/>
            <w:tcW w:w="897" w:type="dxa"/>
            <w:noWrap/>
            <w:vAlign w:val="center"/>
          </w:tcPr>
          <w:p w:rsidR="00135105" w:rsidRPr="00242020" w:rsidRDefault="00135105" w:rsidP="00135105">
            <w:pPr>
              <w:ind w:firstLine="0"/>
              <w:jc w:val="center"/>
              <w:rPr>
                <w:b/>
                <w:bCs/>
                <w:i/>
                <w:iCs/>
                <w:sz w:val="20"/>
              </w:rPr>
            </w:pPr>
            <w:r w:rsidRPr="00242020">
              <w:rPr>
                <w:b/>
                <w:i/>
                <w:iCs/>
                <w:sz w:val="20"/>
              </w:rPr>
              <w:t>0</w:t>
            </w:r>
          </w:p>
        </w:tc>
        <w:tc>
          <w:tcPr>
            <w:tcW w:w="516" w:type="dxa"/>
            <w:noWrap/>
            <w:vAlign w:val="center"/>
          </w:tcPr>
          <w:p w:rsidR="00135105" w:rsidRPr="00242020" w:rsidRDefault="00135105" w:rsidP="00135105">
            <w:pPr>
              <w:ind w:firstLine="0"/>
              <w:jc w:val="center"/>
              <w:cnfStyle w:val="000000100000"/>
              <w:rPr>
                <w:b/>
                <w:bCs/>
                <w:i/>
                <w:iCs/>
                <w:sz w:val="20"/>
              </w:rPr>
            </w:pPr>
          </w:p>
        </w:tc>
        <w:tc>
          <w:tcPr>
            <w:cnfStyle w:val="000010000000"/>
            <w:tcW w:w="503" w:type="dxa"/>
            <w:vAlign w:val="center"/>
          </w:tcPr>
          <w:p w:rsidR="00135105" w:rsidRPr="00242020" w:rsidRDefault="00135105" w:rsidP="00135105">
            <w:pPr>
              <w:ind w:firstLine="0"/>
              <w:jc w:val="center"/>
              <w:rPr>
                <w:b/>
                <w:bCs/>
                <w:i/>
                <w:iCs/>
                <w:sz w:val="20"/>
              </w:rPr>
            </w:pPr>
          </w:p>
        </w:tc>
        <w:tc>
          <w:tcPr>
            <w:tcW w:w="436" w:type="dxa"/>
            <w:noWrap/>
            <w:vAlign w:val="center"/>
          </w:tcPr>
          <w:p w:rsidR="00135105" w:rsidRPr="00242020" w:rsidRDefault="00135105" w:rsidP="00135105">
            <w:pPr>
              <w:ind w:firstLine="0"/>
              <w:jc w:val="center"/>
              <w:cnfStyle w:val="000000100000"/>
              <w:rPr>
                <w:b/>
                <w:bCs/>
                <w:i/>
                <w:iCs/>
                <w:sz w:val="20"/>
              </w:rPr>
            </w:pPr>
          </w:p>
        </w:tc>
        <w:tc>
          <w:tcPr>
            <w:cnfStyle w:val="000010000000"/>
            <w:tcW w:w="363" w:type="dxa"/>
            <w:vAlign w:val="center"/>
          </w:tcPr>
          <w:p w:rsidR="00135105" w:rsidRPr="00242020" w:rsidRDefault="00135105" w:rsidP="00135105">
            <w:pPr>
              <w:ind w:firstLine="0"/>
              <w:jc w:val="center"/>
              <w:rPr>
                <w:b/>
                <w:bCs/>
                <w:i/>
                <w:iCs/>
                <w:sz w:val="20"/>
              </w:rPr>
            </w:pPr>
          </w:p>
        </w:tc>
        <w:tc>
          <w:tcPr>
            <w:tcW w:w="434" w:type="dxa"/>
            <w:vAlign w:val="center"/>
          </w:tcPr>
          <w:p w:rsidR="00135105" w:rsidRPr="00242020" w:rsidRDefault="00135105" w:rsidP="00135105">
            <w:pPr>
              <w:ind w:firstLine="0"/>
              <w:jc w:val="center"/>
              <w:cnfStyle w:val="000000100000"/>
              <w:rPr>
                <w:b/>
                <w:bCs/>
                <w:i/>
                <w:iCs/>
                <w:sz w:val="20"/>
              </w:rPr>
            </w:pPr>
          </w:p>
        </w:tc>
        <w:tc>
          <w:tcPr>
            <w:cnfStyle w:val="000010000000"/>
            <w:tcW w:w="916" w:type="dxa"/>
            <w:vAlign w:val="center"/>
          </w:tcPr>
          <w:p w:rsidR="00135105" w:rsidRPr="00242020" w:rsidRDefault="00135105" w:rsidP="00135105">
            <w:pPr>
              <w:ind w:firstLine="0"/>
              <w:jc w:val="center"/>
              <w:rPr>
                <w:sz w:val="20"/>
              </w:rPr>
            </w:pPr>
            <w:r w:rsidRPr="00242020">
              <w:rPr>
                <w:sz w:val="20"/>
              </w:rPr>
              <w:t>635</w:t>
            </w:r>
          </w:p>
        </w:tc>
        <w:tc>
          <w:tcPr>
            <w:tcW w:w="916" w:type="dxa"/>
            <w:noWrap/>
            <w:vAlign w:val="center"/>
          </w:tcPr>
          <w:p w:rsidR="00135105" w:rsidRPr="00242020" w:rsidRDefault="00135105" w:rsidP="00135105">
            <w:pPr>
              <w:ind w:firstLine="0"/>
              <w:jc w:val="center"/>
              <w:cnfStyle w:val="000000100000"/>
              <w:rPr>
                <w:sz w:val="20"/>
              </w:rPr>
            </w:pPr>
            <w:r w:rsidRPr="00242020">
              <w:rPr>
                <w:sz w:val="20"/>
              </w:rPr>
              <w:t>614</w:t>
            </w:r>
          </w:p>
        </w:tc>
        <w:tc>
          <w:tcPr>
            <w:cnfStyle w:val="000010000000"/>
            <w:tcW w:w="732" w:type="dxa"/>
            <w:noWrap/>
            <w:vAlign w:val="center"/>
          </w:tcPr>
          <w:p w:rsidR="00135105" w:rsidRPr="00242020" w:rsidRDefault="00135105" w:rsidP="00135105">
            <w:pPr>
              <w:ind w:firstLine="0"/>
              <w:jc w:val="center"/>
              <w:rPr>
                <w:sz w:val="20"/>
              </w:rPr>
            </w:pPr>
            <w:r w:rsidRPr="00242020">
              <w:rPr>
                <w:sz w:val="20"/>
              </w:rPr>
              <w:t>18</w:t>
            </w:r>
          </w:p>
        </w:tc>
        <w:tc>
          <w:tcPr>
            <w:tcW w:w="656" w:type="dxa"/>
            <w:noWrap/>
            <w:vAlign w:val="center"/>
          </w:tcPr>
          <w:p w:rsidR="00135105" w:rsidRPr="00242020" w:rsidRDefault="00135105" w:rsidP="00135105">
            <w:pPr>
              <w:ind w:firstLine="0"/>
              <w:jc w:val="center"/>
              <w:cnfStyle w:val="000000100000"/>
              <w:rPr>
                <w:sz w:val="20"/>
              </w:rPr>
            </w:pPr>
            <w:r w:rsidRPr="00242020">
              <w:rPr>
                <w:sz w:val="20"/>
              </w:rPr>
              <w:t>2</w:t>
            </w:r>
          </w:p>
        </w:tc>
        <w:tc>
          <w:tcPr>
            <w:cnfStyle w:val="000010000000"/>
            <w:tcW w:w="656" w:type="dxa"/>
            <w:noWrap/>
            <w:vAlign w:val="center"/>
          </w:tcPr>
          <w:p w:rsidR="00135105" w:rsidRPr="00242020" w:rsidRDefault="00135105" w:rsidP="00135105">
            <w:pPr>
              <w:ind w:firstLine="0"/>
              <w:jc w:val="center"/>
              <w:rPr>
                <w:sz w:val="20"/>
              </w:rPr>
            </w:pPr>
            <w:r w:rsidRPr="00242020">
              <w:rPr>
                <w:sz w:val="20"/>
              </w:rPr>
              <w:t>1</w:t>
            </w:r>
          </w:p>
        </w:tc>
        <w:tc>
          <w:tcPr>
            <w:tcW w:w="656" w:type="dxa"/>
            <w:noWrap/>
            <w:vAlign w:val="center"/>
          </w:tcPr>
          <w:p w:rsidR="00135105" w:rsidRPr="00242020" w:rsidRDefault="00135105" w:rsidP="00135105">
            <w:pPr>
              <w:ind w:firstLine="0"/>
              <w:jc w:val="center"/>
              <w:cnfStyle w:val="000000100000"/>
              <w:rPr>
                <w:sz w:val="20"/>
              </w:rPr>
            </w:pPr>
            <w:r w:rsidRPr="00242020">
              <w:rPr>
                <w:sz w:val="20"/>
              </w:rPr>
              <w:t>0</w:t>
            </w:r>
          </w:p>
        </w:tc>
      </w:tr>
      <w:tr w:rsidR="00EF2524" w:rsidRPr="00242020" w:rsidTr="00EF2524">
        <w:trPr>
          <w:cnfStyle w:val="000000010000"/>
          <w:trHeight w:hRule="exact" w:val="266"/>
        </w:trPr>
        <w:tc>
          <w:tcPr>
            <w:cnfStyle w:val="000010000000"/>
            <w:tcW w:w="524" w:type="dxa"/>
            <w:gridSpan w:val="2"/>
            <w:shd w:val="clear" w:color="auto" w:fill="auto"/>
          </w:tcPr>
          <w:p w:rsidR="00135105" w:rsidRPr="00242020" w:rsidRDefault="00135105" w:rsidP="00135105">
            <w:pPr>
              <w:ind w:firstLine="0"/>
              <w:jc w:val="center"/>
              <w:rPr>
                <w:sz w:val="20"/>
              </w:rPr>
            </w:pPr>
            <w:r w:rsidRPr="00242020">
              <w:rPr>
                <w:sz w:val="20"/>
              </w:rPr>
              <w:t>2</w:t>
            </w:r>
          </w:p>
        </w:tc>
        <w:tc>
          <w:tcPr>
            <w:tcW w:w="2419" w:type="dxa"/>
            <w:shd w:val="clear" w:color="auto" w:fill="auto"/>
          </w:tcPr>
          <w:p w:rsidR="00135105" w:rsidRPr="00242020" w:rsidRDefault="00135105" w:rsidP="00135105">
            <w:pPr>
              <w:ind w:left="-89" w:right="-118" w:firstLine="0"/>
              <w:cnfStyle w:val="000000010000"/>
              <w:rPr>
                <w:sz w:val="20"/>
              </w:rPr>
            </w:pPr>
            <w:r w:rsidRPr="00242020">
              <w:rPr>
                <w:sz w:val="20"/>
              </w:rPr>
              <w:t>АР Крим</w:t>
            </w:r>
          </w:p>
        </w:tc>
        <w:tc>
          <w:tcPr>
            <w:cnfStyle w:val="000010000000"/>
            <w:tcW w:w="916" w:type="dxa"/>
            <w:shd w:val="clear" w:color="auto" w:fill="auto"/>
            <w:vAlign w:val="center"/>
          </w:tcPr>
          <w:p w:rsidR="00135105" w:rsidRPr="00242020" w:rsidRDefault="00135105" w:rsidP="00135105">
            <w:pPr>
              <w:ind w:firstLine="0"/>
              <w:jc w:val="center"/>
              <w:rPr>
                <w:sz w:val="20"/>
              </w:rPr>
            </w:pPr>
            <w:r w:rsidRPr="00242020">
              <w:rPr>
                <w:sz w:val="20"/>
              </w:rPr>
              <w:t>6534</w:t>
            </w:r>
          </w:p>
        </w:tc>
        <w:tc>
          <w:tcPr>
            <w:tcW w:w="91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5857</w:t>
            </w:r>
          </w:p>
        </w:tc>
        <w:tc>
          <w:tcPr>
            <w:cnfStyle w:val="000010000000"/>
            <w:tcW w:w="781" w:type="dxa"/>
            <w:shd w:val="clear" w:color="auto" w:fill="auto"/>
            <w:noWrap/>
            <w:vAlign w:val="center"/>
          </w:tcPr>
          <w:p w:rsidR="00135105" w:rsidRPr="00242020" w:rsidRDefault="00135105" w:rsidP="00135105">
            <w:pPr>
              <w:ind w:firstLine="0"/>
              <w:jc w:val="center"/>
              <w:rPr>
                <w:sz w:val="20"/>
              </w:rPr>
            </w:pPr>
            <w:r w:rsidRPr="00242020">
              <w:rPr>
                <w:sz w:val="20"/>
              </w:rPr>
              <w:t>322</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190</w:t>
            </w:r>
          </w:p>
        </w:tc>
        <w:tc>
          <w:tcPr>
            <w:cnfStyle w:val="000010000000"/>
            <w:tcW w:w="656" w:type="dxa"/>
            <w:shd w:val="clear" w:color="auto" w:fill="auto"/>
            <w:noWrap/>
            <w:vAlign w:val="center"/>
          </w:tcPr>
          <w:p w:rsidR="00135105" w:rsidRPr="00242020" w:rsidRDefault="00135105" w:rsidP="00135105">
            <w:pPr>
              <w:ind w:firstLine="0"/>
              <w:jc w:val="center"/>
              <w:rPr>
                <w:sz w:val="20"/>
              </w:rPr>
            </w:pPr>
            <w:r w:rsidRPr="00242020">
              <w:rPr>
                <w:sz w:val="20"/>
              </w:rPr>
              <w:t>88</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77</w:t>
            </w:r>
          </w:p>
        </w:tc>
        <w:tc>
          <w:tcPr>
            <w:cnfStyle w:val="000010000000"/>
            <w:tcW w:w="897" w:type="dxa"/>
            <w:shd w:val="clear" w:color="auto" w:fill="auto"/>
            <w:noWrap/>
            <w:vAlign w:val="center"/>
          </w:tcPr>
          <w:p w:rsidR="00135105" w:rsidRPr="00242020" w:rsidRDefault="00135105" w:rsidP="00135105">
            <w:pPr>
              <w:ind w:firstLine="0"/>
              <w:jc w:val="center"/>
              <w:rPr>
                <w:b/>
                <w:bCs/>
                <w:i/>
                <w:iCs/>
                <w:sz w:val="20"/>
              </w:rPr>
            </w:pPr>
            <w:r w:rsidRPr="00242020">
              <w:rPr>
                <w:b/>
                <w:i/>
                <w:iCs/>
                <w:sz w:val="20"/>
              </w:rPr>
              <w:t>0</w:t>
            </w:r>
          </w:p>
        </w:tc>
        <w:tc>
          <w:tcPr>
            <w:tcW w:w="516" w:type="dxa"/>
            <w:shd w:val="clear" w:color="auto" w:fill="auto"/>
            <w:noWrap/>
            <w:vAlign w:val="center"/>
          </w:tcPr>
          <w:p w:rsidR="00135105" w:rsidRPr="00242020" w:rsidRDefault="00135105" w:rsidP="00135105">
            <w:pPr>
              <w:ind w:firstLine="0"/>
              <w:jc w:val="center"/>
              <w:cnfStyle w:val="000000010000"/>
              <w:rPr>
                <w:b/>
                <w:bCs/>
                <w:i/>
                <w:iCs/>
                <w:sz w:val="20"/>
              </w:rPr>
            </w:pPr>
          </w:p>
        </w:tc>
        <w:tc>
          <w:tcPr>
            <w:cnfStyle w:val="000010000000"/>
            <w:tcW w:w="503" w:type="dxa"/>
            <w:shd w:val="clear" w:color="auto" w:fill="auto"/>
            <w:vAlign w:val="center"/>
          </w:tcPr>
          <w:p w:rsidR="00135105" w:rsidRPr="00242020" w:rsidRDefault="00135105" w:rsidP="00135105">
            <w:pPr>
              <w:ind w:firstLine="0"/>
              <w:jc w:val="center"/>
              <w:rPr>
                <w:b/>
                <w:bCs/>
                <w:i/>
                <w:iCs/>
                <w:sz w:val="20"/>
              </w:rPr>
            </w:pPr>
          </w:p>
        </w:tc>
        <w:tc>
          <w:tcPr>
            <w:tcW w:w="436" w:type="dxa"/>
            <w:shd w:val="clear" w:color="auto" w:fill="auto"/>
            <w:noWrap/>
            <w:vAlign w:val="center"/>
          </w:tcPr>
          <w:p w:rsidR="00135105" w:rsidRPr="00242020" w:rsidRDefault="00135105" w:rsidP="00135105">
            <w:pPr>
              <w:ind w:firstLine="0"/>
              <w:jc w:val="center"/>
              <w:cnfStyle w:val="000000010000"/>
              <w:rPr>
                <w:b/>
                <w:bCs/>
                <w:i/>
                <w:iCs/>
                <w:sz w:val="20"/>
              </w:rPr>
            </w:pPr>
          </w:p>
        </w:tc>
        <w:tc>
          <w:tcPr>
            <w:cnfStyle w:val="000010000000"/>
            <w:tcW w:w="363" w:type="dxa"/>
            <w:shd w:val="clear" w:color="auto" w:fill="auto"/>
            <w:vAlign w:val="center"/>
          </w:tcPr>
          <w:p w:rsidR="00135105" w:rsidRPr="00242020" w:rsidRDefault="00135105" w:rsidP="00135105">
            <w:pPr>
              <w:ind w:firstLine="0"/>
              <w:jc w:val="center"/>
              <w:rPr>
                <w:b/>
                <w:bCs/>
                <w:i/>
                <w:iCs/>
                <w:sz w:val="20"/>
              </w:rPr>
            </w:pPr>
          </w:p>
        </w:tc>
        <w:tc>
          <w:tcPr>
            <w:tcW w:w="434" w:type="dxa"/>
            <w:shd w:val="clear" w:color="auto" w:fill="auto"/>
            <w:vAlign w:val="center"/>
          </w:tcPr>
          <w:p w:rsidR="00135105" w:rsidRPr="00242020" w:rsidRDefault="00135105" w:rsidP="00135105">
            <w:pPr>
              <w:ind w:firstLine="0"/>
              <w:jc w:val="center"/>
              <w:cnfStyle w:val="000000010000"/>
              <w:rPr>
                <w:b/>
                <w:bCs/>
                <w:i/>
                <w:iCs/>
                <w:sz w:val="20"/>
              </w:rPr>
            </w:pPr>
          </w:p>
        </w:tc>
        <w:tc>
          <w:tcPr>
            <w:cnfStyle w:val="000010000000"/>
            <w:tcW w:w="916" w:type="dxa"/>
            <w:shd w:val="clear" w:color="auto" w:fill="auto"/>
            <w:noWrap/>
            <w:vAlign w:val="center"/>
          </w:tcPr>
          <w:p w:rsidR="00135105" w:rsidRPr="00242020" w:rsidRDefault="00135105" w:rsidP="00135105">
            <w:pPr>
              <w:ind w:firstLine="0"/>
              <w:jc w:val="center"/>
              <w:rPr>
                <w:sz w:val="20"/>
              </w:rPr>
            </w:pPr>
            <w:r w:rsidRPr="00242020">
              <w:rPr>
                <w:sz w:val="20"/>
              </w:rPr>
              <w:t>6534</w:t>
            </w:r>
          </w:p>
        </w:tc>
        <w:tc>
          <w:tcPr>
            <w:tcW w:w="91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5857</w:t>
            </w:r>
          </w:p>
        </w:tc>
        <w:tc>
          <w:tcPr>
            <w:cnfStyle w:val="000010000000"/>
            <w:tcW w:w="732" w:type="dxa"/>
            <w:shd w:val="clear" w:color="auto" w:fill="auto"/>
            <w:noWrap/>
            <w:vAlign w:val="center"/>
          </w:tcPr>
          <w:p w:rsidR="00135105" w:rsidRPr="00242020" w:rsidRDefault="00135105" w:rsidP="00135105">
            <w:pPr>
              <w:ind w:firstLine="0"/>
              <w:jc w:val="center"/>
              <w:rPr>
                <w:sz w:val="20"/>
              </w:rPr>
            </w:pPr>
            <w:r w:rsidRPr="00242020">
              <w:rPr>
                <w:sz w:val="20"/>
              </w:rPr>
              <w:t>322</w:t>
            </w:r>
          </w:p>
        </w:tc>
        <w:tc>
          <w:tcPr>
            <w:tcW w:w="656" w:type="dxa"/>
            <w:shd w:val="clear" w:color="auto" w:fill="auto"/>
            <w:noWrap/>
            <w:vAlign w:val="center"/>
          </w:tcPr>
          <w:p w:rsidR="00135105" w:rsidRPr="00242020" w:rsidRDefault="00135105" w:rsidP="00135105">
            <w:pPr>
              <w:ind w:firstLine="0"/>
              <w:jc w:val="center"/>
              <w:cnfStyle w:val="000000010000"/>
              <w:rPr>
                <w:sz w:val="20"/>
              </w:rPr>
            </w:pPr>
            <w:r w:rsidRPr="00242020">
              <w:rPr>
                <w:sz w:val="20"/>
              </w:rPr>
              <w:t>190</w:t>
            </w:r>
          </w:p>
        </w:tc>
        <w:tc>
          <w:tcPr>
            <w:cnfStyle w:val="000010000000"/>
            <w:tcW w:w="656" w:type="dxa"/>
            <w:shd w:val="clear" w:color="auto" w:fill="auto"/>
            <w:vAlign w:val="center"/>
          </w:tcPr>
          <w:p w:rsidR="00135105" w:rsidRPr="00242020" w:rsidRDefault="00135105" w:rsidP="00135105">
            <w:pPr>
              <w:ind w:firstLine="0"/>
              <w:jc w:val="center"/>
              <w:rPr>
                <w:sz w:val="20"/>
              </w:rPr>
            </w:pPr>
            <w:r w:rsidRPr="00242020">
              <w:rPr>
                <w:sz w:val="20"/>
              </w:rPr>
              <w:t>88</w:t>
            </w:r>
          </w:p>
        </w:tc>
        <w:tc>
          <w:tcPr>
            <w:tcW w:w="656" w:type="dxa"/>
            <w:shd w:val="clear" w:color="auto" w:fill="auto"/>
            <w:vAlign w:val="center"/>
          </w:tcPr>
          <w:p w:rsidR="00135105" w:rsidRPr="00242020" w:rsidRDefault="00135105" w:rsidP="00135105">
            <w:pPr>
              <w:ind w:firstLine="0"/>
              <w:jc w:val="center"/>
              <w:cnfStyle w:val="000000010000"/>
              <w:rPr>
                <w:sz w:val="20"/>
              </w:rPr>
            </w:pPr>
            <w:r w:rsidRPr="00242020">
              <w:rPr>
                <w:sz w:val="20"/>
              </w:rPr>
              <w:t>77</w:t>
            </w:r>
          </w:p>
        </w:tc>
      </w:tr>
    </w:tbl>
    <w:p w:rsidR="00135105" w:rsidRPr="009D45C6" w:rsidRDefault="009D45C6">
      <w:pPr>
        <w:rPr>
          <w:sz w:val="24"/>
          <w:szCs w:val="24"/>
        </w:rPr>
        <w:sectPr w:rsidR="00135105" w:rsidRPr="009D45C6" w:rsidSect="00135105">
          <w:headerReference w:type="even" r:id="rId26"/>
          <w:headerReference w:type="default" r:id="rId27"/>
          <w:footerReference w:type="even" r:id="rId28"/>
          <w:pgSz w:w="16838" w:h="11906" w:orient="landscape"/>
          <w:pgMar w:top="851" w:right="820" w:bottom="993" w:left="709" w:header="709" w:footer="457" w:gutter="0"/>
          <w:cols w:space="708"/>
          <w:docGrid w:linePitch="381"/>
        </w:sectPr>
      </w:pPr>
      <w:r>
        <w:rPr>
          <w:sz w:val="24"/>
          <w:szCs w:val="24"/>
        </w:rPr>
        <w:t xml:space="preserve">* </w:t>
      </w:r>
      <w:r w:rsidRPr="009D45C6">
        <w:rPr>
          <w:sz w:val="24"/>
          <w:szCs w:val="24"/>
        </w:rPr>
        <w:t>З</w:t>
      </w:r>
      <w:r>
        <w:rPr>
          <w:sz w:val="24"/>
          <w:szCs w:val="24"/>
        </w:rPr>
        <w:t>а даними</w:t>
      </w:r>
      <w:r w:rsidR="00022F5E">
        <w:rPr>
          <w:sz w:val="24"/>
          <w:szCs w:val="24"/>
        </w:rPr>
        <w:t>,</w:t>
      </w:r>
      <w:r>
        <w:rPr>
          <w:sz w:val="24"/>
          <w:szCs w:val="24"/>
        </w:rPr>
        <w:t xml:space="preserve"> </w:t>
      </w:r>
      <w:r w:rsidR="00022F5E">
        <w:rPr>
          <w:sz w:val="24"/>
          <w:szCs w:val="24"/>
        </w:rPr>
        <w:t xml:space="preserve">поданими </w:t>
      </w:r>
      <w:r w:rsidR="00022F5E" w:rsidRPr="00022F5E">
        <w:rPr>
          <w:sz w:val="24"/>
          <w:szCs w:val="24"/>
        </w:rPr>
        <w:t xml:space="preserve">регіональними відділеннями Фонду і органами місцевого самоврядування </w:t>
      </w:r>
    </w:p>
    <w:p w:rsidR="00D226C3" w:rsidRPr="00242020" w:rsidRDefault="00D226C3">
      <w:pPr>
        <w:rPr>
          <w:sz w:val="10"/>
          <w:szCs w:val="10"/>
        </w:rPr>
      </w:pPr>
    </w:p>
    <w:p w:rsidR="00052F2E" w:rsidRPr="00242020" w:rsidRDefault="00052F2E" w:rsidP="00CF5E09">
      <w:pPr>
        <w:ind w:firstLine="0"/>
        <w:jc w:val="center"/>
        <w:rPr>
          <w:b/>
          <w:bCs/>
          <w:sz w:val="30"/>
          <w:szCs w:val="30"/>
        </w:rPr>
      </w:pPr>
      <w:r w:rsidRPr="00242020">
        <w:rPr>
          <w:b/>
          <w:sz w:val="30"/>
          <w:szCs w:val="30"/>
        </w:rPr>
        <w:t>Кількість приватизованих об’єктів малої приватизації (груп А та Ж) у 1992 – 2016 роках</w:t>
      </w:r>
    </w:p>
    <w:p w:rsidR="00052F2E" w:rsidRPr="00242020" w:rsidRDefault="00052F2E" w:rsidP="00052F2E">
      <w:pPr>
        <w:jc w:val="center"/>
        <w:rPr>
          <w:sz w:val="16"/>
          <w:szCs w:val="16"/>
          <w:highlight w:val="red"/>
        </w:rPr>
      </w:pPr>
    </w:p>
    <w:p w:rsidR="00052F2E" w:rsidRPr="00242020" w:rsidRDefault="00052F2E" w:rsidP="00CF5E09">
      <w:pPr>
        <w:ind w:firstLine="0"/>
        <w:rPr>
          <w:szCs w:val="28"/>
          <w:highlight w:val="red"/>
        </w:rPr>
      </w:pPr>
      <w:r w:rsidRPr="00242020">
        <w:rPr>
          <w:noProof/>
          <w:lang w:eastAsia="uk-UA"/>
        </w:rPr>
        <w:drawing>
          <wp:inline distT="0" distB="0" distL="0" distR="0">
            <wp:extent cx="9705975" cy="549592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35105" w:rsidRPr="00242020" w:rsidRDefault="00052F2E" w:rsidP="00813306">
      <w:pPr>
        <w:ind w:firstLine="0"/>
      </w:pPr>
      <w:r w:rsidRPr="00242020">
        <w:rPr>
          <w:sz w:val="24"/>
          <w:szCs w:val="24"/>
        </w:rPr>
        <w:t>До 201</w:t>
      </w:r>
      <w:r w:rsidR="00813306">
        <w:rPr>
          <w:sz w:val="24"/>
          <w:szCs w:val="24"/>
        </w:rPr>
        <w:t>4</w:t>
      </w:r>
      <w:r w:rsidRPr="00242020">
        <w:rPr>
          <w:sz w:val="24"/>
          <w:szCs w:val="24"/>
        </w:rPr>
        <w:t xml:space="preserve"> року враховано АР Крим</w:t>
      </w:r>
    </w:p>
    <w:p w:rsidR="00052F2E" w:rsidRPr="00242020" w:rsidRDefault="00052F2E">
      <w:pPr>
        <w:sectPr w:rsidR="00052F2E" w:rsidRPr="00242020" w:rsidSect="00E161FD">
          <w:headerReference w:type="even" r:id="rId30"/>
          <w:headerReference w:type="default" r:id="rId31"/>
          <w:pgSz w:w="16838" w:h="11906" w:orient="landscape"/>
          <w:pgMar w:top="1129" w:right="820" w:bottom="993" w:left="709" w:header="709" w:footer="457" w:gutter="0"/>
          <w:cols w:space="708"/>
          <w:docGrid w:linePitch="381"/>
        </w:sectPr>
      </w:pPr>
    </w:p>
    <w:p w:rsidR="00052F2E" w:rsidRPr="00242020" w:rsidRDefault="00052F2E" w:rsidP="00CF5E09">
      <w:pPr>
        <w:ind w:firstLine="0"/>
        <w:jc w:val="center"/>
        <w:rPr>
          <w:b/>
          <w:bCs/>
          <w:sz w:val="30"/>
          <w:szCs w:val="30"/>
        </w:rPr>
      </w:pPr>
      <w:r w:rsidRPr="00242020">
        <w:rPr>
          <w:b/>
          <w:sz w:val="30"/>
          <w:szCs w:val="30"/>
        </w:rPr>
        <w:lastRenderedPageBreak/>
        <w:t>Кількість приватизованих об’єктів незавершеного будівництва (група Д) у 1994 – 2016 роках</w:t>
      </w:r>
    </w:p>
    <w:p w:rsidR="00052F2E" w:rsidRPr="00242020" w:rsidRDefault="00052F2E" w:rsidP="00052F2E">
      <w:pPr>
        <w:jc w:val="center"/>
        <w:rPr>
          <w:sz w:val="16"/>
          <w:szCs w:val="16"/>
          <w:highlight w:val="red"/>
        </w:rPr>
      </w:pPr>
    </w:p>
    <w:p w:rsidR="00052F2E" w:rsidRPr="00242020" w:rsidRDefault="00052F2E" w:rsidP="00CF5E09">
      <w:pPr>
        <w:ind w:firstLine="0"/>
      </w:pPr>
      <w:r w:rsidRPr="00242020">
        <w:rPr>
          <w:noProof/>
          <w:lang w:eastAsia="uk-UA"/>
        </w:rPr>
        <w:drawing>
          <wp:inline distT="0" distB="0" distL="0" distR="0">
            <wp:extent cx="9730740" cy="5600700"/>
            <wp:effectExtent l="19050" t="0" r="2286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052F2E" w:rsidRPr="00242020" w:rsidRDefault="00052F2E" w:rsidP="00813306">
      <w:pPr>
        <w:ind w:firstLine="0"/>
        <w:rPr>
          <w:sz w:val="24"/>
          <w:szCs w:val="24"/>
        </w:rPr>
        <w:sectPr w:rsidR="00052F2E" w:rsidRPr="00242020" w:rsidSect="004252F1">
          <w:headerReference w:type="even" r:id="rId33"/>
          <w:headerReference w:type="default" r:id="rId34"/>
          <w:pgSz w:w="16838" w:h="11906" w:orient="landscape"/>
          <w:pgMar w:top="851" w:right="820" w:bottom="993" w:left="709" w:header="847" w:footer="457" w:gutter="0"/>
          <w:cols w:space="708"/>
          <w:docGrid w:linePitch="381"/>
        </w:sectPr>
      </w:pPr>
      <w:r w:rsidRPr="00242020">
        <w:rPr>
          <w:sz w:val="24"/>
          <w:szCs w:val="24"/>
        </w:rPr>
        <w:t>До 201</w:t>
      </w:r>
      <w:r w:rsidR="00813306">
        <w:rPr>
          <w:sz w:val="24"/>
          <w:szCs w:val="24"/>
        </w:rPr>
        <w:t>4</w:t>
      </w:r>
      <w:r w:rsidRPr="00242020">
        <w:rPr>
          <w:sz w:val="24"/>
          <w:szCs w:val="24"/>
        </w:rPr>
        <w:t xml:space="preserve"> року враховано АР Крим</w:t>
      </w:r>
    </w:p>
    <w:p w:rsidR="00CF5E09" w:rsidRPr="00242020" w:rsidRDefault="00CF5E09" w:rsidP="00CF5E09">
      <w:pPr>
        <w:jc w:val="center"/>
        <w:rPr>
          <w:b/>
          <w:bCs/>
          <w:sz w:val="30"/>
          <w:szCs w:val="30"/>
        </w:rPr>
      </w:pPr>
      <w:r w:rsidRPr="00242020">
        <w:rPr>
          <w:b/>
          <w:sz w:val="30"/>
          <w:szCs w:val="30"/>
        </w:rPr>
        <w:lastRenderedPageBreak/>
        <w:t>Створення акціонерних товариств у 1992 – 201</w:t>
      </w:r>
      <w:r w:rsidR="00233D4D" w:rsidRPr="00242020">
        <w:rPr>
          <w:b/>
          <w:sz w:val="30"/>
          <w:szCs w:val="30"/>
        </w:rPr>
        <w:t>6</w:t>
      </w:r>
      <w:r w:rsidRPr="00242020">
        <w:rPr>
          <w:b/>
          <w:sz w:val="30"/>
          <w:szCs w:val="30"/>
        </w:rPr>
        <w:t xml:space="preserve"> роках</w:t>
      </w:r>
    </w:p>
    <w:p w:rsidR="00CF5E09" w:rsidRPr="00242020" w:rsidRDefault="00CF5E09" w:rsidP="00CF5E09">
      <w:pPr>
        <w:ind w:firstLine="0"/>
      </w:pPr>
      <w:r w:rsidRPr="00242020">
        <w:rPr>
          <w:noProof/>
          <w:lang w:eastAsia="uk-UA"/>
        </w:rPr>
        <w:drawing>
          <wp:inline distT="0" distB="0" distL="0" distR="0">
            <wp:extent cx="9697085" cy="5800725"/>
            <wp:effectExtent l="19050" t="0" r="1841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CF5E09" w:rsidRPr="00242020" w:rsidRDefault="00CF5E09" w:rsidP="00CF5E09">
      <w:pPr>
        <w:ind w:firstLine="0"/>
      </w:pPr>
      <w:r w:rsidRPr="00242020">
        <w:rPr>
          <w:sz w:val="24"/>
          <w:szCs w:val="24"/>
        </w:rPr>
        <w:t>До 201</w:t>
      </w:r>
      <w:r w:rsidR="00813306">
        <w:rPr>
          <w:sz w:val="24"/>
          <w:szCs w:val="24"/>
        </w:rPr>
        <w:t>4</w:t>
      </w:r>
      <w:r w:rsidRPr="00242020">
        <w:rPr>
          <w:sz w:val="24"/>
          <w:szCs w:val="24"/>
        </w:rPr>
        <w:t xml:space="preserve"> року враховано АР Крим</w:t>
      </w:r>
    </w:p>
    <w:p w:rsidR="00CF5E09" w:rsidRPr="00242020" w:rsidRDefault="00CF5E09" w:rsidP="00052F2E">
      <w:pPr>
        <w:sectPr w:rsidR="00CF5E09" w:rsidRPr="00242020" w:rsidSect="00E161FD">
          <w:headerReference w:type="even" r:id="rId36"/>
          <w:headerReference w:type="default" r:id="rId37"/>
          <w:pgSz w:w="16838" w:h="11906" w:orient="landscape"/>
          <w:pgMar w:top="987" w:right="820" w:bottom="993" w:left="709" w:header="705" w:footer="457" w:gutter="0"/>
          <w:cols w:space="708"/>
          <w:docGrid w:linePitch="381"/>
        </w:sectPr>
      </w:pPr>
    </w:p>
    <w:p w:rsidR="00CF5E09" w:rsidRPr="00242020" w:rsidRDefault="00CF5E09" w:rsidP="00CF5E09">
      <w:pPr>
        <w:ind w:firstLine="0"/>
        <w:jc w:val="center"/>
        <w:rPr>
          <w:b/>
          <w:sz w:val="30"/>
          <w:szCs w:val="30"/>
        </w:rPr>
      </w:pPr>
      <w:r w:rsidRPr="00242020">
        <w:rPr>
          <w:b/>
          <w:sz w:val="30"/>
          <w:szCs w:val="30"/>
        </w:rPr>
        <w:lastRenderedPageBreak/>
        <w:t>Надходження коштів від приватизації державного майна</w:t>
      </w:r>
      <w:r w:rsidRPr="00242020">
        <w:rPr>
          <w:b/>
          <w:sz w:val="30"/>
          <w:szCs w:val="30"/>
        </w:rPr>
        <w:br/>
        <w:t xml:space="preserve">до загального фонду Державного бюджету України у 1992 – 2016 роках </w:t>
      </w:r>
    </w:p>
    <w:p w:rsidR="00CF5E09" w:rsidRPr="00242020" w:rsidRDefault="00CF5E09" w:rsidP="00CF5E09">
      <w:pPr>
        <w:jc w:val="center"/>
        <w:rPr>
          <w:bCs/>
          <w:sz w:val="16"/>
          <w:szCs w:val="16"/>
        </w:rPr>
      </w:pPr>
    </w:p>
    <w:p w:rsidR="00CF5E09" w:rsidRPr="00242020" w:rsidRDefault="00CF5E09" w:rsidP="00CF5E09">
      <w:pPr>
        <w:ind w:firstLine="0"/>
      </w:pPr>
      <w:r w:rsidRPr="00242020">
        <w:rPr>
          <w:noProof/>
          <w:lang w:eastAsia="uk-UA"/>
        </w:rPr>
        <w:drawing>
          <wp:inline distT="0" distB="0" distL="0" distR="0">
            <wp:extent cx="9697085" cy="5505450"/>
            <wp:effectExtent l="0" t="0" r="18415"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CF5E09" w:rsidRPr="00242020" w:rsidRDefault="00CF5E09" w:rsidP="00052F2E">
      <w:pPr>
        <w:rPr>
          <w:sz w:val="16"/>
          <w:szCs w:val="16"/>
        </w:rPr>
      </w:pPr>
    </w:p>
    <w:p w:rsidR="00CF5E09" w:rsidRPr="00242020" w:rsidRDefault="00CF5E09" w:rsidP="00052F2E">
      <w:pPr>
        <w:rPr>
          <w:sz w:val="16"/>
          <w:szCs w:val="16"/>
        </w:rPr>
        <w:sectPr w:rsidR="00CF5E09" w:rsidRPr="00242020" w:rsidSect="00135105">
          <w:headerReference w:type="even" r:id="rId39"/>
          <w:headerReference w:type="default" r:id="rId40"/>
          <w:pgSz w:w="16838" w:h="11906" w:orient="landscape"/>
          <w:pgMar w:top="851" w:right="820" w:bottom="993" w:left="709" w:header="709" w:footer="457" w:gutter="0"/>
          <w:cols w:space="708"/>
          <w:docGrid w:linePitch="381"/>
        </w:sectPr>
      </w:pPr>
    </w:p>
    <w:p w:rsidR="00C56134" w:rsidRPr="00242020" w:rsidRDefault="00C56134" w:rsidP="00233D4D">
      <w:pPr>
        <w:ind w:right="31" w:firstLine="0"/>
        <w:jc w:val="center"/>
        <w:rPr>
          <w:b/>
          <w:bCs/>
          <w:sz w:val="30"/>
          <w:szCs w:val="30"/>
        </w:rPr>
      </w:pPr>
      <w:r w:rsidRPr="00242020">
        <w:rPr>
          <w:b/>
          <w:sz w:val="30"/>
          <w:szCs w:val="30"/>
        </w:rPr>
        <w:lastRenderedPageBreak/>
        <w:t>Надходження коштів від оренди державного майна до Державного бюджету України у 2000 – 2016 роках</w:t>
      </w:r>
    </w:p>
    <w:p w:rsidR="00C56134" w:rsidRPr="00242020" w:rsidRDefault="00C56134" w:rsidP="00C56134">
      <w:pPr>
        <w:ind w:right="31"/>
        <w:jc w:val="center"/>
        <w:rPr>
          <w:b/>
          <w:bCs/>
          <w:sz w:val="10"/>
          <w:szCs w:val="10"/>
        </w:rPr>
      </w:pPr>
    </w:p>
    <w:p w:rsidR="00C56134" w:rsidRPr="00242020" w:rsidRDefault="00C56134" w:rsidP="00C56134">
      <w:pPr>
        <w:ind w:firstLine="0"/>
      </w:pPr>
      <w:r w:rsidRPr="00242020">
        <w:rPr>
          <w:noProof/>
          <w:lang w:eastAsia="uk-UA"/>
        </w:rPr>
        <w:drawing>
          <wp:inline distT="0" distB="0" distL="0" distR="0">
            <wp:extent cx="9669145" cy="5853430"/>
            <wp:effectExtent l="19050" t="0" r="27305"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8C48F8" w:rsidRPr="00242020" w:rsidRDefault="008C48F8" w:rsidP="00C56134">
      <w:pPr>
        <w:ind w:firstLine="0"/>
        <w:rPr>
          <w:sz w:val="16"/>
          <w:szCs w:val="16"/>
        </w:rPr>
      </w:pPr>
    </w:p>
    <w:p w:rsidR="00C56134" w:rsidRPr="00242020" w:rsidRDefault="00C56134" w:rsidP="00C56134">
      <w:pPr>
        <w:rPr>
          <w:sz w:val="16"/>
          <w:szCs w:val="16"/>
        </w:rPr>
        <w:sectPr w:rsidR="00C56134" w:rsidRPr="00242020" w:rsidSect="00E161FD">
          <w:headerReference w:type="even" r:id="rId42"/>
          <w:headerReference w:type="default" r:id="rId43"/>
          <w:pgSz w:w="16838" w:h="11906" w:orient="landscape"/>
          <w:pgMar w:top="987" w:right="820" w:bottom="993" w:left="709" w:header="709" w:footer="457" w:gutter="0"/>
          <w:cols w:space="708"/>
          <w:docGrid w:linePitch="381"/>
        </w:sectPr>
      </w:pPr>
    </w:p>
    <w:p w:rsidR="00CD3CD0" w:rsidRPr="00242020" w:rsidRDefault="00CD3CD0" w:rsidP="00CD3CD0">
      <w:pPr>
        <w:jc w:val="center"/>
        <w:rPr>
          <w:b/>
          <w:bCs/>
          <w:sz w:val="30"/>
          <w:szCs w:val="30"/>
        </w:rPr>
      </w:pPr>
      <w:r w:rsidRPr="00242020">
        <w:rPr>
          <w:b/>
          <w:sz w:val="30"/>
          <w:szCs w:val="30"/>
        </w:rPr>
        <w:lastRenderedPageBreak/>
        <w:t>Надходження дивідендів до Державного бюджету України у 2000 – 201</w:t>
      </w:r>
      <w:r w:rsidR="00233D4D" w:rsidRPr="00242020">
        <w:rPr>
          <w:b/>
          <w:sz w:val="30"/>
          <w:szCs w:val="30"/>
        </w:rPr>
        <w:t>6</w:t>
      </w:r>
      <w:r w:rsidRPr="00242020">
        <w:rPr>
          <w:b/>
          <w:sz w:val="30"/>
          <w:szCs w:val="30"/>
        </w:rPr>
        <w:t xml:space="preserve"> роках</w:t>
      </w:r>
    </w:p>
    <w:p w:rsidR="00CD3CD0" w:rsidRPr="00242020" w:rsidRDefault="00CD3CD0" w:rsidP="00CD3CD0">
      <w:pPr>
        <w:jc w:val="center"/>
        <w:rPr>
          <w:b/>
          <w:bCs/>
          <w:sz w:val="16"/>
          <w:szCs w:val="16"/>
        </w:rPr>
      </w:pPr>
    </w:p>
    <w:p w:rsidR="00CD3CD0" w:rsidRPr="00242020" w:rsidRDefault="00095093" w:rsidP="00CD3CD0">
      <w:pPr>
        <w:ind w:firstLine="0"/>
      </w:pPr>
      <w:r w:rsidRPr="00095093">
        <w:rPr>
          <w:noProof/>
          <w:sz w:val="24"/>
          <w:szCs w:val="24"/>
          <w:lang w:eastAsia="uk-UA"/>
        </w:rPr>
        <w:pict>
          <v:shape id="Надпись 22" o:spid="_x0000_s1043" type="#_x0000_t202" style="position:absolute;margin-left:719.05pt;margin-top:109.05pt;width:28.2pt;height:23.55pt;z-index:251661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" filled="f" stroked="f">
            <v:textbox style="layout-flow:vertical;mso-layout-flow-alt:bottom-to-top;mso-fit-shape-to-text:t">
              <w:txbxContent>
                <w:p w:rsidR="00DF1F08" w:rsidRPr="00B652DE" w:rsidRDefault="00DF1F08" w:rsidP="00CD3CD0">
                  <w:pPr>
                    <w:ind w:firstLine="0"/>
                  </w:pPr>
                  <w:r w:rsidRPr="00B652DE">
                    <w:rPr>
                      <w:sz w:val="24"/>
                      <w:szCs w:val="24"/>
                    </w:rPr>
                    <w:t>**</w:t>
                  </w:r>
                </w:p>
              </w:txbxContent>
            </v:textbox>
          </v:shape>
        </w:pict>
      </w:r>
      <w:r w:rsidRPr="00095093">
        <w:rPr>
          <w:noProof/>
          <w:sz w:val="24"/>
          <w:szCs w:val="24"/>
          <w:lang w:eastAsia="uk-UA"/>
        </w:rPr>
        <w:pict>
          <v:shape id="Надпись 21" o:spid="_x0000_s1042" type="#_x0000_t202" style="position:absolute;margin-left:299.9pt;margin-top:182.25pt;width:22.4pt;height:21pt;z-index:25166080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" filled="f" stroked="f">
            <v:textbox style="mso-fit-shape-to-text:t">
              <w:txbxContent>
                <w:p w:rsidR="00DF1F08" w:rsidRPr="00B652DE" w:rsidRDefault="00DF1F08" w:rsidP="00CD3CD0">
                  <w:pPr>
                    <w:ind w:firstLine="0"/>
                  </w:pPr>
                  <w:r w:rsidRPr="00B652DE">
                    <w:rPr>
                      <w:sz w:val="24"/>
                      <w:szCs w:val="24"/>
                    </w:rPr>
                    <w:t>*</w:t>
                  </w:r>
                </w:p>
              </w:txbxContent>
            </v:textbox>
          </v:shape>
        </w:pict>
      </w:r>
      <w:r w:rsidR="00CD3CD0" w:rsidRPr="00242020">
        <w:rPr>
          <w:noProof/>
          <w:lang w:eastAsia="uk-UA"/>
        </w:rPr>
        <w:drawing>
          <wp:inline distT="0" distB="0" distL="0" distR="0">
            <wp:extent cx="9676130" cy="5295900"/>
            <wp:effectExtent l="0" t="0" r="127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CD3CD0" w:rsidRPr="00242020" w:rsidRDefault="00CD3CD0" w:rsidP="00CD3CD0">
      <w:pPr>
        <w:ind w:firstLine="284"/>
        <w:rPr>
          <w:sz w:val="22"/>
        </w:rPr>
      </w:pPr>
      <w:r w:rsidRPr="00242020">
        <w:rPr>
          <w:sz w:val="22"/>
        </w:rPr>
        <w:t xml:space="preserve">* У тому числі 400,238 </w:t>
      </w:r>
      <w:proofErr w:type="spellStart"/>
      <w:r w:rsidRPr="00242020">
        <w:rPr>
          <w:sz w:val="22"/>
        </w:rPr>
        <w:t>млн</w:t>
      </w:r>
      <w:proofErr w:type="spellEnd"/>
      <w:r w:rsidRPr="00242020">
        <w:rPr>
          <w:sz w:val="22"/>
        </w:rPr>
        <w:t xml:space="preserve"> </w:t>
      </w:r>
      <w:proofErr w:type="spellStart"/>
      <w:r w:rsidRPr="00242020">
        <w:rPr>
          <w:sz w:val="22"/>
        </w:rPr>
        <w:t>грн</w:t>
      </w:r>
      <w:proofErr w:type="spellEnd"/>
      <w:r w:rsidRPr="00242020">
        <w:rPr>
          <w:sz w:val="22"/>
        </w:rPr>
        <w:t xml:space="preserve"> – компенсація за недоотримані дивіденди на корпоративні права держави, стягнуті з ВАТ </w:t>
      </w:r>
      <w:proofErr w:type="spellStart"/>
      <w:r w:rsidRPr="00242020">
        <w:rPr>
          <w:sz w:val="22"/>
        </w:rPr>
        <w:t>“Міттал</w:t>
      </w:r>
      <w:proofErr w:type="spellEnd"/>
      <w:r w:rsidRPr="00242020">
        <w:rPr>
          <w:sz w:val="22"/>
        </w:rPr>
        <w:t xml:space="preserve"> Стіл Кривий </w:t>
      </w:r>
      <w:proofErr w:type="spellStart"/>
      <w:r w:rsidRPr="00242020">
        <w:rPr>
          <w:sz w:val="22"/>
        </w:rPr>
        <w:t>Ріг”</w:t>
      </w:r>
      <w:proofErr w:type="spellEnd"/>
      <w:r w:rsidRPr="00242020">
        <w:rPr>
          <w:sz w:val="22"/>
        </w:rPr>
        <w:t xml:space="preserve"> у зв’язку з продажем ВАТ </w:t>
      </w:r>
      <w:proofErr w:type="spellStart"/>
      <w:r w:rsidRPr="00242020">
        <w:rPr>
          <w:sz w:val="22"/>
        </w:rPr>
        <w:t>“Криворіжсталь”</w:t>
      </w:r>
      <w:proofErr w:type="spellEnd"/>
    </w:p>
    <w:p w:rsidR="00CD3CD0" w:rsidRPr="00242020" w:rsidRDefault="00CD3CD0" w:rsidP="00CD3CD0">
      <w:pPr>
        <w:ind w:firstLine="284"/>
        <w:rPr>
          <w:b/>
          <w:sz w:val="22"/>
        </w:rPr>
        <w:sectPr w:rsidR="00CD3CD0" w:rsidRPr="00242020" w:rsidSect="00135105">
          <w:headerReference w:type="even" r:id="rId45"/>
          <w:headerReference w:type="default" r:id="rId46"/>
          <w:pgSz w:w="16838" w:h="11906" w:orient="landscape"/>
          <w:pgMar w:top="851" w:right="820" w:bottom="993" w:left="709" w:header="709" w:footer="457" w:gutter="0"/>
          <w:cols w:space="708"/>
          <w:docGrid w:linePitch="381"/>
        </w:sectPr>
      </w:pPr>
      <w:r w:rsidRPr="00242020">
        <w:rPr>
          <w:sz w:val="22"/>
        </w:rPr>
        <w:t xml:space="preserve">** Сплачено </w:t>
      </w:r>
      <w:r w:rsidRPr="00242020">
        <w:rPr>
          <w:b/>
          <w:sz w:val="22"/>
        </w:rPr>
        <w:t xml:space="preserve">дивідендів </w:t>
      </w:r>
      <w:r w:rsidRPr="00242020">
        <w:rPr>
          <w:sz w:val="22"/>
        </w:rPr>
        <w:t>на суму</w:t>
      </w:r>
      <w:r w:rsidRPr="00242020">
        <w:rPr>
          <w:b/>
          <w:sz w:val="22"/>
        </w:rPr>
        <w:t xml:space="preserve"> 20 468,388 тис. </w:t>
      </w:r>
      <w:proofErr w:type="spellStart"/>
      <w:r w:rsidRPr="00242020">
        <w:rPr>
          <w:b/>
          <w:sz w:val="22"/>
        </w:rPr>
        <w:t>грн</w:t>
      </w:r>
      <w:proofErr w:type="spellEnd"/>
      <w:r w:rsidRPr="00242020">
        <w:rPr>
          <w:b/>
          <w:sz w:val="22"/>
        </w:rPr>
        <w:t xml:space="preserve">, </w:t>
      </w:r>
      <w:r w:rsidRPr="00242020">
        <w:rPr>
          <w:sz w:val="22"/>
        </w:rPr>
        <w:t xml:space="preserve">а також </w:t>
      </w:r>
      <w:r w:rsidRPr="00242020">
        <w:rPr>
          <w:b/>
          <w:sz w:val="22"/>
        </w:rPr>
        <w:t xml:space="preserve">частину чистого прибутку </w:t>
      </w:r>
      <w:r w:rsidRPr="00242020">
        <w:rPr>
          <w:sz w:val="22"/>
        </w:rPr>
        <w:t>у розмірі</w:t>
      </w:r>
      <w:r w:rsidRPr="00242020">
        <w:rPr>
          <w:b/>
          <w:sz w:val="22"/>
        </w:rPr>
        <w:t xml:space="preserve"> 1 228 634,04 тис. </w:t>
      </w:r>
      <w:proofErr w:type="spellStart"/>
      <w:r w:rsidRPr="00242020">
        <w:rPr>
          <w:b/>
          <w:sz w:val="22"/>
        </w:rPr>
        <w:t>грн</w:t>
      </w:r>
      <w:proofErr w:type="spellEnd"/>
      <w:r w:rsidRPr="00242020">
        <w:rPr>
          <w:b/>
          <w:sz w:val="22"/>
        </w:rPr>
        <w:t xml:space="preserve"> </w:t>
      </w:r>
      <w:r w:rsidRPr="00242020">
        <w:rPr>
          <w:sz w:val="22"/>
        </w:rPr>
        <w:t>та</w:t>
      </w:r>
      <w:r w:rsidRPr="00242020">
        <w:rPr>
          <w:b/>
          <w:sz w:val="22"/>
        </w:rPr>
        <w:t xml:space="preserve"> пеню за несвоєчасно сплачені дивіденди – 382,111 тис. грн.</w:t>
      </w:r>
    </w:p>
    <w:p w:rsidR="00C27AF2" w:rsidRPr="00242020" w:rsidRDefault="00C27AF2" w:rsidP="00C27AF2">
      <w:pPr>
        <w:jc w:val="center"/>
        <w:rPr>
          <w:b/>
          <w:spacing w:val="-2"/>
          <w:sz w:val="30"/>
          <w:szCs w:val="30"/>
        </w:rPr>
      </w:pPr>
      <w:r w:rsidRPr="00242020">
        <w:rPr>
          <w:b/>
          <w:sz w:val="30"/>
          <w:szCs w:val="30"/>
        </w:rPr>
        <w:lastRenderedPageBreak/>
        <w:t xml:space="preserve">Довідка про надходження коштів, одержаних </w:t>
      </w:r>
      <w:r w:rsidRPr="00242020">
        <w:rPr>
          <w:b/>
          <w:spacing w:val="-2"/>
          <w:sz w:val="30"/>
          <w:szCs w:val="30"/>
        </w:rPr>
        <w:t xml:space="preserve">від приватизації об’єктів державної власності за січень-грудень 2016 року, у розрізі державних органів приватизації, тис. </w:t>
      </w:r>
      <w:proofErr w:type="spellStart"/>
      <w:r w:rsidRPr="00242020">
        <w:rPr>
          <w:b/>
          <w:spacing w:val="-2"/>
          <w:sz w:val="30"/>
          <w:szCs w:val="30"/>
        </w:rPr>
        <w:t>грн</w:t>
      </w:r>
      <w:proofErr w:type="spellEnd"/>
    </w:p>
    <w:p w:rsidR="00C27AF2" w:rsidRPr="00242020" w:rsidRDefault="00C27AF2" w:rsidP="00C27AF2">
      <w:pPr>
        <w:jc w:val="center"/>
        <w:rPr>
          <w:rFonts w:ascii="UkrainianSchoolBook" w:hAnsi="UkrainianSchoolBook"/>
          <w:spacing w:val="-2"/>
          <w:sz w:val="10"/>
          <w:szCs w:val="10"/>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3"/>
        <w:gridCol w:w="2777"/>
        <w:gridCol w:w="1177"/>
        <w:gridCol w:w="1419"/>
        <w:gridCol w:w="1079"/>
        <w:gridCol w:w="1175"/>
        <w:gridCol w:w="1331"/>
      </w:tblGrid>
      <w:tr w:rsidR="00C27AF2" w:rsidRPr="00242020" w:rsidTr="00B17F7E">
        <w:trPr>
          <w:trHeight w:val="97"/>
          <w:jc w:val="center"/>
        </w:trPr>
        <w:tc>
          <w:tcPr>
            <w:tcW w:w="503" w:type="dxa"/>
            <w:vMerge w:val="restart"/>
            <w:shd w:val="pct5" w:color="000000" w:fill="FFFFFF"/>
            <w:vAlign w:val="center"/>
          </w:tcPr>
          <w:p w:rsidR="00C27AF2" w:rsidRPr="00242020" w:rsidRDefault="00C27AF2" w:rsidP="00C27AF2">
            <w:pPr>
              <w:ind w:firstLine="0"/>
              <w:jc w:val="center"/>
              <w:rPr>
                <w:b/>
                <w:bCs/>
                <w:sz w:val="20"/>
              </w:rPr>
            </w:pPr>
            <w:r w:rsidRPr="00242020">
              <w:rPr>
                <w:b/>
                <w:sz w:val="20"/>
              </w:rPr>
              <w:t>№</w:t>
            </w:r>
            <w:r w:rsidRPr="00242020">
              <w:rPr>
                <w:b/>
                <w:sz w:val="20"/>
              </w:rPr>
              <w:br/>
              <w:t>з/п</w:t>
            </w:r>
          </w:p>
        </w:tc>
        <w:tc>
          <w:tcPr>
            <w:tcW w:w="2777" w:type="dxa"/>
            <w:vMerge w:val="restart"/>
            <w:shd w:val="pct5" w:color="000000" w:fill="FFFFFF"/>
            <w:vAlign w:val="center"/>
          </w:tcPr>
          <w:p w:rsidR="00C27AF2" w:rsidRPr="00242020" w:rsidRDefault="00C27AF2" w:rsidP="00C27AF2">
            <w:pPr>
              <w:ind w:firstLine="0"/>
              <w:jc w:val="center"/>
              <w:rPr>
                <w:b/>
                <w:sz w:val="20"/>
              </w:rPr>
            </w:pPr>
            <w:r w:rsidRPr="00242020">
              <w:rPr>
                <w:b/>
                <w:sz w:val="20"/>
              </w:rPr>
              <w:t xml:space="preserve">Відділення </w:t>
            </w:r>
          </w:p>
          <w:p w:rsidR="00C27AF2" w:rsidRPr="00242020" w:rsidRDefault="00C27AF2" w:rsidP="00C27AF2">
            <w:pPr>
              <w:ind w:firstLine="0"/>
              <w:jc w:val="center"/>
              <w:rPr>
                <w:b/>
                <w:bCs/>
                <w:sz w:val="20"/>
              </w:rPr>
            </w:pPr>
            <w:r w:rsidRPr="00242020">
              <w:rPr>
                <w:b/>
                <w:sz w:val="20"/>
              </w:rPr>
              <w:t>по областях</w:t>
            </w:r>
          </w:p>
        </w:tc>
        <w:tc>
          <w:tcPr>
            <w:tcW w:w="1177" w:type="dxa"/>
            <w:vMerge w:val="restart"/>
            <w:shd w:val="pct5" w:color="000000" w:fill="FFFFFF"/>
            <w:noWrap/>
            <w:vAlign w:val="center"/>
          </w:tcPr>
          <w:p w:rsidR="00C27AF2" w:rsidRPr="00242020" w:rsidRDefault="00C27AF2" w:rsidP="00C27AF2">
            <w:pPr>
              <w:ind w:firstLine="0"/>
              <w:jc w:val="center"/>
              <w:rPr>
                <w:b/>
                <w:bCs/>
                <w:sz w:val="20"/>
              </w:rPr>
            </w:pPr>
            <w:r w:rsidRPr="00242020">
              <w:rPr>
                <w:b/>
                <w:sz w:val="20"/>
              </w:rPr>
              <w:t>Разом</w:t>
            </w:r>
          </w:p>
        </w:tc>
        <w:tc>
          <w:tcPr>
            <w:tcW w:w="1419" w:type="dxa"/>
            <w:vMerge w:val="restart"/>
            <w:shd w:val="pct5" w:color="000000" w:fill="FFFFFF"/>
            <w:vAlign w:val="center"/>
          </w:tcPr>
          <w:p w:rsidR="00C27AF2" w:rsidRPr="00242020" w:rsidRDefault="00C27AF2" w:rsidP="00C27AF2">
            <w:pPr>
              <w:ind w:firstLine="0"/>
              <w:jc w:val="center"/>
              <w:rPr>
                <w:b/>
                <w:bCs/>
                <w:sz w:val="20"/>
              </w:rPr>
            </w:pPr>
            <w:r w:rsidRPr="00242020">
              <w:rPr>
                <w:b/>
                <w:sz w:val="20"/>
              </w:rPr>
              <w:t>Надійшло коштів від приватизації державного майна</w:t>
            </w:r>
          </w:p>
        </w:tc>
        <w:tc>
          <w:tcPr>
            <w:tcW w:w="2254" w:type="dxa"/>
            <w:gridSpan w:val="2"/>
            <w:shd w:val="pct5" w:color="000000" w:fill="FFFFFF"/>
            <w:noWrap/>
            <w:vAlign w:val="center"/>
          </w:tcPr>
          <w:p w:rsidR="00C27AF2" w:rsidRPr="00242020" w:rsidRDefault="00C27AF2" w:rsidP="00C27AF2">
            <w:pPr>
              <w:ind w:firstLine="0"/>
              <w:jc w:val="center"/>
              <w:rPr>
                <w:b/>
                <w:bCs/>
                <w:sz w:val="20"/>
              </w:rPr>
            </w:pPr>
            <w:r w:rsidRPr="00242020">
              <w:rPr>
                <w:b/>
                <w:sz w:val="20"/>
              </w:rPr>
              <w:t>у тому числі:</w:t>
            </w:r>
          </w:p>
        </w:tc>
        <w:tc>
          <w:tcPr>
            <w:tcW w:w="1331" w:type="dxa"/>
            <w:vMerge w:val="restart"/>
            <w:shd w:val="pct5" w:color="000000" w:fill="FFFFFF"/>
            <w:vAlign w:val="center"/>
          </w:tcPr>
          <w:p w:rsidR="00C27AF2" w:rsidRPr="00242020" w:rsidRDefault="00C27AF2" w:rsidP="00C27AF2">
            <w:pPr>
              <w:ind w:firstLine="0"/>
              <w:jc w:val="center"/>
              <w:rPr>
                <w:b/>
                <w:bCs/>
                <w:sz w:val="20"/>
              </w:rPr>
            </w:pPr>
            <w:r w:rsidRPr="00242020">
              <w:rPr>
                <w:b/>
                <w:spacing w:val="-6"/>
                <w:sz w:val="20"/>
              </w:rPr>
              <w:t>Надійшло</w:t>
            </w:r>
            <w:r w:rsidRPr="00242020">
              <w:rPr>
                <w:b/>
                <w:sz w:val="20"/>
              </w:rPr>
              <w:t xml:space="preserve"> від продажу </w:t>
            </w:r>
            <w:r w:rsidRPr="00242020">
              <w:rPr>
                <w:b/>
                <w:spacing w:val="-10"/>
                <w:sz w:val="20"/>
              </w:rPr>
              <w:t>земельних</w:t>
            </w:r>
            <w:r w:rsidRPr="00242020">
              <w:rPr>
                <w:b/>
                <w:sz w:val="20"/>
              </w:rPr>
              <w:t xml:space="preserve"> ділянок</w:t>
            </w:r>
          </w:p>
        </w:tc>
      </w:tr>
      <w:tr w:rsidR="00C27AF2" w:rsidRPr="00242020" w:rsidTr="00B17F7E">
        <w:trPr>
          <w:trHeight w:val="1710"/>
          <w:jc w:val="center"/>
        </w:trPr>
        <w:tc>
          <w:tcPr>
            <w:tcW w:w="503" w:type="dxa"/>
            <w:vMerge/>
            <w:tcBorders>
              <w:bottom w:val="single" w:sz="4" w:space="0" w:color="auto"/>
            </w:tcBorders>
            <w:shd w:val="pct20" w:color="000000" w:fill="FFFFFF"/>
          </w:tcPr>
          <w:p w:rsidR="00C27AF2" w:rsidRPr="00242020" w:rsidRDefault="00C27AF2" w:rsidP="00C27AF2">
            <w:pPr>
              <w:ind w:firstLine="0"/>
              <w:rPr>
                <w:b/>
                <w:bCs/>
                <w:sz w:val="20"/>
              </w:rPr>
            </w:pPr>
          </w:p>
        </w:tc>
        <w:tc>
          <w:tcPr>
            <w:tcW w:w="2777" w:type="dxa"/>
            <w:vMerge/>
            <w:tcBorders>
              <w:bottom w:val="single" w:sz="4" w:space="0" w:color="auto"/>
            </w:tcBorders>
            <w:shd w:val="pct20" w:color="000000" w:fill="FFFFFF"/>
          </w:tcPr>
          <w:p w:rsidR="00C27AF2" w:rsidRPr="00242020" w:rsidRDefault="00C27AF2" w:rsidP="00C27AF2">
            <w:pPr>
              <w:ind w:firstLine="0"/>
              <w:rPr>
                <w:b/>
                <w:bCs/>
                <w:sz w:val="20"/>
              </w:rPr>
            </w:pPr>
          </w:p>
        </w:tc>
        <w:tc>
          <w:tcPr>
            <w:tcW w:w="1177" w:type="dxa"/>
            <w:vMerge/>
            <w:tcBorders>
              <w:bottom w:val="single" w:sz="4" w:space="0" w:color="auto"/>
            </w:tcBorders>
            <w:shd w:val="pct20" w:color="000000" w:fill="FFFFFF"/>
          </w:tcPr>
          <w:p w:rsidR="00C27AF2" w:rsidRPr="00242020" w:rsidRDefault="00C27AF2" w:rsidP="00C27AF2">
            <w:pPr>
              <w:ind w:firstLine="0"/>
              <w:rPr>
                <w:b/>
                <w:bCs/>
                <w:sz w:val="20"/>
              </w:rPr>
            </w:pPr>
          </w:p>
        </w:tc>
        <w:tc>
          <w:tcPr>
            <w:tcW w:w="1419" w:type="dxa"/>
            <w:vMerge/>
            <w:tcBorders>
              <w:bottom w:val="single" w:sz="4" w:space="0" w:color="auto"/>
            </w:tcBorders>
            <w:shd w:val="pct20" w:color="000000" w:fill="FFFFFF"/>
          </w:tcPr>
          <w:p w:rsidR="00C27AF2" w:rsidRPr="00242020" w:rsidRDefault="00C27AF2" w:rsidP="00C27AF2">
            <w:pPr>
              <w:ind w:firstLine="0"/>
              <w:rPr>
                <w:b/>
                <w:bCs/>
                <w:sz w:val="20"/>
              </w:rPr>
            </w:pPr>
          </w:p>
        </w:tc>
        <w:tc>
          <w:tcPr>
            <w:tcW w:w="1079" w:type="dxa"/>
            <w:tcBorders>
              <w:bottom w:val="single" w:sz="4" w:space="0" w:color="auto"/>
            </w:tcBorders>
            <w:shd w:val="pct20" w:color="000000" w:fill="FFFFFF"/>
            <w:vAlign w:val="center"/>
          </w:tcPr>
          <w:p w:rsidR="00C27AF2" w:rsidRPr="00242020" w:rsidRDefault="00C27AF2" w:rsidP="00C27AF2">
            <w:pPr>
              <w:ind w:firstLine="0"/>
              <w:jc w:val="center"/>
              <w:rPr>
                <w:b/>
                <w:bCs/>
                <w:sz w:val="20"/>
              </w:rPr>
            </w:pPr>
            <w:r w:rsidRPr="00242020">
              <w:rPr>
                <w:b/>
                <w:sz w:val="20"/>
              </w:rPr>
              <w:t xml:space="preserve">продано на </w:t>
            </w:r>
            <w:r w:rsidRPr="00242020">
              <w:rPr>
                <w:b/>
                <w:spacing w:val="-14"/>
                <w:sz w:val="20"/>
              </w:rPr>
              <w:t>фондових</w:t>
            </w:r>
            <w:r w:rsidRPr="00242020">
              <w:rPr>
                <w:b/>
                <w:sz w:val="20"/>
              </w:rPr>
              <w:t xml:space="preserve"> біржах</w:t>
            </w:r>
          </w:p>
        </w:tc>
        <w:tc>
          <w:tcPr>
            <w:tcW w:w="1175" w:type="dxa"/>
            <w:tcBorders>
              <w:bottom w:val="single" w:sz="4" w:space="0" w:color="auto"/>
            </w:tcBorders>
            <w:shd w:val="pct20" w:color="000000" w:fill="FFFFFF"/>
            <w:vAlign w:val="center"/>
          </w:tcPr>
          <w:p w:rsidR="00C27AF2" w:rsidRPr="00242020" w:rsidRDefault="00C27AF2" w:rsidP="00C27AF2">
            <w:pPr>
              <w:ind w:firstLine="0"/>
              <w:jc w:val="center"/>
              <w:rPr>
                <w:b/>
                <w:bCs/>
                <w:sz w:val="20"/>
              </w:rPr>
            </w:pPr>
            <w:r w:rsidRPr="00242020">
              <w:rPr>
                <w:b/>
                <w:sz w:val="20"/>
              </w:rPr>
              <w:t>продано на спец. аукціонах за грошові кошти</w:t>
            </w:r>
          </w:p>
        </w:tc>
        <w:tc>
          <w:tcPr>
            <w:tcW w:w="1331" w:type="dxa"/>
            <w:vMerge/>
            <w:tcBorders>
              <w:bottom w:val="single" w:sz="4" w:space="0" w:color="auto"/>
            </w:tcBorders>
            <w:shd w:val="pct20" w:color="000000" w:fill="FFFFFF"/>
          </w:tcPr>
          <w:p w:rsidR="00C27AF2" w:rsidRPr="00242020" w:rsidRDefault="00C27AF2" w:rsidP="00C27AF2">
            <w:pPr>
              <w:ind w:firstLine="0"/>
              <w:rPr>
                <w:b/>
                <w:bCs/>
                <w:sz w:val="20"/>
              </w:rPr>
            </w:pPr>
          </w:p>
        </w:tc>
      </w:tr>
      <w:tr w:rsidR="00C27AF2" w:rsidRPr="00242020" w:rsidTr="00B17F7E">
        <w:trPr>
          <w:trHeight w:val="60"/>
          <w:jc w:val="center"/>
        </w:trPr>
        <w:tc>
          <w:tcPr>
            <w:tcW w:w="503"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1</w:t>
            </w:r>
          </w:p>
        </w:tc>
        <w:tc>
          <w:tcPr>
            <w:tcW w:w="2777" w:type="dxa"/>
            <w:tcBorders>
              <w:bottom w:val="single" w:sz="4" w:space="0" w:color="auto"/>
            </w:tcBorders>
            <w:shd w:val="pct20" w:color="auto" w:fill="auto"/>
            <w:noWrap/>
            <w:vAlign w:val="center"/>
          </w:tcPr>
          <w:p w:rsidR="00C27AF2" w:rsidRPr="00242020" w:rsidRDefault="00C27AF2" w:rsidP="00C27AF2">
            <w:pPr>
              <w:ind w:firstLine="0"/>
              <w:rPr>
                <w:b/>
                <w:bCs/>
                <w:sz w:val="20"/>
              </w:rPr>
            </w:pPr>
            <w:r w:rsidRPr="00242020">
              <w:rPr>
                <w:b/>
                <w:sz w:val="20"/>
              </w:rPr>
              <w:t xml:space="preserve">Вінницькій </w:t>
            </w:r>
          </w:p>
        </w:tc>
        <w:tc>
          <w:tcPr>
            <w:tcW w:w="1177"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9 015,7</w:t>
            </w:r>
          </w:p>
        </w:tc>
        <w:tc>
          <w:tcPr>
            <w:tcW w:w="1419"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8 496,1</w:t>
            </w:r>
          </w:p>
        </w:tc>
        <w:tc>
          <w:tcPr>
            <w:tcW w:w="1079"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w:t>
            </w:r>
          </w:p>
        </w:tc>
        <w:tc>
          <w:tcPr>
            <w:tcW w:w="1175"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w:t>
            </w:r>
          </w:p>
        </w:tc>
        <w:tc>
          <w:tcPr>
            <w:tcW w:w="1331"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519,6</w:t>
            </w:r>
          </w:p>
        </w:tc>
      </w:tr>
      <w:tr w:rsidR="00C27AF2" w:rsidRPr="00242020" w:rsidTr="00B17F7E">
        <w:trPr>
          <w:trHeight w:val="60"/>
          <w:jc w:val="center"/>
        </w:trPr>
        <w:tc>
          <w:tcPr>
            <w:tcW w:w="503" w:type="dxa"/>
            <w:shd w:val="pct5" w:color="auto" w:fill="auto"/>
            <w:noWrap/>
            <w:vAlign w:val="center"/>
          </w:tcPr>
          <w:p w:rsidR="00C27AF2" w:rsidRPr="00242020" w:rsidRDefault="00C27AF2" w:rsidP="00C27AF2">
            <w:pPr>
              <w:ind w:firstLine="0"/>
              <w:jc w:val="center"/>
              <w:rPr>
                <w:b/>
                <w:bCs/>
                <w:sz w:val="20"/>
              </w:rPr>
            </w:pPr>
            <w:r w:rsidRPr="00242020">
              <w:rPr>
                <w:b/>
                <w:sz w:val="20"/>
              </w:rPr>
              <w:t>2</w:t>
            </w:r>
          </w:p>
        </w:tc>
        <w:tc>
          <w:tcPr>
            <w:tcW w:w="2777" w:type="dxa"/>
            <w:shd w:val="pct5" w:color="auto" w:fill="auto"/>
            <w:noWrap/>
            <w:vAlign w:val="center"/>
          </w:tcPr>
          <w:p w:rsidR="00C27AF2" w:rsidRPr="00242020" w:rsidRDefault="00C27AF2" w:rsidP="00C27AF2">
            <w:pPr>
              <w:ind w:firstLine="0"/>
              <w:rPr>
                <w:b/>
                <w:bCs/>
                <w:sz w:val="20"/>
              </w:rPr>
            </w:pPr>
            <w:r w:rsidRPr="00242020">
              <w:rPr>
                <w:b/>
                <w:sz w:val="20"/>
              </w:rPr>
              <w:t xml:space="preserve">Волинській </w:t>
            </w:r>
          </w:p>
        </w:tc>
        <w:tc>
          <w:tcPr>
            <w:tcW w:w="1177" w:type="dxa"/>
            <w:shd w:val="pct5" w:color="auto" w:fill="auto"/>
            <w:noWrap/>
            <w:vAlign w:val="center"/>
          </w:tcPr>
          <w:p w:rsidR="00C27AF2" w:rsidRPr="00242020" w:rsidRDefault="00C27AF2" w:rsidP="00C27AF2">
            <w:pPr>
              <w:ind w:firstLine="0"/>
              <w:jc w:val="center"/>
              <w:rPr>
                <w:b/>
                <w:bCs/>
                <w:sz w:val="20"/>
              </w:rPr>
            </w:pPr>
            <w:r w:rsidRPr="00242020">
              <w:rPr>
                <w:b/>
                <w:sz w:val="20"/>
              </w:rPr>
              <w:t>766,6</w:t>
            </w:r>
          </w:p>
        </w:tc>
        <w:tc>
          <w:tcPr>
            <w:tcW w:w="1419" w:type="dxa"/>
            <w:shd w:val="pct5" w:color="auto" w:fill="auto"/>
            <w:noWrap/>
            <w:vAlign w:val="center"/>
          </w:tcPr>
          <w:p w:rsidR="00C27AF2" w:rsidRPr="00242020" w:rsidRDefault="00C27AF2" w:rsidP="00C27AF2">
            <w:pPr>
              <w:ind w:firstLine="0"/>
              <w:jc w:val="center"/>
              <w:rPr>
                <w:b/>
                <w:bCs/>
                <w:sz w:val="20"/>
              </w:rPr>
            </w:pPr>
            <w:r w:rsidRPr="00242020">
              <w:rPr>
                <w:b/>
                <w:sz w:val="20"/>
              </w:rPr>
              <w:t>766,6</w:t>
            </w:r>
          </w:p>
        </w:tc>
        <w:tc>
          <w:tcPr>
            <w:tcW w:w="1079" w:type="dxa"/>
            <w:shd w:val="pct5" w:color="auto" w:fill="auto"/>
            <w:noWrap/>
            <w:vAlign w:val="center"/>
          </w:tcPr>
          <w:p w:rsidR="00C27AF2" w:rsidRPr="00242020" w:rsidRDefault="00C27AF2" w:rsidP="00C27AF2">
            <w:pPr>
              <w:ind w:firstLine="0"/>
              <w:jc w:val="center"/>
              <w:rPr>
                <w:b/>
                <w:bCs/>
                <w:sz w:val="20"/>
              </w:rPr>
            </w:pPr>
            <w:r w:rsidRPr="00242020">
              <w:rPr>
                <w:b/>
                <w:sz w:val="20"/>
              </w:rPr>
              <w:t>–</w:t>
            </w:r>
          </w:p>
        </w:tc>
        <w:tc>
          <w:tcPr>
            <w:tcW w:w="1175" w:type="dxa"/>
            <w:shd w:val="pct5" w:color="auto" w:fill="auto"/>
            <w:noWrap/>
            <w:vAlign w:val="center"/>
          </w:tcPr>
          <w:p w:rsidR="00C27AF2" w:rsidRPr="00242020" w:rsidRDefault="00C27AF2" w:rsidP="00C27AF2">
            <w:pPr>
              <w:ind w:firstLine="0"/>
              <w:jc w:val="center"/>
              <w:rPr>
                <w:b/>
                <w:bCs/>
                <w:sz w:val="20"/>
              </w:rPr>
            </w:pPr>
            <w:r w:rsidRPr="00242020">
              <w:rPr>
                <w:b/>
                <w:sz w:val="20"/>
              </w:rPr>
              <w:t>–</w:t>
            </w:r>
          </w:p>
        </w:tc>
        <w:tc>
          <w:tcPr>
            <w:tcW w:w="1331" w:type="dxa"/>
            <w:shd w:val="pct5" w:color="auto" w:fill="auto"/>
            <w:noWrap/>
            <w:vAlign w:val="center"/>
          </w:tcPr>
          <w:p w:rsidR="00C27AF2" w:rsidRPr="00242020" w:rsidRDefault="00C27AF2" w:rsidP="00C27AF2">
            <w:pPr>
              <w:ind w:firstLine="0"/>
              <w:jc w:val="center"/>
              <w:rPr>
                <w:b/>
                <w:bCs/>
                <w:sz w:val="20"/>
              </w:rPr>
            </w:pPr>
            <w:r w:rsidRPr="00242020">
              <w:rPr>
                <w:b/>
                <w:sz w:val="20"/>
              </w:rPr>
              <w:t>–</w:t>
            </w:r>
          </w:p>
        </w:tc>
      </w:tr>
      <w:tr w:rsidR="00C27AF2" w:rsidRPr="00242020" w:rsidTr="00B17F7E">
        <w:trPr>
          <w:trHeight w:val="60"/>
          <w:jc w:val="center"/>
        </w:trPr>
        <w:tc>
          <w:tcPr>
            <w:tcW w:w="503"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3</w:t>
            </w:r>
          </w:p>
        </w:tc>
        <w:tc>
          <w:tcPr>
            <w:tcW w:w="2777" w:type="dxa"/>
            <w:tcBorders>
              <w:bottom w:val="single" w:sz="4" w:space="0" w:color="auto"/>
            </w:tcBorders>
            <w:shd w:val="pct20" w:color="auto" w:fill="auto"/>
            <w:noWrap/>
            <w:vAlign w:val="center"/>
          </w:tcPr>
          <w:p w:rsidR="00C27AF2" w:rsidRPr="00242020" w:rsidRDefault="00C27AF2" w:rsidP="00C27AF2">
            <w:pPr>
              <w:ind w:firstLine="0"/>
              <w:rPr>
                <w:b/>
                <w:bCs/>
                <w:sz w:val="20"/>
              </w:rPr>
            </w:pPr>
            <w:r w:rsidRPr="00242020">
              <w:rPr>
                <w:b/>
                <w:sz w:val="20"/>
              </w:rPr>
              <w:t xml:space="preserve">Дніпропетровській </w:t>
            </w:r>
          </w:p>
        </w:tc>
        <w:tc>
          <w:tcPr>
            <w:tcW w:w="1177"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8 494,0</w:t>
            </w:r>
          </w:p>
        </w:tc>
        <w:tc>
          <w:tcPr>
            <w:tcW w:w="1419"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8 494,0</w:t>
            </w:r>
          </w:p>
        </w:tc>
        <w:tc>
          <w:tcPr>
            <w:tcW w:w="1079"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w:t>
            </w:r>
          </w:p>
        </w:tc>
        <w:tc>
          <w:tcPr>
            <w:tcW w:w="1175"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w:t>
            </w:r>
          </w:p>
        </w:tc>
        <w:tc>
          <w:tcPr>
            <w:tcW w:w="1331"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w:t>
            </w:r>
          </w:p>
        </w:tc>
      </w:tr>
      <w:tr w:rsidR="00C27AF2" w:rsidRPr="00242020" w:rsidTr="00B17F7E">
        <w:trPr>
          <w:trHeight w:val="60"/>
          <w:jc w:val="center"/>
        </w:trPr>
        <w:tc>
          <w:tcPr>
            <w:tcW w:w="503" w:type="dxa"/>
            <w:shd w:val="pct5" w:color="auto" w:fill="auto"/>
            <w:noWrap/>
            <w:vAlign w:val="center"/>
          </w:tcPr>
          <w:p w:rsidR="00C27AF2" w:rsidRPr="00242020" w:rsidRDefault="00C27AF2" w:rsidP="00C27AF2">
            <w:pPr>
              <w:ind w:firstLine="0"/>
              <w:jc w:val="center"/>
              <w:rPr>
                <w:b/>
                <w:bCs/>
                <w:sz w:val="20"/>
              </w:rPr>
            </w:pPr>
            <w:r w:rsidRPr="00242020">
              <w:rPr>
                <w:b/>
                <w:sz w:val="20"/>
              </w:rPr>
              <w:t>4</w:t>
            </w:r>
          </w:p>
        </w:tc>
        <w:tc>
          <w:tcPr>
            <w:tcW w:w="2777" w:type="dxa"/>
            <w:shd w:val="pct5" w:color="auto" w:fill="auto"/>
            <w:noWrap/>
            <w:vAlign w:val="center"/>
          </w:tcPr>
          <w:p w:rsidR="00C27AF2" w:rsidRPr="00242020" w:rsidRDefault="00C27AF2" w:rsidP="00C27AF2">
            <w:pPr>
              <w:ind w:firstLine="0"/>
              <w:rPr>
                <w:b/>
                <w:bCs/>
                <w:sz w:val="20"/>
              </w:rPr>
            </w:pPr>
            <w:r w:rsidRPr="00242020">
              <w:rPr>
                <w:b/>
                <w:sz w:val="20"/>
              </w:rPr>
              <w:t>Донецькій</w:t>
            </w:r>
          </w:p>
        </w:tc>
        <w:tc>
          <w:tcPr>
            <w:tcW w:w="1177" w:type="dxa"/>
            <w:shd w:val="pct5" w:color="auto" w:fill="auto"/>
            <w:noWrap/>
            <w:vAlign w:val="center"/>
          </w:tcPr>
          <w:p w:rsidR="00C27AF2" w:rsidRPr="00242020" w:rsidRDefault="00C27AF2" w:rsidP="00C27AF2">
            <w:pPr>
              <w:ind w:firstLine="0"/>
              <w:jc w:val="center"/>
              <w:rPr>
                <w:b/>
                <w:bCs/>
                <w:sz w:val="20"/>
              </w:rPr>
            </w:pPr>
            <w:r w:rsidRPr="00242020">
              <w:rPr>
                <w:b/>
                <w:sz w:val="20"/>
              </w:rPr>
              <w:t>1 307,3</w:t>
            </w:r>
          </w:p>
        </w:tc>
        <w:tc>
          <w:tcPr>
            <w:tcW w:w="1419" w:type="dxa"/>
            <w:shd w:val="pct5" w:color="auto" w:fill="auto"/>
            <w:noWrap/>
            <w:vAlign w:val="center"/>
          </w:tcPr>
          <w:p w:rsidR="00C27AF2" w:rsidRPr="00242020" w:rsidRDefault="00C27AF2" w:rsidP="00C27AF2">
            <w:pPr>
              <w:ind w:firstLine="0"/>
              <w:jc w:val="center"/>
              <w:rPr>
                <w:b/>
                <w:bCs/>
                <w:sz w:val="20"/>
              </w:rPr>
            </w:pPr>
            <w:r w:rsidRPr="00242020">
              <w:rPr>
                <w:b/>
                <w:sz w:val="20"/>
              </w:rPr>
              <w:t>1 307,3</w:t>
            </w:r>
          </w:p>
        </w:tc>
        <w:tc>
          <w:tcPr>
            <w:tcW w:w="1079" w:type="dxa"/>
            <w:shd w:val="pct5" w:color="auto" w:fill="auto"/>
            <w:noWrap/>
            <w:vAlign w:val="center"/>
          </w:tcPr>
          <w:p w:rsidR="00C27AF2" w:rsidRPr="00242020" w:rsidRDefault="00C27AF2" w:rsidP="00C27AF2">
            <w:pPr>
              <w:ind w:firstLine="0"/>
              <w:jc w:val="center"/>
              <w:rPr>
                <w:b/>
                <w:bCs/>
                <w:sz w:val="20"/>
              </w:rPr>
            </w:pPr>
            <w:r w:rsidRPr="00242020">
              <w:rPr>
                <w:b/>
                <w:sz w:val="20"/>
              </w:rPr>
              <w:t>–</w:t>
            </w:r>
          </w:p>
        </w:tc>
        <w:tc>
          <w:tcPr>
            <w:tcW w:w="1175" w:type="dxa"/>
            <w:shd w:val="pct5" w:color="auto" w:fill="auto"/>
            <w:noWrap/>
            <w:vAlign w:val="center"/>
          </w:tcPr>
          <w:p w:rsidR="00C27AF2" w:rsidRPr="00242020" w:rsidRDefault="00C27AF2" w:rsidP="00C27AF2">
            <w:pPr>
              <w:ind w:firstLine="0"/>
              <w:jc w:val="center"/>
              <w:rPr>
                <w:b/>
                <w:bCs/>
                <w:sz w:val="20"/>
              </w:rPr>
            </w:pPr>
            <w:r w:rsidRPr="00242020">
              <w:rPr>
                <w:b/>
                <w:sz w:val="20"/>
              </w:rPr>
              <w:t>–</w:t>
            </w:r>
          </w:p>
        </w:tc>
        <w:tc>
          <w:tcPr>
            <w:tcW w:w="1331" w:type="dxa"/>
            <w:shd w:val="pct5" w:color="auto" w:fill="auto"/>
            <w:noWrap/>
            <w:vAlign w:val="center"/>
          </w:tcPr>
          <w:p w:rsidR="00C27AF2" w:rsidRPr="00242020" w:rsidRDefault="00C27AF2" w:rsidP="00C27AF2">
            <w:pPr>
              <w:ind w:firstLine="0"/>
              <w:jc w:val="center"/>
              <w:rPr>
                <w:b/>
                <w:bCs/>
                <w:sz w:val="20"/>
              </w:rPr>
            </w:pPr>
            <w:r w:rsidRPr="00242020">
              <w:rPr>
                <w:b/>
                <w:sz w:val="20"/>
              </w:rPr>
              <w:t>–</w:t>
            </w:r>
          </w:p>
        </w:tc>
      </w:tr>
      <w:tr w:rsidR="00C27AF2" w:rsidRPr="00242020" w:rsidTr="00B17F7E">
        <w:trPr>
          <w:trHeight w:val="60"/>
          <w:jc w:val="center"/>
        </w:trPr>
        <w:tc>
          <w:tcPr>
            <w:tcW w:w="503"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5</w:t>
            </w:r>
          </w:p>
        </w:tc>
        <w:tc>
          <w:tcPr>
            <w:tcW w:w="2777" w:type="dxa"/>
            <w:tcBorders>
              <w:bottom w:val="single" w:sz="4" w:space="0" w:color="auto"/>
            </w:tcBorders>
            <w:shd w:val="pct20" w:color="auto" w:fill="auto"/>
            <w:noWrap/>
            <w:vAlign w:val="center"/>
          </w:tcPr>
          <w:p w:rsidR="00C27AF2" w:rsidRPr="00242020" w:rsidRDefault="00C27AF2" w:rsidP="00C27AF2">
            <w:pPr>
              <w:ind w:firstLine="0"/>
              <w:rPr>
                <w:b/>
                <w:bCs/>
                <w:sz w:val="20"/>
              </w:rPr>
            </w:pPr>
            <w:r w:rsidRPr="00242020">
              <w:rPr>
                <w:b/>
                <w:sz w:val="20"/>
              </w:rPr>
              <w:t>Житомирській</w:t>
            </w:r>
          </w:p>
        </w:tc>
        <w:tc>
          <w:tcPr>
            <w:tcW w:w="1177"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1 027,7</w:t>
            </w:r>
          </w:p>
        </w:tc>
        <w:tc>
          <w:tcPr>
            <w:tcW w:w="1419"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857,9</w:t>
            </w:r>
          </w:p>
        </w:tc>
        <w:tc>
          <w:tcPr>
            <w:tcW w:w="1079"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w:t>
            </w:r>
          </w:p>
        </w:tc>
        <w:tc>
          <w:tcPr>
            <w:tcW w:w="1175"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w:t>
            </w:r>
          </w:p>
        </w:tc>
        <w:tc>
          <w:tcPr>
            <w:tcW w:w="1331"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169,8</w:t>
            </w:r>
          </w:p>
        </w:tc>
      </w:tr>
      <w:tr w:rsidR="00C27AF2" w:rsidRPr="00242020" w:rsidTr="00B17F7E">
        <w:trPr>
          <w:trHeight w:val="60"/>
          <w:jc w:val="center"/>
        </w:trPr>
        <w:tc>
          <w:tcPr>
            <w:tcW w:w="503" w:type="dxa"/>
            <w:shd w:val="pct5" w:color="auto" w:fill="auto"/>
            <w:noWrap/>
            <w:vAlign w:val="center"/>
          </w:tcPr>
          <w:p w:rsidR="00C27AF2" w:rsidRPr="00242020" w:rsidRDefault="00C27AF2" w:rsidP="00C27AF2">
            <w:pPr>
              <w:ind w:firstLine="0"/>
              <w:jc w:val="center"/>
              <w:rPr>
                <w:b/>
                <w:bCs/>
                <w:sz w:val="20"/>
              </w:rPr>
            </w:pPr>
            <w:r w:rsidRPr="00242020">
              <w:rPr>
                <w:b/>
                <w:sz w:val="20"/>
              </w:rPr>
              <w:t>6</w:t>
            </w:r>
          </w:p>
        </w:tc>
        <w:tc>
          <w:tcPr>
            <w:tcW w:w="2777" w:type="dxa"/>
            <w:shd w:val="pct5" w:color="auto" w:fill="auto"/>
            <w:noWrap/>
            <w:vAlign w:val="center"/>
          </w:tcPr>
          <w:p w:rsidR="00C27AF2" w:rsidRPr="00242020" w:rsidRDefault="00C27AF2" w:rsidP="00C27AF2">
            <w:pPr>
              <w:ind w:firstLine="0"/>
              <w:rPr>
                <w:b/>
                <w:bCs/>
                <w:sz w:val="20"/>
              </w:rPr>
            </w:pPr>
            <w:r w:rsidRPr="00242020">
              <w:rPr>
                <w:b/>
                <w:sz w:val="20"/>
              </w:rPr>
              <w:t>Закарпатській</w:t>
            </w:r>
          </w:p>
        </w:tc>
        <w:tc>
          <w:tcPr>
            <w:tcW w:w="1177" w:type="dxa"/>
            <w:shd w:val="pct5" w:color="auto" w:fill="auto"/>
            <w:noWrap/>
            <w:vAlign w:val="center"/>
          </w:tcPr>
          <w:p w:rsidR="00C27AF2" w:rsidRPr="00242020" w:rsidRDefault="00C27AF2" w:rsidP="00C27AF2">
            <w:pPr>
              <w:ind w:firstLine="0"/>
              <w:jc w:val="center"/>
              <w:rPr>
                <w:b/>
                <w:bCs/>
                <w:sz w:val="20"/>
              </w:rPr>
            </w:pPr>
            <w:r w:rsidRPr="00242020">
              <w:rPr>
                <w:b/>
                <w:sz w:val="20"/>
              </w:rPr>
              <w:t>4 281,3</w:t>
            </w:r>
          </w:p>
        </w:tc>
        <w:tc>
          <w:tcPr>
            <w:tcW w:w="1419" w:type="dxa"/>
            <w:shd w:val="pct5" w:color="auto" w:fill="auto"/>
            <w:noWrap/>
            <w:vAlign w:val="center"/>
          </w:tcPr>
          <w:p w:rsidR="00C27AF2" w:rsidRPr="00242020" w:rsidRDefault="00C27AF2" w:rsidP="00C27AF2">
            <w:pPr>
              <w:ind w:firstLine="0"/>
              <w:jc w:val="center"/>
              <w:rPr>
                <w:b/>
                <w:bCs/>
                <w:sz w:val="20"/>
              </w:rPr>
            </w:pPr>
            <w:r w:rsidRPr="00242020">
              <w:rPr>
                <w:b/>
                <w:sz w:val="20"/>
              </w:rPr>
              <w:t>3 645,0</w:t>
            </w:r>
          </w:p>
        </w:tc>
        <w:tc>
          <w:tcPr>
            <w:tcW w:w="1079" w:type="dxa"/>
            <w:shd w:val="pct5" w:color="auto" w:fill="auto"/>
            <w:noWrap/>
            <w:vAlign w:val="center"/>
          </w:tcPr>
          <w:p w:rsidR="00C27AF2" w:rsidRPr="00242020" w:rsidRDefault="00C27AF2" w:rsidP="00C27AF2">
            <w:pPr>
              <w:ind w:firstLine="0"/>
              <w:jc w:val="center"/>
              <w:rPr>
                <w:b/>
                <w:bCs/>
                <w:sz w:val="20"/>
              </w:rPr>
            </w:pPr>
            <w:r w:rsidRPr="00242020">
              <w:rPr>
                <w:b/>
                <w:sz w:val="20"/>
              </w:rPr>
              <w:t>–</w:t>
            </w:r>
          </w:p>
        </w:tc>
        <w:tc>
          <w:tcPr>
            <w:tcW w:w="1175" w:type="dxa"/>
            <w:shd w:val="pct5" w:color="auto" w:fill="auto"/>
            <w:noWrap/>
            <w:vAlign w:val="center"/>
          </w:tcPr>
          <w:p w:rsidR="00C27AF2" w:rsidRPr="00242020" w:rsidRDefault="00C27AF2" w:rsidP="00C27AF2">
            <w:pPr>
              <w:ind w:firstLine="0"/>
              <w:jc w:val="center"/>
              <w:rPr>
                <w:b/>
                <w:bCs/>
                <w:sz w:val="20"/>
              </w:rPr>
            </w:pPr>
            <w:r w:rsidRPr="00242020">
              <w:rPr>
                <w:b/>
                <w:sz w:val="20"/>
              </w:rPr>
              <w:t>–</w:t>
            </w:r>
          </w:p>
        </w:tc>
        <w:tc>
          <w:tcPr>
            <w:tcW w:w="1331" w:type="dxa"/>
            <w:shd w:val="pct5" w:color="auto" w:fill="auto"/>
            <w:noWrap/>
            <w:vAlign w:val="center"/>
          </w:tcPr>
          <w:p w:rsidR="00C27AF2" w:rsidRPr="00242020" w:rsidRDefault="00C27AF2" w:rsidP="00C27AF2">
            <w:pPr>
              <w:ind w:firstLine="0"/>
              <w:jc w:val="center"/>
              <w:rPr>
                <w:b/>
                <w:bCs/>
                <w:sz w:val="20"/>
              </w:rPr>
            </w:pPr>
            <w:r w:rsidRPr="00242020">
              <w:rPr>
                <w:b/>
                <w:sz w:val="20"/>
              </w:rPr>
              <w:t>636,3</w:t>
            </w:r>
          </w:p>
        </w:tc>
      </w:tr>
      <w:tr w:rsidR="00C27AF2" w:rsidRPr="00242020" w:rsidTr="00B17F7E">
        <w:trPr>
          <w:trHeight w:val="60"/>
          <w:jc w:val="center"/>
        </w:trPr>
        <w:tc>
          <w:tcPr>
            <w:tcW w:w="503"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7</w:t>
            </w:r>
          </w:p>
        </w:tc>
        <w:tc>
          <w:tcPr>
            <w:tcW w:w="2777" w:type="dxa"/>
            <w:tcBorders>
              <w:bottom w:val="single" w:sz="4" w:space="0" w:color="auto"/>
            </w:tcBorders>
            <w:shd w:val="pct20" w:color="auto" w:fill="auto"/>
            <w:noWrap/>
            <w:vAlign w:val="center"/>
          </w:tcPr>
          <w:p w:rsidR="00C27AF2" w:rsidRPr="00242020" w:rsidRDefault="00C27AF2" w:rsidP="00C27AF2">
            <w:pPr>
              <w:ind w:firstLine="0"/>
              <w:rPr>
                <w:b/>
                <w:bCs/>
                <w:sz w:val="20"/>
              </w:rPr>
            </w:pPr>
            <w:r w:rsidRPr="00242020">
              <w:rPr>
                <w:b/>
                <w:sz w:val="20"/>
              </w:rPr>
              <w:t>Запорізькій</w:t>
            </w:r>
          </w:p>
        </w:tc>
        <w:tc>
          <w:tcPr>
            <w:tcW w:w="1177"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3 987,4</w:t>
            </w:r>
          </w:p>
        </w:tc>
        <w:tc>
          <w:tcPr>
            <w:tcW w:w="1419"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3 645,0</w:t>
            </w:r>
          </w:p>
        </w:tc>
        <w:tc>
          <w:tcPr>
            <w:tcW w:w="1079"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807,9</w:t>
            </w:r>
          </w:p>
        </w:tc>
        <w:tc>
          <w:tcPr>
            <w:tcW w:w="1175"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w:t>
            </w:r>
          </w:p>
        </w:tc>
        <w:tc>
          <w:tcPr>
            <w:tcW w:w="1331"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371,0</w:t>
            </w:r>
          </w:p>
        </w:tc>
      </w:tr>
      <w:tr w:rsidR="00C27AF2" w:rsidRPr="00242020" w:rsidTr="00B17F7E">
        <w:trPr>
          <w:trHeight w:val="60"/>
          <w:jc w:val="center"/>
        </w:trPr>
        <w:tc>
          <w:tcPr>
            <w:tcW w:w="503" w:type="dxa"/>
            <w:shd w:val="pct5" w:color="auto" w:fill="auto"/>
            <w:noWrap/>
            <w:vAlign w:val="center"/>
          </w:tcPr>
          <w:p w:rsidR="00C27AF2" w:rsidRPr="00242020" w:rsidRDefault="00C27AF2" w:rsidP="00C27AF2">
            <w:pPr>
              <w:ind w:firstLine="0"/>
              <w:jc w:val="center"/>
              <w:rPr>
                <w:b/>
                <w:bCs/>
                <w:sz w:val="20"/>
              </w:rPr>
            </w:pPr>
            <w:r w:rsidRPr="00242020">
              <w:rPr>
                <w:b/>
                <w:sz w:val="20"/>
              </w:rPr>
              <w:t>8</w:t>
            </w:r>
          </w:p>
        </w:tc>
        <w:tc>
          <w:tcPr>
            <w:tcW w:w="2777" w:type="dxa"/>
            <w:shd w:val="pct5" w:color="auto" w:fill="auto"/>
            <w:noWrap/>
            <w:vAlign w:val="center"/>
          </w:tcPr>
          <w:p w:rsidR="00C27AF2" w:rsidRPr="00242020" w:rsidRDefault="00C27AF2" w:rsidP="00C27AF2">
            <w:pPr>
              <w:ind w:firstLine="0"/>
              <w:rPr>
                <w:b/>
                <w:bCs/>
                <w:sz w:val="20"/>
              </w:rPr>
            </w:pPr>
            <w:r w:rsidRPr="00242020">
              <w:rPr>
                <w:b/>
                <w:sz w:val="20"/>
              </w:rPr>
              <w:t>Івано-Франківській</w:t>
            </w:r>
          </w:p>
        </w:tc>
        <w:tc>
          <w:tcPr>
            <w:tcW w:w="1177" w:type="dxa"/>
            <w:shd w:val="pct5" w:color="auto" w:fill="auto"/>
            <w:noWrap/>
            <w:vAlign w:val="center"/>
          </w:tcPr>
          <w:p w:rsidR="00C27AF2" w:rsidRPr="00242020" w:rsidRDefault="00C27AF2" w:rsidP="00C27AF2">
            <w:pPr>
              <w:ind w:firstLine="0"/>
              <w:jc w:val="center"/>
              <w:rPr>
                <w:b/>
                <w:bCs/>
                <w:sz w:val="20"/>
              </w:rPr>
            </w:pPr>
            <w:r w:rsidRPr="00242020">
              <w:rPr>
                <w:b/>
                <w:sz w:val="20"/>
              </w:rPr>
              <w:t>14 749,9</w:t>
            </w:r>
          </w:p>
        </w:tc>
        <w:tc>
          <w:tcPr>
            <w:tcW w:w="1419" w:type="dxa"/>
            <w:shd w:val="pct5" w:color="auto" w:fill="auto"/>
            <w:noWrap/>
            <w:vAlign w:val="center"/>
          </w:tcPr>
          <w:p w:rsidR="00C27AF2" w:rsidRPr="00242020" w:rsidRDefault="00C27AF2" w:rsidP="00C27AF2">
            <w:pPr>
              <w:ind w:firstLine="0"/>
              <w:jc w:val="center"/>
              <w:rPr>
                <w:b/>
                <w:bCs/>
                <w:sz w:val="20"/>
              </w:rPr>
            </w:pPr>
            <w:r w:rsidRPr="00242020">
              <w:rPr>
                <w:b/>
                <w:sz w:val="20"/>
              </w:rPr>
              <w:t>14 749,9</w:t>
            </w:r>
          </w:p>
        </w:tc>
        <w:tc>
          <w:tcPr>
            <w:tcW w:w="1079" w:type="dxa"/>
            <w:shd w:val="pct5" w:color="auto" w:fill="auto"/>
            <w:noWrap/>
            <w:vAlign w:val="center"/>
          </w:tcPr>
          <w:p w:rsidR="00C27AF2" w:rsidRPr="00242020" w:rsidRDefault="00C27AF2" w:rsidP="00C27AF2">
            <w:pPr>
              <w:ind w:firstLine="0"/>
              <w:jc w:val="center"/>
              <w:rPr>
                <w:b/>
                <w:bCs/>
                <w:sz w:val="20"/>
              </w:rPr>
            </w:pPr>
            <w:r w:rsidRPr="00242020">
              <w:rPr>
                <w:b/>
                <w:sz w:val="20"/>
              </w:rPr>
              <w:t>–</w:t>
            </w:r>
          </w:p>
        </w:tc>
        <w:tc>
          <w:tcPr>
            <w:tcW w:w="1175" w:type="dxa"/>
            <w:shd w:val="pct5" w:color="auto" w:fill="auto"/>
            <w:noWrap/>
            <w:vAlign w:val="center"/>
          </w:tcPr>
          <w:p w:rsidR="00C27AF2" w:rsidRPr="00242020" w:rsidRDefault="00C27AF2" w:rsidP="00C27AF2">
            <w:pPr>
              <w:ind w:firstLine="0"/>
              <w:jc w:val="center"/>
              <w:rPr>
                <w:b/>
                <w:bCs/>
                <w:sz w:val="20"/>
              </w:rPr>
            </w:pPr>
            <w:r w:rsidRPr="00242020">
              <w:rPr>
                <w:b/>
                <w:sz w:val="20"/>
              </w:rPr>
              <w:t>–</w:t>
            </w:r>
          </w:p>
        </w:tc>
        <w:tc>
          <w:tcPr>
            <w:tcW w:w="1331" w:type="dxa"/>
            <w:shd w:val="pct5" w:color="auto" w:fill="auto"/>
            <w:noWrap/>
            <w:vAlign w:val="center"/>
          </w:tcPr>
          <w:p w:rsidR="00C27AF2" w:rsidRPr="00242020" w:rsidRDefault="00C27AF2" w:rsidP="00C27AF2">
            <w:pPr>
              <w:ind w:firstLine="0"/>
              <w:jc w:val="center"/>
              <w:rPr>
                <w:b/>
                <w:bCs/>
                <w:sz w:val="20"/>
              </w:rPr>
            </w:pPr>
            <w:r w:rsidRPr="00242020">
              <w:rPr>
                <w:b/>
                <w:sz w:val="20"/>
              </w:rPr>
              <w:t>–</w:t>
            </w:r>
          </w:p>
        </w:tc>
      </w:tr>
      <w:tr w:rsidR="00C27AF2" w:rsidRPr="00242020" w:rsidTr="00B17F7E">
        <w:trPr>
          <w:trHeight w:val="60"/>
          <w:jc w:val="center"/>
        </w:trPr>
        <w:tc>
          <w:tcPr>
            <w:tcW w:w="503"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9</w:t>
            </w:r>
          </w:p>
        </w:tc>
        <w:tc>
          <w:tcPr>
            <w:tcW w:w="2777" w:type="dxa"/>
            <w:tcBorders>
              <w:bottom w:val="single" w:sz="4" w:space="0" w:color="auto"/>
            </w:tcBorders>
            <w:shd w:val="pct20" w:color="auto" w:fill="auto"/>
            <w:noWrap/>
            <w:vAlign w:val="center"/>
          </w:tcPr>
          <w:p w:rsidR="00C27AF2" w:rsidRPr="00242020" w:rsidRDefault="00C27AF2" w:rsidP="00C27AF2">
            <w:pPr>
              <w:ind w:firstLine="0"/>
              <w:rPr>
                <w:b/>
                <w:bCs/>
                <w:sz w:val="20"/>
              </w:rPr>
            </w:pPr>
            <w:r w:rsidRPr="00242020">
              <w:rPr>
                <w:b/>
                <w:sz w:val="20"/>
              </w:rPr>
              <w:t>Київській</w:t>
            </w:r>
          </w:p>
        </w:tc>
        <w:tc>
          <w:tcPr>
            <w:tcW w:w="1177"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1 507,3</w:t>
            </w:r>
          </w:p>
        </w:tc>
        <w:tc>
          <w:tcPr>
            <w:tcW w:w="1419"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1 507,3</w:t>
            </w:r>
          </w:p>
        </w:tc>
        <w:tc>
          <w:tcPr>
            <w:tcW w:w="1079"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37,5</w:t>
            </w:r>
          </w:p>
        </w:tc>
        <w:tc>
          <w:tcPr>
            <w:tcW w:w="1175"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w:t>
            </w:r>
          </w:p>
        </w:tc>
        <w:tc>
          <w:tcPr>
            <w:tcW w:w="1331"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w:t>
            </w:r>
          </w:p>
        </w:tc>
      </w:tr>
      <w:tr w:rsidR="00C27AF2" w:rsidRPr="00242020" w:rsidTr="00B17F7E">
        <w:trPr>
          <w:trHeight w:val="60"/>
          <w:jc w:val="center"/>
        </w:trPr>
        <w:tc>
          <w:tcPr>
            <w:tcW w:w="503" w:type="dxa"/>
            <w:shd w:val="pct5" w:color="auto" w:fill="auto"/>
            <w:noWrap/>
            <w:vAlign w:val="center"/>
          </w:tcPr>
          <w:p w:rsidR="00C27AF2" w:rsidRPr="00242020" w:rsidRDefault="00C27AF2" w:rsidP="00C27AF2">
            <w:pPr>
              <w:ind w:firstLine="0"/>
              <w:jc w:val="center"/>
              <w:rPr>
                <w:b/>
                <w:bCs/>
                <w:sz w:val="20"/>
              </w:rPr>
            </w:pPr>
            <w:r w:rsidRPr="00242020">
              <w:rPr>
                <w:b/>
                <w:sz w:val="20"/>
              </w:rPr>
              <w:t>10</w:t>
            </w:r>
          </w:p>
        </w:tc>
        <w:tc>
          <w:tcPr>
            <w:tcW w:w="2777" w:type="dxa"/>
            <w:shd w:val="pct5" w:color="auto" w:fill="auto"/>
            <w:noWrap/>
            <w:vAlign w:val="center"/>
          </w:tcPr>
          <w:p w:rsidR="00C27AF2" w:rsidRPr="00242020" w:rsidRDefault="00C27AF2" w:rsidP="00C27AF2">
            <w:pPr>
              <w:ind w:firstLine="0"/>
              <w:rPr>
                <w:b/>
                <w:bCs/>
                <w:sz w:val="20"/>
              </w:rPr>
            </w:pPr>
            <w:r w:rsidRPr="00242020">
              <w:rPr>
                <w:b/>
                <w:sz w:val="20"/>
              </w:rPr>
              <w:t>Кіровоградській</w:t>
            </w:r>
          </w:p>
        </w:tc>
        <w:tc>
          <w:tcPr>
            <w:tcW w:w="1177" w:type="dxa"/>
            <w:shd w:val="pct5" w:color="auto" w:fill="auto"/>
            <w:noWrap/>
            <w:vAlign w:val="center"/>
          </w:tcPr>
          <w:p w:rsidR="00C27AF2" w:rsidRPr="00242020" w:rsidRDefault="00C27AF2" w:rsidP="00C27AF2">
            <w:pPr>
              <w:ind w:firstLine="0"/>
              <w:jc w:val="center"/>
              <w:rPr>
                <w:b/>
                <w:bCs/>
                <w:sz w:val="20"/>
              </w:rPr>
            </w:pPr>
            <w:r w:rsidRPr="00242020">
              <w:rPr>
                <w:b/>
                <w:sz w:val="20"/>
              </w:rPr>
              <w:t>612,9</w:t>
            </w:r>
          </w:p>
        </w:tc>
        <w:tc>
          <w:tcPr>
            <w:tcW w:w="1419" w:type="dxa"/>
            <w:shd w:val="pct5" w:color="auto" w:fill="auto"/>
            <w:noWrap/>
            <w:vAlign w:val="center"/>
          </w:tcPr>
          <w:p w:rsidR="00C27AF2" w:rsidRPr="00242020" w:rsidRDefault="00C27AF2" w:rsidP="00C27AF2">
            <w:pPr>
              <w:ind w:firstLine="0"/>
              <w:jc w:val="center"/>
              <w:rPr>
                <w:b/>
                <w:bCs/>
                <w:sz w:val="20"/>
              </w:rPr>
            </w:pPr>
            <w:r w:rsidRPr="00242020">
              <w:rPr>
                <w:b/>
                <w:sz w:val="20"/>
              </w:rPr>
              <w:t>612,9</w:t>
            </w:r>
          </w:p>
        </w:tc>
        <w:tc>
          <w:tcPr>
            <w:tcW w:w="1079" w:type="dxa"/>
            <w:shd w:val="pct5" w:color="auto" w:fill="auto"/>
            <w:noWrap/>
            <w:vAlign w:val="center"/>
          </w:tcPr>
          <w:p w:rsidR="00C27AF2" w:rsidRPr="00242020" w:rsidRDefault="00C27AF2" w:rsidP="00C27AF2">
            <w:pPr>
              <w:ind w:firstLine="0"/>
              <w:jc w:val="center"/>
              <w:rPr>
                <w:b/>
                <w:bCs/>
                <w:sz w:val="20"/>
              </w:rPr>
            </w:pPr>
            <w:r w:rsidRPr="00242020">
              <w:rPr>
                <w:b/>
                <w:sz w:val="20"/>
              </w:rPr>
              <w:t>–</w:t>
            </w:r>
          </w:p>
        </w:tc>
        <w:tc>
          <w:tcPr>
            <w:tcW w:w="1175" w:type="dxa"/>
            <w:shd w:val="pct5" w:color="auto" w:fill="auto"/>
            <w:noWrap/>
            <w:vAlign w:val="center"/>
          </w:tcPr>
          <w:p w:rsidR="00C27AF2" w:rsidRPr="00242020" w:rsidRDefault="00C27AF2" w:rsidP="00C27AF2">
            <w:pPr>
              <w:ind w:firstLine="0"/>
              <w:jc w:val="center"/>
              <w:rPr>
                <w:b/>
                <w:bCs/>
                <w:sz w:val="20"/>
              </w:rPr>
            </w:pPr>
            <w:r w:rsidRPr="00242020">
              <w:rPr>
                <w:b/>
                <w:sz w:val="20"/>
              </w:rPr>
              <w:t>–</w:t>
            </w:r>
          </w:p>
        </w:tc>
        <w:tc>
          <w:tcPr>
            <w:tcW w:w="1331" w:type="dxa"/>
            <w:shd w:val="pct5" w:color="auto" w:fill="auto"/>
            <w:noWrap/>
            <w:vAlign w:val="center"/>
          </w:tcPr>
          <w:p w:rsidR="00C27AF2" w:rsidRPr="00242020" w:rsidRDefault="00C27AF2" w:rsidP="00C27AF2">
            <w:pPr>
              <w:ind w:firstLine="0"/>
              <w:jc w:val="center"/>
              <w:rPr>
                <w:b/>
                <w:bCs/>
                <w:sz w:val="20"/>
              </w:rPr>
            </w:pPr>
            <w:r w:rsidRPr="00242020">
              <w:rPr>
                <w:b/>
                <w:sz w:val="20"/>
              </w:rPr>
              <w:t>–</w:t>
            </w:r>
          </w:p>
        </w:tc>
      </w:tr>
      <w:tr w:rsidR="00C27AF2" w:rsidRPr="00242020" w:rsidTr="00B17F7E">
        <w:trPr>
          <w:trHeight w:val="60"/>
          <w:jc w:val="center"/>
        </w:trPr>
        <w:tc>
          <w:tcPr>
            <w:tcW w:w="503"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11</w:t>
            </w:r>
          </w:p>
        </w:tc>
        <w:tc>
          <w:tcPr>
            <w:tcW w:w="2777" w:type="dxa"/>
            <w:tcBorders>
              <w:bottom w:val="single" w:sz="4" w:space="0" w:color="auto"/>
            </w:tcBorders>
            <w:shd w:val="pct20" w:color="auto" w:fill="auto"/>
            <w:noWrap/>
            <w:vAlign w:val="center"/>
          </w:tcPr>
          <w:p w:rsidR="00C27AF2" w:rsidRPr="00242020" w:rsidRDefault="00C27AF2" w:rsidP="00C27AF2">
            <w:pPr>
              <w:ind w:firstLine="0"/>
              <w:rPr>
                <w:b/>
                <w:bCs/>
                <w:sz w:val="20"/>
              </w:rPr>
            </w:pPr>
            <w:r w:rsidRPr="00242020">
              <w:rPr>
                <w:b/>
                <w:sz w:val="20"/>
              </w:rPr>
              <w:t>Луганській</w:t>
            </w:r>
          </w:p>
        </w:tc>
        <w:tc>
          <w:tcPr>
            <w:tcW w:w="1177"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193,7</w:t>
            </w:r>
          </w:p>
        </w:tc>
        <w:tc>
          <w:tcPr>
            <w:tcW w:w="1419"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193,7</w:t>
            </w:r>
          </w:p>
        </w:tc>
        <w:tc>
          <w:tcPr>
            <w:tcW w:w="1079"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193,7</w:t>
            </w:r>
          </w:p>
        </w:tc>
        <w:tc>
          <w:tcPr>
            <w:tcW w:w="1175"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w:t>
            </w:r>
          </w:p>
        </w:tc>
        <w:tc>
          <w:tcPr>
            <w:tcW w:w="1331"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w:t>
            </w:r>
          </w:p>
        </w:tc>
      </w:tr>
      <w:tr w:rsidR="00C27AF2" w:rsidRPr="00242020" w:rsidTr="00B17F7E">
        <w:trPr>
          <w:trHeight w:val="60"/>
          <w:jc w:val="center"/>
        </w:trPr>
        <w:tc>
          <w:tcPr>
            <w:tcW w:w="503" w:type="dxa"/>
            <w:shd w:val="pct5" w:color="auto" w:fill="auto"/>
            <w:noWrap/>
            <w:vAlign w:val="center"/>
          </w:tcPr>
          <w:p w:rsidR="00C27AF2" w:rsidRPr="00242020" w:rsidRDefault="00C27AF2" w:rsidP="00C27AF2">
            <w:pPr>
              <w:ind w:firstLine="0"/>
              <w:jc w:val="center"/>
              <w:rPr>
                <w:b/>
                <w:bCs/>
                <w:sz w:val="20"/>
              </w:rPr>
            </w:pPr>
            <w:r w:rsidRPr="00242020">
              <w:rPr>
                <w:b/>
                <w:sz w:val="20"/>
              </w:rPr>
              <w:t>12</w:t>
            </w:r>
          </w:p>
        </w:tc>
        <w:tc>
          <w:tcPr>
            <w:tcW w:w="2777" w:type="dxa"/>
            <w:shd w:val="pct5" w:color="auto" w:fill="auto"/>
            <w:noWrap/>
            <w:vAlign w:val="center"/>
          </w:tcPr>
          <w:p w:rsidR="00C27AF2" w:rsidRPr="00242020" w:rsidRDefault="00C27AF2" w:rsidP="00C27AF2">
            <w:pPr>
              <w:ind w:firstLine="0"/>
              <w:rPr>
                <w:b/>
                <w:bCs/>
                <w:sz w:val="20"/>
              </w:rPr>
            </w:pPr>
            <w:r w:rsidRPr="00242020">
              <w:rPr>
                <w:b/>
                <w:sz w:val="20"/>
              </w:rPr>
              <w:t>Львівській</w:t>
            </w:r>
          </w:p>
        </w:tc>
        <w:tc>
          <w:tcPr>
            <w:tcW w:w="1177" w:type="dxa"/>
            <w:shd w:val="pct5" w:color="auto" w:fill="auto"/>
            <w:noWrap/>
            <w:vAlign w:val="center"/>
          </w:tcPr>
          <w:p w:rsidR="00C27AF2" w:rsidRPr="00242020" w:rsidRDefault="00C27AF2" w:rsidP="00C27AF2">
            <w:pPr>
              <w:ind w:firstLine="0"/>
              <w:jc w:val="center"/>
              <w:rPr>
                <w:b/>
                <w:bCs/>
                <w:sz w:val="20"/>
              </w:rPr>
            </w:pPr>
            <w:r w:rsidRPr="00242020">
              <w:rPr>
                <w:b/>
                <w:sz w:val="20"/>
              </w:rPr>
              <w:t>737,9</w:t>
            </w:r>
          </w:p>
        </w:tc>
        <w:tc>
          <w:tcPr>
            <w:tcW w:w="1419" w:type="dxa"/>
            <w:shd w:val="pct5" w:color="auto" w:fill="auto"/>
            <w:noWrap/>
            <w:vAlign w:val="center"/>
          </w:tcPr>
          <w:p w:rsidR="00C27AF2" w:rsidRPr="00242020" w:rsidRDefault="00C27AF2" w:rsidP="00C27AF2">
            <w:pPr>
              <w:ind w:firstLine="0"/>
              <w:jc w:val="center"/>
              <w:rPr>
                <w:b/>
                <w:bCs/>
                <w:sz w:val="20"/>
              </w:rPr>
            </w:pPr>
            <w:r w:rsidRPr="00242020">
              <w:rPr>
                <w:b/>
                <w:sz w:val="20"/>
              </w:rPr>
              <w:t>737,9</w:t>
            </w:r>
          </w:p>
        </w:tc>
        <w:tc>
          <w:tcPr>
            <w:tcW w:w="1079" w:type="dxa"/>
            <w:shd w:val="pct5" w:color="auto" w:fill="auto"/>
            <w:noWrap/>
            <w:vAlign w:val="center"/>
          </w:tcPr>
          <w:p w:rsidR="00C27AF2" w:rsidRPr="00242020" w:rsidRDefault="00C27AF2" w:rsidP="00C27AF2">
            <w:pPr>
              <w:ind w:firstLine="0"/>
              <w:jc w:val="center"/>
              <w:rPr>
                <w:b/>
                <w:bCs/>
                <w:sz w:val="20"/>
              </w:rPr>
            </w:pPr>
            <w:r w:rsidRPr="00242020">
              <w:rPr>
                <w:b/>
                <w:sz w:val="20"/>
              </w:rPr>
              <w:t>–</w:t>
            </w:r>
          </w:p>
        </w:tc>
        <w:tc>
          <w:tcPr>
            <w:tcW w:w="1175" w:type="dxa"/>
            <w:shd w:val="pct5" w:color="auto" w:fill="auto"/>
            <w:noWrap/>
            <w:vAlign w:val="center"/>
          </w:tcPr>
          <w:p w:rsidR="00C27AF2" w:rsidRPr="00242020" w:rsidRDefault="00C27AF2" w:rsidP="00C27AF2">
            <w:pPr>
              <w:ind w:firstLine="0"/>
              <w:jc w:val="center"/>
              <w:rPr>
                <w:b/>
                <w:bCs/>
                <w:sz w:val="20"/>
              </w:rPr>
            </w:pPr>
            <w:r w:rsidRPr="00242020">
              <w:rPr>
                <w:b/>
                <w:sz w:val="20"/>
              </w:rPr>
              <w:t>–</w:t>
            </w:r>
          </w:p>
        </w:tc>
        <w:tc>
          <w:tcPr>
            <w:tcW w:w="1331" w:type="dxa"/>
            <w:shd w:val="pct5" w:color="auto" w:fill="auto"/>
            <w:noWrap/>
            <w:vAlign w:val="center"/>
          </w:tcPr>
          <w:p w:rsidR="00C27AF2" w:rsidRPr="00242020" w:rsidRDefault="00C27AF2" w:rsidP="00C27AF2">
            <w:pPr>
              <w:ind w:firstLine="0"/>
              <w:jc w:val="center"/>
              <w:rPr>
                <w:b/>
                <w:bCs/>
                <w:sz w:val="20"/>
              </w:rPr>
            </w:pPr>
            <w:r w:rsidRPr="00242020">
              <w:rPr>
                <w:b/>
                <w:sz w:val="20"/>
              </w:rPr>
              <w:t>4,8</w:t>
            </w:r>
          </w:p>
        </w:tc>
      </w:tr>
      <w:tr w:rsidR="00C27AF2" w:rsidRPr="00242020" w:rsidTr="00B17F7E">
        <w:trPr>
          <w:trHeight w:val="60"/>
          <w:jc w:val="center"/>
        </w:trPr>
        <w:tc>
          <w:tcPr>
            <w:tcW w:w="503"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13</w:t>
            </w:r>
          </w:p>
        </w:tc>
        <w:tc>
          <w:tcPr>
            <w:tcW w:w="2777" w:type="dxa"/>
            <w:tcBorders>
              <w:bottom w:val="single" w:sz="4" w:space="0" w:color="auto"/>
            </w:tcBorders>
            <w:shd w:val="pct20" w:color="auto" w:fill="auto"/>
            <w:noWrap/>
            <w:vAlign w:val="center"/>
          </w:tcPr>
          <w:p w:rsidR="00C27AF2" w:rsidRPr="00242020" w:rsidRDefault="00C27AF2" w:rsidP="00C27AF2">
            <w:pPr>
              <w:ind w:firstLine="0"/>
              <w:rPr>
                <w:b/>
                <w:bCs/>
                <w:sz w:val="20"/>
              </w:rPr>
            </w:pPr>
            <w:r w:rsidRPr="00242020">
              <w:rPr>
                <w:b/>
                <w:sz w:val="20"/>
              </w:rPr>
              <w:t>Миколаївській</w:t>
            </w:r>
          </w:p>
        </w:tc>
        <w:tc>
          <w:tcPr>
            <w:tcW w:w="1177"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6 692,3</w:t>
            </w:r>
          </w:p>
        </w:tc>
        <w:tc>
          <w:tcPr>
            <w:tcW w:w="1419"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6 538,0</w:t>
            </w:r>
          </w:p>
        </w:tc>
        <w:tc>
          <w:tcPr>
            <w:tcW w:w="1079"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1 494,6</w:t>
            </w:r>
          </w:p>
        </w:tc>
        <w:tc>
          <w:tcPr>
            <w:tcW w:w="1175"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w:t>
            </w:r>
          </w:p>
        </w:tc>
        <w:tc>
          <w:tcPr>
            <w:tcW w:w="1331"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154,3</w:t>
            </w:r>
          </w:p>
        </w:tc>
      </w:tr>
      <w:tr w:rsidR="00C27AF2" w:rsidRPr="00242020" w:rsidTr="00B17F7E">
        <w:trPr>
          <w:trHeight w:val="60"/>
          <w:jc w:val="center"/>
        </w:trPr>
        <w:tc>
          <w:tcPr>
            <w:tcW w:w="503" w:type="dxa"/>
            <w:shd w:val="pct5" w:color="auto" w:fill="auto"/>
            <w:noWrap/>
            <w:vAlign w:val="center"/>
          </w:tcPr>
          <w:p w:rsidR="00C27AF2" w:rsidRPr="00242020" w:rsidRDefault="00C27AF2" w:rsidP="00C27AF2">
            <w:pPr>
              <w:ind w:firstLine="0"/>
              <w:jc w:val="center"/>
              <w:rPr>
                <w:b/>
                <w:bCs/>
                <w:sz w:val="20"/>
              </w:rPr>
            </w:pPr>
            <w:r w:rsidRPr="00242020">
              <w:rPr>
                <w:b/>
                <w:sz w:val="20"/>
              </w:rPr>
              <w:t>14</w:t>
            </w:r>
          </w:p>
        </w:tc>
        <w:tc>
          <w:tcPr>
            <w:tcW w:w="2777" w:type="dxa"/>
            <w:shd w:val="pct5" w:color="auto" w:fill="auto"/>
            <w:noWrap/>
            <w:vAlign w:val="center"/>
          </w:tcPr>
          <w:p w:rsidR="00C27AF2" w:rsidRPr="00242020" w:rsidRDefault="00C27AF2" w:rsidP="00C27AF2">
            <w:pPr>
              <w:ind w:firstLine="0"/>
              <w:rPr>
                <w:b/>
                <w:bCs/>
                <w:sz w:val="20"/>
              </w:rPr>
            </w:pPr>
            <w:r w:rsidRPr="00242020">
              <w:rPr>
                <w:b/>
                <w:sz w:val="20"/>
              </w:rPr>
              <w:t>Одеській</w:t>
            </w:r>
          </w:p>
        </w:tc>
        <w:tc>
          <w:tcPr>
            <w:tcW w:w="1177" w:type="dxa"/>
            <w:shd w:val="pct5" w:color="auto" w:fill="auto"/>
            <w:noWrap/>
            <w:vAlign w:val="center"/>
          </w:tcPr>
          <w:p w:rsidR="00C27AF2" w:rsidRPr="00242020" w:rsidRDefault="00C27AF2" w:rsidP="00C27AF2">
            <w:pPr>
              <w:ind w:firstLine="0"/>
              <w:jc w:val="center"/>
              <w:rPr>
                <w:b/>
                <w:bCs/>
                <w:sz w:val="20"/>
              </w:rPr>
            </w:pPr>
            <w:r w:rsidRPr="00242020">
              <w:rPr>
                <w:b/>
                <w:sz w:val="20"/>
              </w:rPr>
              <w:t>3 087,8</w:t>
            </w:r>
          </w:p>
        </w:tc>
        <w:tc>
          <w:tcPr>
            <w:tcW w:w="1419" w:type="dxa"/>
            <w:shd w:val="pct5" w:color="auto" w:fill="auto"/>
            <w:noWrap/>
            <w:vAlign w:val="center"/>
          </w:tcPr>
          <w:p w:rsidR="00C27AF2" w:rsidRPr="00242020" w:rsidRDefault="00C27AF2" w:rsidP="00C27AF2">
            <w:pPr>
              <w:ind w:firstLine="0"/>
              <w:jc w:val="center"/>
              <w:rPr>
                <w:b/>
                <w:bCs/>
                <w:sz w:val="20"/>
              </w:rPr>
            </w:pPr>
            <w:r w:rsidRPr="00242020">
              <w:rPr>
                <w:b/>
                <w:sz w:val="20"/>
              </w:rPr>
              <w:t>3 087,8</w:t>
            </w:r>
          </w:p>
        </w:tc>
        <w:tc>
          <w:tcPr>
            <w:tcW w:w="1079" w:type="dxa"/>
            <w:shd w:val="pct5" w:color="auto" w:fill="auto"/>
            <w:noWrap/>
            <w:vAlign w:val="center"/>
          </w:tcPr>
          <w:p w:rsidR="00C27AF2" w:rsidRPr="00242020" w:rsidRDefault="00C27AF2" w:rsidP="00C27AF2">
            <w:pPr>
              <w:ind w:firstLine="0"/>
              <w:jc w:val="center"/>
              <w:rPr>
                <w:b/>
                <w:bCs/>
                <w:sz w:val="20"/>
              </w:rPr>
            </w:pPr>
            <w:r w:rsidRPr="00242020">
              <w:rPr>
                <w:b/>
                <w:sz w:val="20"/>
              </w:rPr>
              <w:t>–</w:t>
            </w:r>
          </w:p>
        </w:tc>
        <w:tc>
          <w:tcPr>
            <w:tcW w:w="1175" w:type="dxa"/>
            <w:shd w:val="pct5" w:color="auto" w:fill="auto"/>
            <w:noWrap/>
            <w:vAlign w:val="center"/>
          </w:tcPr>
          <w:p w:rsidR="00C27AF2" w:rsidRPr="00242020" w:rsidRDefault="00C27AF2" w:rsidP="00C27AF2">
            <w:pPr>
              <w:ind w:firstLine="0"/>
              <w:jc w:val="center"/>
              <w:rPr>
                <w:b/>
                <w:bCs/>
                <w:sz w:val="20"/>
              </w:rPr>
            </w:pPr>
            <w:r w:rsidRPr="00242020">
              <w:rPr>
                <w:b/>
                <w:sz w:val="20"/>
              </w:rPr>
              <w:t>–</w:t>
            </w:r>
          </w:p>
        </w:tc>
        <w:tc>
          <w:tcPr>
            <w:tcW w:w="1331" w:type="dxa"/>
            <w:shd w:val="pct5" w:color="auto" w:fill="auto"/>
            <w:noWrap/>
            <w:vAlign w:val="center"/>
          </w:tcPr>
          <w:p w:rsidR="00C27AF2" w:rsidRPr="00242020" w:rsidRDefault="00C27AF2" w:rsidP="00C27AF2">
            <w:pPr>
              <w:ind w:firstLine="0"/>
              <w:jc w:val="center"/>
              <w:rPr>
                <w:b/>
                <w:bCs/>
                <w:sz w:val="20"/>
              </w:rPr>
            </w:pPr>
            <w:r w:rsidRPr="00242020">
              <w:rPr>
                <w:b/>
                <w:sz w:val="20"/>
              </w:rPr>
              <w:t>–</w:t>
            </w:r>
          </w:p>
        </w:tc>
      </w:tr>
      <w:tr w:rsidR="00C27AF2" w:rsidRPr="00242020" w:rsidTr="00B17F7E">
        <w:trPr>
          <w:trHeight w:val="60"/>
          <w:jc w:val="center"/>
        </w:trPr>
        <w:tc>
          <w:tcPr>
            <w:tcW w:w="503"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15</w:t>
            </w:r>
          </w:p>
        </w:tc>
        <w:tc>
          <w:tcPr>
            <w:tcW w:w="2777" w:type="dxa"/>
            <w:tcBorders>
              <w:bottom w:val="single" w:sz="4" w:space="0" w:color="auto"/>
            </w:tcBorders>
            <w:shd w:val="pct20" w:color="auto" w:fill="auto"/>
            <w:noWrap/>
            <w:vAlign w:val="center"/>
          </w:tcPr>
          <w:p w:rsidR="00C27AF2" w:rsidRPr="00242020" w:rsidRDefault="00C27AF2" w:rsidP="00C27AF2">
            <w:pPr>
              <w:ind w:firstLine="0"/>
              <w:rPr>
                <w:b/>
                <w:bCs/>
                <w:sz w:val="20"/>
              </w:rPr>
            </w:pPr>
            <w:r w:rsidRPr="00242020">
              <w:rPr>
                <w:b/>
                <w:sz w:val="20"/>
              </w:rPr>
              <w:t>Полтавській</w:t>
            </w:r>
          </w:p>
        </w:tc>
        <w:tc>
          <w:tcPr>
            <w:tcW w:w="1177"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2 634,1</w:t>
            </w:r>
          </w:p>
        </w:tc>
        <w:tc>
          <w:tcPr>
            <w:tcW w:w="1419"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2 634,1</w:t>
            </w:r>
          </w:p>
        </w:tc>
        <w:tc>
          <w:tcPr>
            <w:tcW w:w="1079"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487,9</w:t>
            </w:r>
          </w:p>
        </w:tc>
        <w:tc>
          <w:tcPr>
            <w:tcW w:w="1175"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w:t>
            </w:r>
          </w:p>
        </w:tc>
        <w:tc>
          <w:tcPr>
            <w:tcW w:w="1331"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w:t>
            </w:r>
          </w:p>
        </w:tc>
      </w:tr>
      <w:tr w:rsidR="00C27AF2" w:rsidRPr="00242020" w:rsidTr="00B17F7E">
        <w:trPr>
          <w:trHeight w:val="60"/>
          <w:jc w:val="center"/>
        </w:trPr>
        <w:tc>
          <w:tcPr>
            <w:tcW w:w="503" w:type="dxa"/>
            <w:shd w:val="pct5" w:color="auto" w:fill="auto"/>
            <w:noWrap/>
            <w:vAlign w:val="center"/>
          </w:tcPr>
          <w:p w:rsidR="00C27AF2" w:rsidRPr="00242020" w:rsidRDefault="00C27AF2" w:rsidP="00C27AF2">
            <w:pPr>
              <w:ind w:firstLine="0"/>
              <w:jc w:val="center"/>
              <w:rPr>
                <w:b/>
                <w:bCs/>
                <w:sz w:val="20"/>
              </w:rPr>
            </w:pPr>
            <w:r w:rsidRPr="00242020">
              <w:rPr>
                <w:b/>
                <w:sz w:val="20"/>
              </w:rPr>
              <w:t>16</w:t>
            </w:r>
          </w:p>
        </w:tc>
        <w:tc>
          <w:tcPr>
            <w:tcW w:w="2777" w:type="dxa"/>
            <w:shd w:val="pct5" w:color="auto" w:fill="auto"/>
            <w:noWrap/>
            <w:vAlign w:val="center"/>
          </w:tcPr>
          <w:p w:rsidR="00C27AF2" w:rsidRPr="00242020" w:rsidRDefault="00C27AF2" w:rsidP="00C27AF2">
            <w:pPr>
              <w:ind w:firstLine="0"/>
              <w:rPr>
                <w:b/>
                <w:bCs/>
                <w:sz w:val="20"/>
              </w:rPr>
            </w:pPr>
            <w:r w:rsidRPr="00242020">
              <w:rPr>
                <w:b/>
                <w:sz w:val="20"/>
              </w:rPr>
              <w:t>Рівненській</w:t>
            </w:r>
          </w:p>
        </w:tc>
        <w:tc>
          <w:tcPr>
            <w:tcW w:w="1177" w:type="dxa"/>
            <w:shd w:val="pct5" w:color="auto" w:fill="auto"/>
            <w:noWrap/>
            <w:vAlign w:val="center"/>
          </w:tcPr>
          <w:p w:rsidR="00C27AF2" w:rsidRPr="00242020" w:rsidRDefault="00C27AF2" w:rsidP="00C27AF2">
            <w:pPr>
              <w:ind w:firstLine="0"/>
              <w:jc w:val="center"/>
              <w:rPr>
                <w:b/>
                <w:bCs/>
                <w:sz w:val="20"/>
              </w:rPr>
            </w:pPr>
            <w:r w:rsidRPr="00242020">
              <w:rPr>
                <w:b/>
                <w:sz w:val="20"/>
              </w:rPr>
              <w:t>2 185,8</w:t>
            </w:r>
          </w:p>
        </w:tc>
        <w:tc>
          <w:tcPr>
            <w:tcW w:w="1419" w:type="dxa"/>
            <w:shd w:val="pct5" w:color="auto" w:fill="auto"/>
            <w:noWrap/>
            <w:vAlign w:val="center"/>
          </w:tcPr>
          <w:p w:rsidR="00C27AF2" w:rsidRPr="00242020" w:rsidRDefault="00C27AF2" w:rsidP="00C27AF2">
            <w:pPr>
              <w:ind w:firstLine="0"/>
              <w:jc w:val="center"/>
              <w:rPr>
                <w:b/>
                <w:bCs/>
                <w:sz w:val="20"/>
              </w:rPr>
            </w:pPr>
            <w:r w:rsidRPr="00242020">
              <w:rPr>
                <w:b/>
                <w:sz w:val="20"/>
              </w:rPr>
              <w:t>2 171,3</w:t>
            </w:r>
          </w:p>
        </w:tc>
        <w:tc>
          <w:tcPr>
            <w:tcW w:w="1079" w:type="dxa"/>
            <w:shd w:val="pct5" w:color="auto" w:fill="auto"/>
            <w:noWrap/>
            <w:vAlign w:val="center"/>
          </w:tcPr>
          <w:p w:rsidR="00C27AF2" w:rsidRPr="00242020" w:rsidRDefault="00C27AF2" w:rsidP="00C27AF2">
            <w:pPr>
              <w:ind w:firstLine="0"/>
              <w:jc w:val="center"/>
              <w:rPr>
                <w:b/>
                <w:bCs/>
                <w:sz w:val="20"/>
              </w:rPr>
            </w:pPr>
            <w:r w:rsidRPr="00242020">
              <w:rPr>
                <w:b/>
                <w:sz w:val="20"/>
              </w:rPr>
              <w:t>–</w:t>
            </w:r>
          </w:p>
        </w:tc>
        <w:tc>
          <w:tcPr>
            <w:tcW w:w="1175" w:type="dxa"/>
            <w:shd w:val="pct5" w:color="auto" w:fill="auto"/>
            <w:noWrap/>
            <w:vAlign w:val="center"/>
          </w:tcPr>
          <w:p w:rsidR="00C27AF2" w:rsidRPr="00242020" w:rsidRDefault="00C27AF2" w:rsidP="00C27AF2">
            <w:pPr>
              <w:ind w:firstLine="0"/>
              <w:jc w:val="center"/>
              <w:rPr>
                <w:b/>
                <w:bCs/>
                <w:sz w:val="20"/>
              </w:rPr>
            </w:pPr>
            <w:r w:rsidRPr="00242020">
              <w:rPr>
                <w:b/>
                <w:sz w:val="20"/>
              </w:rPr>
              <w:t>–</w:t>
            </w:r>
          </w:p>
        </w:tc>
        <w:tc>
          <w:tcPr>
            <w:tcW w:w="1331" w:type="dxa"/>
            <w:shd w:val="pct5" w:color="auto" w:fill="auto"/>
            <w:noWrap/>
            <w:vAlign w:val="center"/>
          </w:tcPr>
          <w:p w:rsidR="00C27AF2" w:rsidRPr="00242020" w:rsidRDefault="00C27AF2" w:rsidP="00C27AF2">
            <w:pPr>
              <w:ind w:firstLine="0"/>
              <w:jc w:val="center"/>
              <w:rPr>
                <w:b/>
                <w:bCs/>
                <w:sz w:val="20"/>
              </w:rPr>
            </w:pPr>
            <w:r w:rsidRPr="00242020">
              <w:rPr>
                <w:b/>
                <w:sz w:val="20"/>
              </w:rPr>
              <w:t>14,5</w:t>
            </w:r>
          </w:p>
        </w:tc>
      </w:tr>
      <w:tr w:rsidR="00C27AF2" w:rsidRPr="00242020" w:rsidTr="00B17F7E">
        <w:trPr>
          <w:trHeight w:val="60"/>
          <w:jc w:val="center"/>
        </w:trPr>
        <w:tc>
          <w:tcPr>
            <w:tcW w:w="503"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17</w:t>
            </w:r>
          </w:p>
        </w:tc>
        <w:tc>
          <w:tcPr>
            <w:tcW w:w="2777" w:type="dxa"/>
            <w:tcBorders>
              <w:bottom w:val="single" w:sz="4" w:space="0" w:color="auto"/>
            </w:tcBorders>
            <w:shd w:val="pct20" w:color="auto" w:fill="auto"/>
            <w:noWrap/>
            <w:vAlign w:val="center"/>
          </w:tcPr>
          <w:p w:rsidR="00C27AF2" w:rsidRPr="00242020" w:rsidRDefault="00C27AF2" w:rsidP="00C27AF2">
            <w:pPr>
              <w:ind w:firstLine="0"/>
              <w:rPr>
                <w:b/>
                <w:bCs/>
                <w:sz w:val="20"/>
              </w:rPr>
            </w:pPr>
            <w:r w:rsidRPr="00242020">
              <w:rPr>
                <w:b/>
                <w:sz w:val="20"/>
              </w:rPr>
              <w:t>Сумській</w:t>
            </w:r>
          </w:p>
        </w:tc>
        <w:tc>
          <w:tcPr>
            <w:tcW w:w="1177"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4 438,6</w:t>
            </w:r>
          </w:p>
        </w:tc>
        <w:tc>
          <w:tcPr>
            <w:tcW w:w="1419"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4 438,6</w:t>
            </w:r>
          </w:p>
        </w:tc>
        <w:tc>
          <w:tcPr>
            <w:tcW w:w="1079"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w:t>
            </w:r>
          </w:p>
        </w:tc>
        <w:tc>
          <w:tcPr>
            <w:tcW w:w="1175"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w:t>
            </w:r>
          </w:p>
        </w:tc>
        <w:tc>
          <w:tcPr>
            <w:tcW w:w="1331"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w:t>
            </w:r>
          </w:p>
        </w:tc>
      </w:tr>
      <w:tr w:rsidR="00C27AF2" w:rsidRPr="00242020" w:rsidTr="00B17F7E">
        <w:trPr>
          <w:trHeight w:val="60"/>
          <w:jc w:val="center"/>
        </w:trPr>
        <w:tc>
          <w:tcPr>
            <w:tcW w:w="503" w:type="dxa"/>
            <w:shd w:val="pct5" w:color="auto" w:fill="auto"/>
            <w:noWrap/>
            <w:vAlign w:val="center"/>
          </w:tcPr>
          <w:p w:rsidR="00C27AF2" w:rsidRPr="00242020" w:rsidRDefault="00C27AF2" w:rsidP="00C27AF2">
            <w:pPr>
              <w:ind w:firstLine="0"/>
              <w:jc w:val="center"/>
              <w:rPr>
                <w:b/>
                <w:bCs/>
                <w:sz w:val="20"/>
              </w:rPr>
            </w:pPr>
            <w:r w:rsidRPr="00242020">
              <w:rPr>
                <w:b/>
                <w:sz w:val="20"/>
              </w:rPr>
              <w:t>18</w:t>
            </w:r>
          </w:p>
        </w:tc>
        <w:tc>
          <w:tcPr>
            <w:tcW w:w="2777" w:type="dxa"/>
            <w:shd w:val="pct5" w:color="auto" w:fill="auto"/>
            <w:noWrap/>
            <w:vAlign w:val="center"/>
          </w:tcPr>
          <w:p w:rsidR="00C27AF2" w:rsidRPr="00242020" w:rsidRDefault="00C27AF2" w:rsidP="00C27AF2">
            <w:pPr>
              <w:ind w:firstLine="0"/>
              <w:rPr>
                <w:b/>
                <w:bCs/>
                <w:sz w:val="20"/>
              </w:rPr>
            </w:pPr>
            <w:r w:rsidRPr="00242020">
              <w:rPr>
                <w:b/>
                <w:sz w:val="20"/>
              </w:rPr>
              <w:t>Тернопільській</w:t>
            </w:r>
          </w:p>
        </w:tc>
        <w:tc>
          <w:tcPr>
            <w:tcW w:w="1177" w:type="dxa"/>
            <w:shd w:val="pct5" w:color="auto" w:fill="auto"/>
            <w:noWrap/>
            <w:vAlign w:val="center"/>
          </w:tcPr>
          <w:p w:rsidR="00C27AF2" w:rsidRPr="00242020" w:rsidRDefault="00C27AF2" w:rsidP="00C27AF2">
            <w:pPr>
              <w:ind w:firstLine="0"/>
              <w:jc w:val="center"/>
              <w:rPr>
                <w:b/>
                <w:bCs/>
                <w:sz w:val="20"/>
              </w:rPr>
            </w:pPr>
            <w:r w:rsidRPr="00242020">
              <w:rPr>
                <w:b/>
                <w:sz w:val="20"/>
              </w:rPr>
              <w:t>2 450,1</w:t>
            </w:r>
          </w:p>
        </w:tc>
        <w:tc>
          <w:tcPr>
            <w:tcW w:w="1419" w:type="dxa"/>
            <w:shd w:val="pct5" w:color="auto" w:fill="auto"/>
            <w:noWrap/>
            <w:vAlign w:val="center"/>
          </w:tcPr>
          <w:p w:rsidR="00C27AF2" w:rsidRPr="00242020" w:rsidRDefault="00C27AF2" w:rsidP="00C27AF2">
            <w:pPr>
              <w:ind w:firstLine="0"/>
              <w:jc w:val="center"/>
              <w:rPr>
                <w:b/>
                <w:bCs/>
                <w:sz w:val="20"/>
              </w:rPr>
            </w:pPr>
            <w:r w:rsidRPr="00242020">
              <w:rPr>
                <w:b/>
                <w:sz w:val="20"/>
              </w:rPr>
              <w:t>1 510,4</w:t>
            </w:r>
          </w:p>
        </w:tc>
        <w:tc>
          <w:tcPr>
            <w:tcW w:w="1079" w:type="dxa"/>
            <w:shd w:val="pct5" w:color="auto" w:fill="auto"/>
            <w:noWrap/>
            <w:vAlign w:val="center"/>
          </w:tcPr>
          <w:p w:rsidR="00C27AF2" w:rsidRPr="00242020" w:rsidRDefault="00C27AF2" w:rsidP="00C27AF2">
            <w:pPr>
              <w:ind w:firstLine="0"/>
              <w:jc w:val="center"/>
              <w:rPr>
                <w:b/>
                <w:bCs/>
                <w:sz w:val="20"/>
              </w:rPr>
            </w:pPr>
            <w:r w:rsidRPr="00242020">
              <w:rPr>
                <w:b/>
                <w:sz w:val="20"/>
              </w:rPr>
              <w:t>–</w:t>
            </w:r>
          </w:p>
        </w:tc>
        <w:tc>
          <w:tcPr>
            <w:tcW w:w="1175" w:type="dxa"/>
            <w:shd w:val="pct5" w:color="auto" w:fill="auto"/>
            <w:noWrap/>
            <w:vAlign w:val="center"/>
          </w:tcPr>
          <w:p w:rsidR="00C27AF2" w:rsidRPr="00242020" w:rsidRDefault="00C27AF2" w:rsidP="00C27AF2">
            <w:pPr>
              <w:ind w:firstLine="0"/>
              <w:jc w:val="center"/>
              <w:rPr>
                <w:b/>
                <w:bCs/>
                <w:sz w:val="20"/>
              </w:rPr>
            </w:pPr>
            <w:r w:rsidRPr="00242020">
              <w:rPr>
                <w:b/>
                <w:sz w:val="20"/>
              </w:rPr>
              <w:t>–</w:t>
            </w:r>
          </w:p>
        </w:tc>
        <w:tc>
          <w:tcPr>
            <w:tcW w:w="1331" w:type="dxa"/>
            <w:shd w:val="pct5" w:color="auto" w:fill="auto"/>
            <w:noWrap/>
            <w:vAlign w:val="center"/>
          </w:tcPr>
          <w:p w:rsidR="00C27AF2" w:rsidRPr="00242020" w:rsidRDefault="00C27AF2" w:rsidP="00C27AF2">
            <w:pPr>
              <w:ind w:firstLine="0"/>
              <w:jc w:val="center"/>
              <w:rPr>
                <w:b/>
                <w:bCs/>
                <w:sz w:val="20"/>
              </w:rPr>
            </w:pPr>
            <w:r w:rsidRPr="00242020">
              <w:rPr>
                <w:b/>
                <w:sz w:val="20"/>
              </w:rPr>
              <w:t>939,7</w:t>
            </w:r>
          </w:p>
        </w:tc>
      </w:tr>
      <w:tr w:rsidR="00C27AF2" w:rsidRPr="00242020" w:rsidTr="00B17F7E">
        <w:trPr>
          <w:trHeight w:val="60"/>
          <w:jc w:val="center"/>
        </w:trPr>
        <w:tc>
          <w:tcPr>
            <w:tcW w:w="503"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19</w:t>
            </w:r>
          </w:p>
        </w:tc>
        <w:tc>
          <w:tcPr>
            <w:tcW w:w="2777" w:type="dxa"/>
            <w:tcBorders>
              <w:bottom w:val="single" w:sz="4" w:space="0" w:color="auto"/>
            </w:tcBorders>
            <w:shd w:val="pct20" w:color="auto" w:fill="auto"/>
            <w:noWrap/>
            <w:vAlign w:val="center"/>
          </w:tcPr>
          <w:p w:rsidR="00C27AF2" w:rsidRPr="00242020" w:rsidRDefault="00C27AF2" w:rsidP="00C27AF2">
            <w:pPr>
              <w:ind w:firstLine="0"/>
              <w:rPr>
                <w:b/>
                <w:bCs/>
                <w:sz w:val="20"/>
              </w:rPr>
            </w:pPr>
            <w:r w:rsidRPr="00242020">
              <w:rPr>
                <w:b/>
                <w:sz w:val="20"/>
              </w:rPr>
              <w:t>Харківській</w:t>
            </w:r>
          </w:p>
        </w:tc>
        <w:tc>
          <w:tcPr>
            <w:tcW w:w="1177"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1 061,3</w:t>
            </w:r>
          </w:p>
        </w:tc>
        <w:tc>
          <w:tcPr>
            <w:tcW w:w="1419"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930,7</w:t>
            </w:r>
          </w:p>
        </w:tc>
        <w:tc>
          <w:tcPr>
            <w:tcW w:w="1079"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w:t>
            </w:r>
          </w:p>
        </w:tc>
        <w:tc>
          <w:tcPr>
            <w:tcW w:w="1175"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w:t>
            </w:r>
          </w:p>
        </w:tc>
        <w:tc>
          <w:tcPr>
            <w:tcW w:w="1331"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130,6</w:t>
            </w:r>
          </w:p>
        </w:tc>
      </w:tr>
      <w:tr w:rsidR="00C27AF2" w:rsidRPr="00242020" w:rsidTr="00B17F7E">
        <w:trPr>
          <w:trHeight w:val="60"/>
          <w:jc w:val="center"/>
        </w:trPr>
        <w:tc>
          <w:tcPr>
            <w:tcW w:w="503" w:type="dxa"/>
            <w:shd w:val="pct5" w:color="auto" w:fill="auto"/>
            <w:noWrap/>
            <w:vAlign w:val="center"/>
          </w:tcPr>
          <w:p w:rsidR="00C27AF2" w:rsidRPr="00242020" w:rsidRDefault="00C27AF2" w:rsidP="00C27AF2">
            <w:pPr>
              <w:ind w:firstLine="0"/>
              <w:jc w:val="center"/>
              <w:rPr>
                <w:b/>
                <w:bCs/>
                <w:sz w:val="20"/>
              </w:rPr>
            </w:pPr>
            <w:r w:rsidRPr="00242020">
              <w:rPr>
                <w:b/>
                <w:sz w:val="20"/>
              </w:rPr>
              <w:t>20</w:t>
            </w:r>
          </w:p>
        </w:tc>
        <w:tc>
          <w:tcPr>
            <w:tcW w:w="2777" w:type="dxa"/>
            <w:shd w:val="pct5" w:color="auto" w:fill="auto"/>
            <w:noWrap/>
            <w:vAlign w:val="center"/>
          </w:tcPr>
          <w:p w:rsidR="00C27AF2" w:rsidRPr="00242020" w:rsidRDefault="00C27AF2" w:rsidP="00C27AF2">
            <w:pPr>
              <w:ind w:firstLine="0"/>
              <w:rPr>
                <w:b/>
                <w:bCs/>
                <w:sz w:val="20"/>
              </w:rPr>
            </w:pPr>
            <w:r w:rsidRPr="00242020">
              <w:rPr>
                <w:b/>
                <w:sz w:val="20"/>
              </w:rPr>
              <w:t>Херсонській</w:t>
            </w:r>
          </w:p>
        </w:tc>
        <w:tc>
          <w:tcPr>
            <w:tcW w:w="1177" w:type="dxa"/>
            <w:shd w:val="pct5" w:color="auto" w:fill="auto"/>
            <w:noWrap/>
            <w:vAlign w:val="center"/>
          </w:tcPr>
          <w:p w:rsidR="00C27AF2" w:rsidRPr="00242020" w:rsidRDefault="00C27AF2" w:rsidP="00C27AF2">
            <w:pPr>
              <w:ind w:firstLine="0"/>
              <w:jc w:val="center"/>
              <w:rPr>
                <w:b/>
                <w:bCs/>
                <w:sz w:val="20"/>
              </w:rPr>
            </w:pPr>
            <w:r w:rsidRPr="00242020">
              <w:rPr>
                <w:b/>
                <w:sz w:val="20"/>
              </w:rPr>
              <w:t>75,8</w:t>
            </w:r>
          </w:p>
        </w:tc>
        <w:tc>
          <w:tcPr>
            <w:tcW w:w="1419" w:type="dxa"/>
            <w:shd w:val="pct5" w:color="auto" w:fill="auto"/>
            <w:noWrap/>
            <w:vAlign w:val="center"/>
          </w:tcPr>
          <w:p w:rsidR="00C27AF2" w:rsidRPr="00242020" w:rsidRDefault="00C27AF2" w:rsidP="00C27AF2">
            <w:pPr>
              <w:ind w:firstLine="0"/>
              <w:jc w:val="center"/>
              <w:rPr>
                <w:b/>
                <w:bCs/>
                <w:sz w:val="20"/>
              </w:rPr>
            </w:pPr>
            <w:r w:rsidRPr="00242020">
              <w:rPr>
                <w:b/>
                <w:sz w:val="20"/>
              </w:rPr>
              <w:t>75,8</w:t>
            </w:r>
          </w:p>
        </w:tc>
        <w:tc>
          <w:tcPr>
            <w:tcW w:w="1079" w:type="dxa"/>
            <w:shd w:val="pct5" w:color="auto" w:fill="auto"/>
            <w:noWrap/>
            <w:vAlign w:val="center"/>
          </w:tcPr>
          <w:p w:rsidR="00C27AF2" w:rsidRPr="00242020" w:rsidRDefault="00C27AF2" w:rsidP="00C27AF2">
            <w:pPr>
              <w:ind w:firstLine="0"/>
              <w:jc w:val="center"/>
              <w:rPr>
                <w:b/>
                <w:bCs/>
                <w:sz w:val="20"/>
              </w:rPr>
            </w:pPr>
            <w:r w:rsidRPr="00242020">
              <w:rPr>
                <w:b/>
                <w:sz w:val="20"/>
              </w:rPr>
              <w:t>–</w:t>
            </w:r>
          </w:p>
        </w:tc>
        <w:tc>
          <w:tcPr>
            <w:tcW w:w="1175" w:type="dxa"/>
            <w:shd w:val="pct5" w:color="auto" w:fill="auto"/>
            <w:noWrap/>
            <w:vAlign w:val="center"/>
          </w:tcPr>
          <w:p w:rsidR="00C27AF2" w:rsidRPr="00242020" w:rsidRDefault="00C27AF2" w:rsidP="00C27AF2">
            <w:pPr>
              <w:ind w:firstLine="0"/>
              <w:jc w:val="center"/>
              <w:rPr>
                <w:b/>
                <w:bCs/>
                <w:sz w:val="20"/>
              </w:rPr>
            </w:pPr>
            <w:r w:rsidRPr="00242020">
              <w:rPr>
                <w:b/>
                <w:sz w:val="20"/>
              </w:rPr>
              <w:t>–</w:t>
            </w:r>
          </w:p>
        </w:tc>
        <w:tc>
          <w:tcPr>
            <w:tcW w:w="1331" w:type="dxa"/>
            <w:shd w:val="pct5" w:color="auto" w:fill="auto"/>
            <w:noWrap/>
            <w:vAlign w:val="center"/>
          </w:tcPr>
          <w:p w:rsidR="00C27AF2" w:rsidRPr="00242020" w:rsidRDefault="00C27AF2" w:rsidP="00C27AF2">
            <w:pPr>
              <w:ind w:firstLine="0"/>
              <w:jc w:val="center"/>
              <w:rPr>
                <w:b/>
                <w:bCs/>
                <w:sz w:val="20"/>
              </w:rPr>
            </w:pPr>
            <w:r w:rsidRPr="00242020">
              <w:rPr>
                <w:b/>
                <w:sz w:val="20"/>
              </w:rPr>
              <w:t>–</w:t>
            </w:r>
          </w:p>
        </w:tc>
      </w:tr>
      <w:tr w:rsidR="00C27AF2" w:rsidRPr="00242020" w:rsidTr="00B17F7E">
        <w:trPr>
          <w:trHeight w:val="60"/>
          <w:jc w:val="center"/>
        </w:trPr>
        <w:tc>
          <w:tcPr>
            <w:tcW w:w="503"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21</w:t>
            </w:r>
          </w:p>
        </w:tc>
        <w:tc>
          <w:tcPr>
            <w:tcW w:w="2777" w:type="dxa"/>
            <w:tcBorders>
              <w:bottom w:val="single" w:sz="4" w:space="0" w:color="auto"/>
            </w:tcBorders>
            <w:shd w:val="pct20" w:color="auto" w:fill="auto"/>
            <w:noWrap/>
            <w:vAlign w:val="center"/>
          </w:tcPr>
          <w:p w:rsidR="00C27AF2" w:rsidRPr="00242020" w:rsidRDefault="00C27AF2" w:rsidP="00C27AF2">
            <w:pPr>
              <w:ind w:firstLine="0"/>
              <w:rPr>
                <w:b/>
                <w:bCs/>
                <w:sz w:val="20"/>
              </w:rPr>
            </w:pPr>
            <w:r w:rsidRPr="00242020">
              <w:rPr>
                <w:b/>
                <w:sz w:val="20"/>
              </w:rPr>
              <w:t>Хмельницькій</w:t>
            </w:r>
          </w:p>
        </w:tc>
        <w:tc>
          <w:tcPr>
            <w:tcW w:w="1177"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2 242,2</w:t>
            </w:r>
          </w:p>
        </w:tc>
        <w:tc>
          <w:tcPr>
            <w:tcW w:w="1419"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2 242,2</w:t>
            </w:r>
          </w:p>
        </w:tc>
        <w:tc>
          <w:tcPr>
            <w:tcW w:w="1079"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23,9</w:t>
            </w:r>
          </w:p>
        </w:tc>
        <w:tc>
          <w:tcPr>
            <w:tcW w:w="1175"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w:t>
            </w:r>
          </w:p>
        </w:tc>
        <w:tc>
          <w:tcPr>
            <w:tcW w:w="1331"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w:t>
            </w:r>
          </w:p>
        </w:tc>
      </w:tr>
      <w:tr w:rsidR="00C27AF2" w:rsidRPr="00242020" w:rsidTr="00B17F7E">
        <w:trPr>
          <w:trHeight w:val="60"/>
          <w:jc w:val="center"/>
        </w:trPr>
        <w:tc>
          <w:tcPr>
            <w:tcW w:w="503" w:type="dxa"/>
            <w:shd w:val="pct5" w:color="auto" w:fill="auto"/>
            <w:noWrap/>
            <w:vAlign w:val="center"/>
          </w:tcPr>
          <w:p w:rsidR="00C27AF2" w:rsidRPr="00242020" w:rsidRDefault="00C27AF2" w:rsidP="00C27AF2">
            <w:pPr>
              <w:ind w:firstLine="0"/>
              <w:jc w:val="center"/>
              <w:rPr>
                <w:b/>
                <w:bCs/>
                <w:sz w:val="20"/>
              </w:rPr>
            </w:pPr>
            <w:r w:rsidRPr="00242020">
              <w:rPr>
                <w:b/>
                <w:sz w:val="20"/>
              </w:rPr>
              <w:t>22</w:t>
            </w:r>
          </w:p>
        </w:tc>
        <w:tc>
          <w:tcPr>
            <w:tcW w:w="2777" w:type="dxa"/>
            <w:shd w:val="pct5" w:color="auto" w:fill="auto"/>
            <w:noWrap/>
            <w:vAlign w:val="center"/>
          </w:tcPr>
          <w:p w:rsidR="00C27AF2" w:rsidRPr="00242020" w:rsidRDefault="00C27AF2" w:rsidP="00C27AF2">
            <w:pPr>
              <w:ind w:firstLine="0"/>
              <w:rPr>
                <w:b/>
                <w:bCs/>
                <w:sz w:val="20"/>
              </w:rPr>
            </w:pPr>
            <w:r w:rsidRPr="00242020">
              <w:rPr>
                <w:b/>
                <w:sz w:val="20"/>
              </w:rPr>
              <w:t>Черкаській</w:t>
            </w:r>
          </w:p>
        </w:tc>
        <w:tc>
          <w:tcPr>
            <w:tcW w:w="1177" w:type="dxa"/>
            <w:shd w:val="pct5" w:color="auto" w:fill="auto"/>
            <w:noWrap/>
            <w:vAlign w:val="center"/>
          </w:tcPr>
          <w:p w:rsidR="00C27AF2" w:rsidRPr="00242020" w:rsidRDefault="00C27AF2" w:rsidP="00C27AF2">
            <w:pPr>
              <w:ind w:firstLine="0"/>
              <w:jc w:val="center"/>
              <w:rPr>
                <w:b/>
                <w:bCs/>
                <w:sz w:val="20"/>
              </w:rPr>
            </w:pPr>
            <w:r w:rsidRPr="00242020">
              <w:rPr>
                <w:b/>
                <w:sz w:val="20"/>
              </w:rPr>
              <w:t>1 840,1</w:t>
            </w:r>
          </w:p>
        </w:tc>
        <w:tc>
          <w:tcPr>
            <w:tcW w:w="1419" w:type="dxa"/>
            <w:shd w:val="pct5" w:color="auto" w:fill="auto"/>
            <w:noWrap/>
            <w:vAlign w:val="center"/>
          </w:tcPr>
          <w:p w:rsidR="00C27AF2" w:rsidRPr="00242020" w:rsidRDefault="00C27AF2" w:rsidP="00C27AF2">
            <w:pPr>
              <w:ind w:firstLine="0"/>
              <w:jc w:val="center"/>
              <w:rPr>
                <w:b/>
                <w:bCs/>
                <w:sz w:val="20"/>
              </w:rPr>
            </w:pPr>
            <w:r w:rsidRPr="00242020">
              <w:rPr>
                <w:b/>
                <w:sz w:val="20"/>
              </w:rPr>
              <w:t>812,7</w:t>
            </w:r>
          </w:p>
        </w:tc>
        <w:tc>
          <w:tcPr>
            <w:tcW w:w="1079" w:type="dxa"/>
            <w:shd w:val="pct5" w:color="auto" w:fill="auto"/>
            <w:noWrap/>
            <w:vAlign w:val="center"/>
          </w:tcPr>
          <w:p w:rsidR="00C27AF2" w:rsidRPr="00242020" w:rsidRDefault="00C27AF2" w:rsidP="00C27AF2">
            <w:pPr>
              <w:ind w:firstLine="0"/>
              <w:jc w:val="center"/>
              <w:rPr>
                <w:b/>
                <w:bCs/>
                <w:sz w:val="20"/>
              </w:rPr>
            </w:pPr>
            <w:r w:rsidRPr="00242020">
              <w:rPr>
                <w:b/>
                <w:sz w:val="20"/>
              </w:rPr>
              <w:t>–</w:t>
            </w:r>
          </w:p>
        </w:tc>
        <w:tc>
          <w:tcPr>
            <w:tcW w:w="1175" w:type="dxa"/>
            <w:shd w:val="pct5" w:color="auto" w:fill="auto"/>
            <w:noWrap/>
            <w:vAlign w:val="center"/>
          </w:tcPr>
          <w:p w:rsidR="00C27AF2" w:rsidRPr="00242020" w:rsidRDefault="00C27AF2" w:rsidP="00C27AF2">
            <w:pPr>
              <w:ind w:firstLine="0"/>
              <w:jc w:val="center"/>
              <w:rPr>
                <w:b/>
                <w:bCs/>
                <w:sz w:val="20"/>
              </w:rPr>
            </w:pPr>
            <w:r w:rsidRPr="00242020">
              <w:rPr>
                <w:b/>
                <w:sz w:val="20"/>
              </w:rPr>
              <w:t>–</w:t>
            </w:r>
          </w:p>
        </w:tc>
        <w:tc>
          <w:tcPr>
            <w:tcW w:w="1331" w:type="dxa"/>
            <w:shd w:val="pct5" w:color="auto" w:fill="auto"/>
            <w:noWrap/>
            <w:vAlign w:val="center"/>
          </w:tcPr>
          <w:p w:rsidR="00C27AF2" w:rsidRPr="00242020" w:rsidRDefault="00C27AF2" w:rsidP="00C27AF2">
            <w:pPr>
              <w:ind w:firstLine="0"/>
              <w:jc w:val="center"/>
              <w:rPr>
                <w:b/>
                <w:bCs/>
                <w:sz w:val="20"/>
              </w:rPr>
            </w:pPr>
            <w:r w:rsidRPr="00242020">
              <w:rPr>
                <w:b/>
                <w:sz w:val="20"/>
              </w:rPr>
              <w:t>1 027,4</w:t>
            </w:r>
          </w:p>
        </w:tc>
      </w:tr>
      <w:tr w:rsidR="00C27AF2" w:rsidRPr="00242020" w:rsidTr="00B17F7E">
        <w:trPr>
          <w:trHeight w:val="60"/>
          <w:jc w:val="center"/>
        </w:trPr>
        <w:tc>
          <w:tcPr>
            <w:tcW w:w="503"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23</w:t>
            </w:r>
          </w:p>
        </w:tc>
        <w:tc>
          <w:tcPr>
            <w:tcW w:w="2777" w:type="dxa"/>
            <w:tcBorders>
              <w:bottom w:val="single" w:sz="4" w:space="0" w:color="auto"/>
            </w:tcBorders>
            <w:shd w:val="pct20" w:color="auto" w:fill="auto"/>
            <w:noWrap/>
            <w:vAlign w:val="center"/>
          </w:tcPr>
          <w:p w:rsidR="00C27AF2" w:rsidRPr="00242020" w:rsidRDefault="00C27AF2" w:rsidP="00C27AF2">
            <w:pPr>
              <w:ind w:firstLine="0"/>
              <w:rPr>
                <w:b/>
                <w:bCs/>
                <w:sz w:val="20"/>
              </w:rPr>
            </w:pPr>
            <w:r w:rsidRPr="00242020">
              <w:rPr>
                <w:b/>
                <w:sz w:val="20"/>
              </w:rPr>
              <w:t>Чернівецькій</w:t>
            </w:r>
          </w:p>
        </w:tc>
        <w:tc>
          <w:tcPr>
            <w:tcW w:w="1177"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400,0</w:t>
            </w:r>
          </w:p>
        </w:tc>
        <w:tc>
          <w:tcPr>
            <w:tcW w:w="1419"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400,0</w:t>
            </w:r>
          </w:p>
        </w:tc>
        <w:tc>
          <w:tcPr>
            <w:tcW w:w="1079"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w:t>
            </w:r>
          </w:p>
        </w:tc>
        <w:tc>
          <w:tcPr>
            <w:tcW w:w="1175"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w:t>
            </w:r>
          </w:p>
        </w:tc>
        <w:tc>
          <w:tcPr>
            <w:tcW w:w="1331"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w:t>
            </w:r>
          </w:p>
        </w:tc>
      </w:tr>
      <w:tr w:rsidR="00C27AF2" w:rsidRPr="00242020" w:rsidTr="00B17F7E">
        <w:trPr>
          <w:trHeight w:val="60"/>
          <w:jc w:val="center"/>
        </w:trPr>
        <w:tc>
          <w:tcPr>
            <w:tcW w:w="503" w:type="dxa"/>
            <w:shd w:val="clear" w:color="auto" w:fill="auto"/>
            <w:noWrap/>
            <w:vAlign w:val="center"/>
          </w:tcPr>
          <w:p w:rsidR="00C27AF2" w:rsidRPr="00242020" w:rsidRDefault="00C27AF2" w:rsidP="00C27AF2">
            <w:pPr>
              <w:ind w:firstLine="0"/>
              <w:jc w:val="center"/>
              <w:rPr>
                <w:b/>
                <w:bCs/>
                <w:sz w:val="20"/>
              </w:rPr>
            </w:pPr>
            <w:r w:rsidRPr="00242020">
              <w:rPr>
                <w:b/>
                <w:sz w:val="20"/>
              </w:rPr>
              <w:t>24</w:t>
            </w:r>
          </w:p>
        </w:tc>
        <w:tc>
          <w:tcPr>
            <w:tcW w:w="2777" w:type="dxa"/>
            <w:shd w:val="clear" w:color="auto" w:fill="auto"/>
            <w:noWrap/>
            <w:vAlign w:val="center"/>
          </w:tcPr>
          <w:p w:rsidR="00C27AF2" w:rsidRPr="00242020" w:rsidRDefault="00C27AF2" w:rsidP="00C27AF2">
            <w:pPr>
              <w:ind w:firstLine="0"/>
              <w:rPr>
                <w:b/>
                <w:bCs/>
                <w:sz w:val="20"/>
              </w:rPr>
            </w:pPr>
            <w:r w:rsidRPr="00242020">
              <w:rPr>
                <w:b/>
                <w:sz w:val="20"/>
              </w:rPr>
              <w:t>Чернігівській</w:t>
            </w:r>
          </w:p>
        </w:tc>
        <w:tc>
          <w:tcPr>
            <w:tcW w:w="1177" w:type="dxa"/>
            <w:shd w:val="clear" w:color="auto" w:fill="auto"/>
            <w:noWrap/>
            <w:vAlign w:val="center"/>
          </w:tcPr>
          <w:p w:rsidR="00C27AF2" w:rsidRPr="00242020" w:rsidRDefault="00C27AF2" w:rsidP="00C27AF2">
            <w:pPr>
              <w:ind w:firstLine="0"/>
              <w:jc w:val="center"/>
              <w:rPr>
                <w:b/>
                <w:bCs/>
                <w:sz w:val="20"/>
              </w:rPr>
            </w:pPr>
            <w:r w:rsidRPr="00242020">
              <w:rPr>
                <w:b/>
                <w:sz w:val="20"/>
              </w:rPr>
              <w:t>2 505,9</w:t>
            </w:r>
          </w:p>
        </w:tc>
        <w:tc>
          <w:tcPr>
            <w:tcW w:w="1419" w:type="dxa"/>
            <w:shd w:val="clear" w:color="auto" w:fill="auto"/>
            <w:noWrap/>
            <w:vAlign w:val="center"/>
          </w:tcPr>
          <w:p w:rsidR="00C27AF2" w:rsidRPr="00242020" w:rsidRDefault="00C27AF2" w:rsidP="00C27AF2">
            <w:pPr>
              <w:ind w:firstLine="0"/>
              <w:jc w:val="center"/>
              <w:rPr>
                <w:b/>
                <w:bCs/>
                <w:sz w:val="20"/>
              </w:rPr>
            </w:pPr>
            <w:r w:rsidRPr="00242020">
              <w:rPr>
                <w:b/>
                <w:sz w:val="20"/>
              </w:rPr>
              <w:t>2 194,9</w:t>
            </w:r>
          </w:p>
        </w:tc>
        <w:tc>
          <w:tcPr>
            <w:tcW w:w="1079" w:type="dxa"/>
            <w:shd w:val="clear" w:color="auto" w:fill="auto"/>
            <w:noWrap/>
            <w:vAlign w:val="center"/>
          </w:tcPr>
          <w:p w:rsidR="00C27AF2" w:rsidRPr="00242020" w:rsidRDefault="00C27AF2" w:rsidP="00C27AF2">
            <w:pPr>
              <w:ind w:firstLine="0"/>
              <w:jc w:val="center"/>
              <w:rPr>
                <w:b/>
                <w:bCs/>
                <w:sz w:val="20"/>
              </w:rPr>
            </w:pPr>
            <w:r w:rsidRPr="00242020">
              <w:rPr>
                <w:b/>
                <w:sz w:val="20"/>
              </w:rPr>
              <w:t>1 375,1</w:t>
            </w:r>
          </w:p>
        </w:tc>
        <w:tc>
          <w:tcPr>
            <w:tcW w:w="1175" w:type="dxa"/>
            <w:shd w:val="clear" w:color="auto" w:fill="auto"/>
            <w:noWrap/>
            <w:vAlign w:val="center"/>
          </w:tcPr>
          <w:p w:rsidR="00C27AF2" w:rsidRPr="00242020" w:rsidRDefault="00C27AF2" w:rsidP="00C27AF2">
            <w:pPr>
              <w:ind w:firstLine="0"/>
              <w:jc w:val="center"/>
              <w:rPr>
                <w:b/>
                <w:bCs/>
                <w:sz w:val="20"/>
              </w:rPr>
            </w:pPr>
            <w:r w:rsidRPr="00242020">
              <w:rPr>
                <w:b/>
                <w:sz w:val="20"/>
              </w:rPr>
              <w:t>–</w:t>
            </w:r>
          </w:p>
        </w:tc>
        <w:tc>
          <w:tcPr>
            <w:tcW w:w="1331" w:type="dxa"/>
            <w:shd w:val="clear" w:color="auto" w:fill="auto"/>
            <w:noWrap/>
            <w:vAlign w:val="center"/>
          </w:tcPr>
          <w:p w:rsidR="00C27AF2" w:rsidRPr="00242020" w:rsidRDefault="00C27AF2" w:rsidP="00C27AF2">
            <w:pPr>
              <w:ind w:firstLine="0"/>
              <w:jc w:val="center"/>
              <w:rPr>
                <w:b/>
                <w:bCs/>
                <w:sz w:val="20"/>
              </w:rPr>
            </w:pPr>
            <w:r w:rsidRPr="00242020">
              <w:rPr>
                <w:b/>
                <w:sz w:val="20"/>
              </w:rPr>
              <w:t>311,0</w:t>
            </w:r>
          </w:p>
        </w:tc>
      </w:tr>
      <w:tr w:rsidR="00C27AF2" w:rsidRPr="00242020" w:rsidTr="00B17F7E">
        <w:trPr>
          <w:trHeight w:val="60"/>
          <w:jc w:val="center"/>
        </w:trPr>
        <w:tc>
          <w:tcPr>
            <w:tcW w:w="503"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25</w:t>
            </w:r>
          </w:p>
        </w:tc>
        <w:tc>
          <w:tcPr>
            <w:tcW w:w="2777" w:type="dxa"/>
            <w:tcBorders>
              <w:bottom w:val="single" w:sz="4" w:space="0" w:color="auto"/>
            </w:tcBorders>
            <w:shd w:val="pct20" w:color="auto" w:fill="auto"/>
            <w:noWrap/>
            <w:vAlign w:val="center"/>
          </w:tcPr>
          <w:p w:rsidR="00C27AF2" w:rsidRPr="00242020" w:rsidRDefault="00C27AF2" w:rsidP="00C27AF2">
            <w:pPr>
              <w:ind w:firstLine="0"/>
              <w:rPr>
                <w:b/>
                <w:bCs/>
                <w:sz w:val="20"/>
              </w:rPr>
            </w:pPr>
            <w:r w:rsidRPr="00242020">
              <w:rPr>
                <w:b/>
                <w:sz w:val="20"/>
              </w:rPr>
              <w:t>м. Києву</w:t>
            </w:r>
          </w:p>
        </w:tc>
        <w:tc>
          <w:tcPr>
            <w:tcW w:w="1177"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834,4</w:t>
            </w:r>
          </w:p>
        </w:tc>
        <w:tc>
          <w:tcPr>
            <w:tcW w:w="1419"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834,4</w:t>
            </w:r>
          </w:p>
        </w:tc>
        <w:tc>
          <w:tcPr>
            <w:tcW w:w="1079"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w:t>
            </w:r>
          </w:p>
        </w:tc>
        <w:tc>
          <w:tcPr>
            <w:tcW w:w="1175"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w:t>
            </w:r>
          </w:p>
        </w:tc>
        <w:tc>
          <w:tcPr>
            <w:tcW w:w="1331"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w:t>
            </w:r>
          </w:p>
        </w:tc>
      </w:tr>
      <w:tr w:rsidR="00C27AF2" w:rsidRPr="00242020" w:rsidTr="00B17F7E">
        <w:trPr>
          <w:trHeight w:val="291"/>
          <w:jc w:val="center"/>
        </w:trPr>
        <w:tc>
          <w:tcPr>
            <w:tcW w:w="503" w:type="dxa"/>
            <w:shd w:val="pct5" w:color="auto" w:fill="auto"/>
            <w:noWrap/>
            <w:vAlign w:val="center"/>
          </w:tcPr>
          <w:p w:rsidR="00C27AF2" w:rsidRPr="00242020" w:rsidRDefault="00C27AF2" w:rsidP="00C27AF2">
            <w:pPr>
              <w:ind w:firstLine="0"/>
              <w:jc w:val="center"/>
              <w:rPr>
                <w:b/>
                <w:bCs/>
                <w:sz w:val="20"/>
              </w:rPr>
            </w:pPr>
            <w:r w:rsidRPr="00242020">
              <w:rPr>
                <w:b/>
                <w:sz w:val="20"/>
              </w:rPr>
              <w:t>26</w:t>
            </w:r>
          </w:p>
        </w:tc>
        <w:tc>
          <w:tcPr>
            <w:tcW w:w="2777" w:type="dxa"/>
            <w:shd w:val="pct5" w:color="auto" w:fill="auto"/>
            <w:noWrap/>
            <w:vAlign w:val="center"/>
          </w:tcPr>
          <w:p w:rsidR="00C27AF2" w:rsidRPr="00242020" w:rsidRDefault="00C27AF2" w:rsidP="00C27AF2">
            <w:pPr>
              <w:ind w:firstLine="0"/>
              <w:rPr>
                <w:b/>
                <w:bCs/>
                <w:sz w:val="20"/>
              </w:rPr>
            </w:pPr>
            <w:proofErr w:type="spellStart"/>
            <w:r w:rsidRPr="00242020">
              <w:rPr>
                <w:b/>
                <w:sz w:val="20"/>
              </w:rPr>
              <w:t>РВ</w:t>
            </w:r>
            <w:proofErr w:type="spellEnd"/>
            <w:r w:rsidRPr="00242020">
              <w:rPr>
                <w:b/>
                <w:sz w:val="20"/>
              </w:rPr>
              <w:t xml:space="preserve"> в </w:t>
            </w:r>
            <w:proofErr w:type="spellStart"/>
            <w:r w:rsidRPr="00242020">
              <w:rPr>
                <w:b/>
                <w:sz w:val="20"/>
              </w:rPr>
              <w:t>АРК</w:t>
            </w:r>
            <w:proofErr w:type="spellEnd"/>
            <w:r w:rsidRPr="00242020">
              <w:rPr>
                <w:b/>
                <w:sz w:val="20"/>
              </w:rPr>
              <w:t xml:space="preserve"> та м. Севастополі</w:t>
            </w:r>
          </w:p>
        </w:tc>
        <w:tc>
          <w:tcPr>
            <w:tcW w:w="1177" w:type="dxa"/>
            <w:shd w:val="pct5" w:color="auto" w:fill="auto"/>
            <w:noWrap/>
            <w:vAlign w:val="center"/>
          </w:tcPr>
          <w:p w:rsidR="00C27AF2" w:rsidRPr="00242020" w:rsidRDefault="00C27AF2" w:rsidP="00C27AF2">
            <w:pPr>
              <w:ind w:firstLine="0"/>
              <w:jc w:val="center"/>
              <w:rPr>
                <w:b/>
                <w:bCs/>
                <w:sz w:val="20"/>
              </w:rPr>
            </w:pPr>
            <w:r w:rsidRPr="00242020">
              <w:rPr>
                <w:b/>
                <w:sz w:val="20"/>
              </w:rPr>
              <w:t>–</w:t>
            </w:r>
          </w:p>
        </w:tc>
        <w:tc>
          <w:tcPr>
            <w:tcW w:w="1419" w:type="dxa"/>
            <w:shd w:val="pct5" w:color="auto" w:fill="auto"/>
            <w:noWrap/>
            <w:vAlign w:val="center"/>
          </w:tcPr>
          <w:p w:rsidR="00C27AF2" w:rsidRPr="00242020" w:rsidRDefault="00C27AF2" w:rsidP="00C27AF2">
            <w:pPr>
              <w:ind w:firstLine="0"/>
              <w:jc w:val="center"/>
              <w:rPr>
                <w:b/>
                <w:bCs/>
                <w:sz w:val="20"/>
              </w:rPr>
            </w:pPr>
            <w:r w:rsidRPr="00242020">
              <w:rPr>
                <w:b/>
                <w:sz w:val="20"/>
              </w:rPr>
              <w:t>–</w:t>
            </w:r>
          </w:p>
        </w:tc>
        <w:tc>
          <w:tcPr>
            <w:tcW w:w="1079" w:type="dxa"/>
            <w:shd w:val="pct5" w:color="auto" w:fill="auto"/>
            <w:noWrap/>
            <w:vAlign w:val="center"/>
          </w:tcPr>
          <w:p w:rsidR="00C27AF2" w:rsidRPr="00242020" w:rsidRDefault="00C27AF2" w:rsidP="00C27AF2">
            <w:pPr>
              <w:ind w:firstLine="0"/>
              <w:jc w:val="center"/>
              <w:rPr>
                <w:b/>
                <w:bCs/>
                <w:sz w:val="20"/>
              </w:rPr>
            </w:pPr>
            <w:r w:rsidRPr="00242020">
              <w:rPr>
                <w:b/>
                <w:sz w:val="20"/>
              </w:rPr>
              <w:t>–</w:t>
            </w:r>
          </w:p>
        </w:tc>
        <w:tc>
          <w:tcPr>
            <w:tcW w:w="1175" w:type="dxa"/>
            <w:shd w:val="pct5" w:color="auto" w:fill="auto"/>
            <w:noWrap/>
            <w:vAlign w:val="center"/>
          </w:tcPr>
          <w:p w:rsidR="00C27AF2" w:rsidRPr="00242020" w:rsidRDefault="00C27AF2" w:rsidP="00C27AF2">
            <w:pPr>
              <w:ind w:firstLine="0"/>
              <w:jc w:val="center"/>
              <w:rPr>
                <w:b/>
                <w:bCs/>
                <w:sz w:val="20"/>
              </w:rPr>
            </w:pPr>
            <w:r w:rsidRPr="00242020">
              <w:rPr>
                <w:b/>
                <w:sz w:val="20"/>
              </w:rPr>
              <w:t>–</w:t>
            </w:r>
          </w:p>
        </w:tc>
        <w:tc>
          <w:tcPr>
            <w:tcW w:w="1331" w:type="dxa"/>
            <w:shd w:val="pct5" w:color="auto" w:fill="auto"/>
            <w:noWrap/>
            <w:vAlign w:val="center"/>
          </w:tcPr>
          <w:p w:rsidR="00C27AF2" w:rsidRPr="00242020" w:rsidRDefault="00C27AF2" w:rsidP="00C27AF2">
            <w:pPr>
              <w:ind w:firstLine="0"/>
              <w:jc w:val="center"/>
              <w:rPr>
                <w:b/>
                <w:bCs/>
                <w:sz w:val="20"/>
              </w:rPr>
            </w:pPr>
            <w:r w:rsidRPr="00242020">
              <w:rPr>
                <w:b/>
                <w:sz w:val="20"/>
              </w:rPr>
              <w:t>–</w:t>
            </w:r>
          </w:p>
        </w:tc>
      </w:tr>
      <w:tr w:rsidR="00C27AF2" w:rsidRPr="00242020" w:rsidTr="00B17F7E">
        <w:trPr>
          <w:trHeight w:val="60"/>
          <w:jc w:val="center"/>
        </w:trPr>
        <w:tc>
          <w:tcPr>
            <w:tcW w:w="503"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27</w:t>
            </w:r>
          </w:p>
        </w:tc>
        <w:tc>
          <w:tcPr>
            <w:tcW w:w="2777" w:type="dxa"/>
            <w:tcBorders>
              <w:bottom w:val="single" w:sz="4" w:space="0" w:color="auto"/>
            </w:tcBorders>
            <w:shd w:val="pct20" w:color="auto" w:fill="auto"/>
            <w:noWrap/>
            <w:vAlign w:val="center"/>
          </w:tcPr>
          <w:p w:rsidR="00C27AF2" w:rsidRPr="00242020" w:rsidRDefault="00C27AF2" w:rsidP="00C27AF2">
            <w:pPr>
              <w:ind w:firstLine="0"/>
              <w:rPr>
                <w:b/>
                <w:bCs/>
                <w:sz w:val="20"/>
              </w:rPr>
            </w:pPr>
            <w:r w:rsidRPr="00242020">
              <w:rPr>
                <w:b/>
                <w:sz w:val="20"/>
              </w:rPr>
              <w:t>Фонд майна АР Крим</w:t>
            </w:r>
          </w:p>
        </w:tc>
        <w:tc>
          <w:tcPr>
            <w:tcW w:w="1177"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w:t>
            </w:r>
          </w:p>
        </w:tc>
        <w:tc>
          <w:tcPr>
            <w:tcW w:w="1419"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w:t>
            </w:r>
          </w:p>
        </w:tc>
        <w:tc>
          <w:tcPr>
            <w:tcW w:w="1079"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w:t>
            </w:r>
          </w:p>
        </w:tc>
        <w:tc>
          <w:tcPr>
            <w:tcW w:w="1175"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w:t>
            </w:r>
          </w:p>
        </w:tc>
        <w:tc>
          <w:tcPr>
            <w:tcW w:w="1331"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w:t>
            </w:r>
          </w:p>
        </w:tc>
      </w:tr>
      <w:tr w:rsidR="00C27AF2" w:rsidRPr="00242020" w:rsidTr="00B17F7E">
        <w:trPr>
          <w:trHeight w:val="60"/>
          <w:jc w:val="center"/>
        </w:trPr>
        <w:tc>
          <w:tcPr>
            <w:tcW w:w="3280" w:type="dxa"/>
            <w:gridSpan w:val="2"/>
            <w:shd w:val="pct5" w:color="auto" w:fill="auto"/>
            <w:noWrap/>
            <w:vAlign w:val="center"/>
          </w:tcPr>
          <w:p w:rsidR="00C27AF2" w:rsidRPr="00242020" w:rsidRDefault="00C27AF2" w:rsidP="00C27AF2">
            <w:pPr>
              <w:ind w:firstLine="0"/>
              <w:jc w:val="center"/>
              <w:rPr>
                <w:b/>
                <w:bCs/>
                <w:sz w:val="20"/>
              </w:rPr>
            </w:pPr>
            <w:r w:rsidRPr="00242020">
              <w:rPr>
                <w:b/>
                <w:sz w:val="20"/>
              </w:rPr>
              <w:t xml:space="preserve">Разом по </w:t>
            </w:r>
            <w:proofErr w:type="spellStart"/>
            <w:r w:rsidRPr="00242020">
              <w:rPr>
                <w:b/>
                <w:sz w:val="20"/>
              </w:rPr>
              <w:t>РВ</w:t>
            </w:r>
            <w:proofErr w:type="spellEnd"/>
            <w:r w:rsidRPr="00242020">
              <w:rPr>
                <w:b/>
                <w:sz w:val="20"/>
              </w:rPr>
              <w:t xml:space="preserve"> Фонду</w:t>
            </w:r>
          </w:p>
        </w:tc>
        <w:tc>
          <w:tcPr>
            <w:tcW w:w="1177" w:type="dxa"/>
            <w:shd w:val="pct5" w:color="auto" w:fill="auto"/>
            <w:noWrap/>
            <w:vAlign w:val="center"/>
          </w:tcPr>
          <w:p w:rsidR="00C27AF2" w:rsidRPr="00242020" w:rsidRDefault="00C27AF2" w:rsidP="00C27AF2">
            <w:pPr>
              <w:ind w:firstLine="0"/>
              <w:jc w:val="center"/>
              <w:rPr>
                <w:b/>
                <w:bCs/>
                <w:sz w:val="20"/>
              </w:rPr>
            </w:pPr>
            <w:r w:rsidRPr="00242020">
              <w:rPr>
                <w:b/>
                <w:sz w:val="20"/>
              </w:rPr>
              <w:t>77 129,0</w:t>
            </w:r>
          </w:p>
        </w:tc>
        <w:tc>
          <w:tcPr>
            <w:tcW w:w="1419" w:type="dxa"/>
            <w:shd w:val="pct5" w:color="auto" w:fill="auto"/>
            <w:noWrap/>
            <w:vAlign w:val="center"/>
          </w:tcPr>
          <w:p w:rsidR="00C27AF2" w:rsidRPr="00242020" w:rsidRDefault="00C27AF2" w:rsidP="00C27AF2">
            <w:pPr>
              <w:ind w:firstLine="0"/>
              <w:jc w:val="center"/>
              <w:rPr>
                <w:b/>
                <w:bCs/>
                <w:sz w:val="20"/>
              </w:rPr>
            </w:pPr>
            <w:r w:rsidRPr="00242020">
              <w:rPr>
                <w:b/>
                <w:sz w:val="20"/>
              </w:rPr>
              <w:t>72 850,0</w:t>
            </w:r>
          </w:p>
        </w:tc>
        <w:tc>
          <w:tcPr>
            <w:tcW w:w="1079" w:type="dxa"/>
            <w:shd w:val="pct5" w:color="auto" w:fill="auto"/>
            <w:noWrap/>
            <w:vAlign w:val="center"/>
          </w:tcPr>
          <w:p w:rsidR="00C27AF2" w:rsidRPr="00242020" w:rsidRDefault="00C27AF2" w:rsidP="00C27AF2">
            <w:pPr>
              <w:ind w:firstLine="0"/>
              <w:jc w:val="center"/>
              <w:rPr>
                <w:b/>
                <w:bCs/>
                <w:sz w:val="20"/>
              </w:rPr>
            </w:pPr>
            <w:r w:rsidRPr="00242020">
              <w:rPr>
                <w:b/>
                <w:sz w:val="20"/>
              </w:rPr>
              <w:t>4 420,5</w:t>
            </w:r>
          </w:p>
        </w:tc>
        <w:tc>
          <w:tcPr>
            <w:tcW w:w="1175" w:type="dxa"/>
            <w:shd w:val="pct5" w:color="auto" w:fill="auto"/>
            <w:noWrap/>
            <w:vAlign w:val="center"/>
          </w:tcPr>
          <w:p w:rsidR="00C27AF2" w:rsidRPr="00242020" w:rsidRDefault="00C27AF2" w:rsidP="00C27AF2">
            <w:pPr>
              <w:ind w:firstLine="0"/>
              <w:jc w:val="center"/>
              <w:rPr>
                <w:b/>
                <w:bCs/>
                <w:sz w:val="20"/>
              </w:rPr>
            </w:pPr>
            <w:r w:rsidRPr="00242020">
              <w:rPr>
                <w:b/>
                <w:sz w:val="20"/>
              </w:rPr>
              <w:t>–</w:t>
            </w:r>
          </w:p>
        </w:tc>
        <w:tc>
          <w:tcPr>
            <w:tcW w:w="1331" w:type="dxa"/>
            <w:shd w:val="pct5" w:color="auto" w:fill="auto"/>
            <w:noWrap/>
            <w:vAlign w:val="center"/>
          </w:tcPr>
          <w:p w:rsidR="00C27AF2" w:rsidRPr="00242020" w:rsidRDefault="00C27AF2" w:rsidP="00C27AF2">
            <w:pPr>
              <w:ind w:firstLine="0"/>
              <w:jc w:val="center"/>
              <w:rPr>
                <w:b/>
                <w:bCs/>
                <w:sz w:val="20"/>
              </w:rPr>
            </w:pPr>
            <w:r w:rsidRPr="00242020">
              <w:rPr>
                <w:b/>
                <w:sz w:val="20"/>
              </w:rPr>
              <w:t>4 279,0</w:t>
            </w:r>
          </w:p>
        </w:tc>
      </w:tr>
      <w:tr w:rsidR="00C27AF2" w:rsidRPr="00242020" w:rsidTr="00B17F7E">
        <w:trPr>
          <w:trHeight w:val="60"/>
          <w:jc w:val="center"/>
        </w:trPr>
        <w:tc>
          <w:tcPr>
            <w:tcW w:w="503"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28</w:t>
            </w:r>
          </w:p>
        </w:tc>
        <w:tc>
          <w:tcPr>
            <w:tcW w:w="2777" w:type="dxa"/>
            <w:tcBorders>
              <w:bottom w:val="single" w:sz="4" w:space="0" w:color="auto"/>
            </w:tcBorders>
            <w:shd w:val="pct20" w:color="auto" w:fill="auto"/>
            <w:noWrap/>
          </w:tcPr>
          <w:p w:rsidR="00C27AF2" w:rsidRPr="00242020" w:rsidRDefault="00C27AF2" w:rsidP="00C27AF2">
            <w:pPr>
              <w:ind w:firstLine="0"/>
              <w:rPr>
                <w:b/>
                <w:bCs/>
                <w:sz w:val="20"/>
              </w:rPr>
            </w:pPr>
            <w:r w:rsidRPr="00242020">
              <w:rPr>
                <w:b/>
                <w:sz w:val="20"/>
              </w:rPr>
              <w:t xml:space="preserve">Апарат Фонду </w:t>
            </w:r>
          </w:p>
        </w:tc>
        <w:tc>
          <w:tcPr>
            <w:tcW w:w="1177"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114 653,9</w:t>
            </w:r>
          </w:p>
        </w:tc>
        <w:tc>
          <w:tcPr>
            <w:tcW w:w="1419"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114 653,9</w:t>
            </w:r>
          </w:p>
        </w:tc>
        <w:tc>
          <w:tcPr>
            <w:tcW w:w="1079"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4 753,3</w:t>
            </w:r>
          </w:p>
        </w:tc>
        <w:tc>
          <w:tcPr>
            <w:tcW w:w="1175"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w:t>
            </w:r>
          </w:p>
        </w:tc>
        <w:tc>
          <w:tcPr>
            <w:tcW w:w="1331" w:type="dxa"/>
            <w:tcBorders>
              <w:bottom w:val="single" w:sz="4" w:space="0" w:color="auto"/>
            </w:tcBorders>
            <w:shd w:val="pct20" w:color="auto" w:fill="auto"/>
            <w:noWrap/>
            <w:vAlign w:val="center"/>
          </w:tcPr>
          <w:p w:rsidR="00C27AF2" w:rsidRPr="00242020" w:rsidRDefault="00C27AF2" w:rsidP="00C27AF2">
            <w:pPr>
              <w:ind w:firstLine="0"/>
              <w:jc w:val="center"/>
              <w:rPr>
                <w:b/>
                <w:bCs/>
                <w:sz w:val="20"/>
              </w:rPr>
            </w:pPr>
            <w:r w:rsidRPr="00242020">
              <w:rPr>
                <w:b/>
                <w:sz w:val="20"/>
              </w:rPr>
              <w:t>–</w:t>
            </w:r>
          </w:p>
        </w:tc>
      </w:tr>
      <w:tr w:rsidR="00C27AF2" w:rsidRPr="00242020" w:rsidTr="00B17F7E">
        <w:trPr>
          <w:trHeight w:val="361"/>
          <w:jc w:val="center"/>
        </w:trPr>
        <w:tc>
          <w:tcPr>
            <w:tcW w:w="3280" w:type="dxa"/>
            <w:gridSpan w:val="2"/>
            <w:shd w:val="pct5" w:color="auto" w:fill="auto"/>
            <w:vAlign w:val="center"/>
          </w:tcPr>
          <w:p w:rsidR="00C27AF2" w:rsidRPr="00242020" w:rsidRDefault="00C27AF2" w:rsidP="00C27AF2">
            <w:pPr>
              <w:ind w:firstLine="0"/>
              <w:jc w:val="center"/>
              <w:rPr>
                <w:b/>
                <w:bCs/>
                <w:sz w:val="20"/>
              </w:rPr>
            </w:pPr>
            <w:r w:rsidRPr="00242020">
              <w:rPr>
                <w:b/>
                <w:sz w:val="20"/>
              </w:rPr>
              <w:t>Усього</w:t>
            </w:r>
          </w:p>
        </w:tc>
        <w:tc>
          <w:tcPr>
            <w:tcW w:w="1177" w:type="dxa"/>
            <w:shd w:val="pct5" w:color="auto" w:fill="auto"/>
            <w:noWrap/>
            <w:vAlign w:val="center"/>
          </w:tcPr>
          <w:p w:rsidR="00C27AF2" w:rsidRPr="00242020" w:rsidRDefault="00C27AF2" w:rsidP="00C27AF2">
            <w:pPr>
              <w:ind w:firstLine="0"/>
              <w:jc w:val="center"/>
              <w:rPr>
                <w:b/>
                <w:bCs/>
                <w:sz w:val="20"/>
              </w:rPr>
            </w:pPr>
            <w:r w:rsidRPr="00242020">
              <w:rPr>
                <w:b/>
                <w:sz w:val="20"/>
              </w:rPr>
              <w:t>191 782,9</w:t>
            </w:r>
          </w:p>
        </w:tc>
        <w:tc>
          <w:tcPr>
            <w:tcW w:w="1419" w:type="dxa"/>
            <w:shd w:val="pct5" w:color="auto" w:fill="auto"/>
            <w:noWrap/>
            <w:vAlign w:val="center"/>
          </w:tcPr>
          <w:p w:rsidR="00C27AF2" w:rsidRPr="00242020" w:rsidRDefault="00C27AF2" w:rsidP="00C27AF2">
            <w:pPr>
              <w:ind w:firstLine="0"/>
              <w:jc w:val="center"/>
              <w:rPr>
                <w:b/>
                <w:bCs/>
                <w:sz w:val="20"/>
              </w:rPr>
            </w:pPr>
            <w:r w:rsidRPr="00242020">
              <w:rPr>
                <w:b/>
                <w:sz w:val="20"/>
              </w:rPr>
              <w:t>187 503,9</w:t>
            </w:r>
          </w:p>
        </w:tc>
        <w:tc>
          <w:tcPr>
            <w:tcW w:w="1079" w:type="dxa"/>
            <w:shd w:val="pct5" w:color="auto" w:fill="auto"/>
            <w:noWrap/>
            <w:vAlign w:val="center"/>
          </w:tcPr>
          <w:p w:rsidR="00C27AF2" w:rsidRPr="00242020" w:rsidRDefault="00C27AF2" w:rsidP="00C27AF2">
            <w:pPr>
              <w:ind w:firstLine="0"/>
              <w:jc w:val="center"/>
              <w:rPr>
                <w:b/>
                <w:bCs/>
                <w:sz w:val="20"/>
              </w:rPr>
            </w:pPr>
            <w:r w:rsidRPr="00242020">
              <w:rPr>
                <w:b/>
                <w:sz w:val="20"/>
              </w:rPr>
              <w:t>9 173,8</w:t>
            </w:r>
          </w:p>
        </w:tc>
        <w:tc>
          <w:tcPr>
            <w:tcW w:w="1175" w:type="dxa"/>
            <w:shd w:val="pct5" w:color="auto" w:fill="auto"/>
            <w:noWrap/>
            <w:vAlign w:val="center"/>
          </w:tcPr>
          <w:p w:rsidR="00C27AF2" w:rsidRPr="00242020" w:rsidRDefault="00C27AF2" w:rsidP="00C27AF2">
            <w:pPr>
              <w:ind w:firstLine="0"/>
              <w:jc w:val="center"/>
              <w:rPr>
                <w:b/>
                <w:bCs/>
                <w:sz w:val="20"/>
              </w:rPr>
            </w:pPr>
            <w:r w:rsidRPr="00242020">
              <w:rPr>
                <w:b/>
                <w:sz w:val="20"/>
              </w:rPr>
              <w:t>–</w:t>
            </w:r>
          </w:p>
        </w:tc>
        <w:tc>
          <w:tcPr>
            <w:tcW w:w="1331" w:type="dxa"/>
            <w:shd w:val="pct5" w:color="auto" w:fill="auto"/>
            <w:noWrap/>
            <w:vAlign w:val="center"/>
          </w:tcPr>
          <w:p w:rsidR="00C27AF2" w:rsidRPr="00242020" w:rsidRDefault="00C27AF2" w:rsidP="00C27AF2">
            <w:pPr>
              <w:ind w:firstLine="0"/>
              <w:jc w:val="center"/>
              <w:rPr>
                <w:b/>
                <w:bCs/>
                <w:sz w:val="20"/>
              </w:rPr>
            </w:pPr>
            <w:r w:rsidRPr="00242020">
              <w:rPr>
                <w:b/>
                <w:sz w:val="20"/>
              </w:rPr>
              <w:t>4 279,0</w:t>
            </w:r>
          </w:p>
        </w:tc>
      </w:tr>
    </w:tbl>
    <w:p w:rsidR="00C27AF2" w:rsidRPr="00242020" w:rsidRDefault="00C27AF2" w:rsidP="00C27AF2">
      <w:pPr>
        <w:rPr>
          <w:highlight w:val="yellow"/>
        </w:rPr>
      </w:pPr>
    </w:p>
    <w:p w:rsidR="00C56134" w:rsidRPr="00242020" w:rsidRDefault="00C56134" w:rsidP="00C27AF2">
      <w:pPr>
        <w:ind w:firstLine="0"/>
      </w:pPr>
    </w:p>
    <w:p w:rsidR="00135105" w:rsidRPr="00242020" w:rsidRDefault="00135105" w:rsidP="00052F2E"/>
    <w:p w:rsidR="00135105" w:rsidRPr="00242020" w:rsidRDefault="00135105"/>
    <w:p w:rsidR="00135105" w:rsidRPr="00242020" w:rsidRDefault="00135105"/>
    <w:p w:rsidR="00135105" w:rsidRPr="00242020" w:rsidRDefault="00135105"/>
    <w:p w:rsidR="00135105" w:rsidRPr="00242020" w:rsidRDefault="00135105"/>
    <w:p w:rsidR="00135105" w:rsidRPr="00242020" w:rsidRDefault="00135105"/>
    <w:p w:rsidR="00D226C3" w:rsidRPr="00242020" w:rsidRDefault="00D226C3"/>
    <w:p w:rsidR="00D226C3" w:rsidRPr="00242020" w:rsidRDefault="00D226C3"/>
    <w:p w:rsidR="00D226C3" w:rsidRPr="00242020" w:rsidRDefault="00D226C3"/>
    <w:p w:rsidR="002B3DF4" w:rsidRPr="00242020" w:rsidRDefault="002B3DF4">
      <w:pPr>
        <w:sectPr w:rsidR="002B3DF4" w:rsidRPr="00242020" w:rsidSect="00DF1F08">
          <w:headerReference w:type="even" r:id="rId47"/>
          <w:headerReference w:type="default" r:id="rId48"/>
          <w:footerReference w:type="even" r:id="rId49"/>
          <w:footerReference w:type="default" r:id="rId50"/>
          <w:pgSz w:w="11906" w:h="16838"/>
          <w:pgMar w:top="820" w:right="849" w:bottom="709" w:left="1276" w:header="709" w:footer="457" w:gutter="0"/>
          <w:cols w:space="708"/>
          <w:docGrid w:linePitch="381"/>
        </w:sectPr>
      </w:pPr>
    </w:p>
    <w:p w:rsidR="004B2387" w:rsidRPr="00242020" w:rsidRDefault="004B2387" w:rsidP="004B2387">
      <w:pPr>
        <w:jc w:val="center"/>
        <w:rPr>
          <w:b/>
          <w:sz w:val="30"/>
          <w:szCs w:val="30"/>
        </w:rPr>
      </w:pPr>
      <w:r w:rsidRPr="00242020">
        <w:rPr>
          <w:b/>
          <w:sz w:val="30"/>
          <w:szCs w:val="30"/>
        </w:rPr>
        <w:lastRenderedPageBreak/>
        <w:t>Надходження коштів від продажу об’єктів приватизації державної власності груп А, Д та Ж,</w:t>
      </w:r>
      <w:r w:rsidR="00551E32">
        <w:rPr>
          <w:b/>
          <w:sz w:val="30"/>
          <w:szCs w:val="30"/>
        </w:rPr>
        <w:br/>
      </w:r>
      <w:r w:rsidRPr="00242020">
        <w:rPr>
          <w:b/>
          <w:sz w:val="30"/>
          <w:szCs w:val="30"/>
        </w:rPr>
        <w:t>у тому числі разом із земельними ділянками</w:t>
      </w:r>
      <w:r w:rsidR="00085F86">
        <w:rPr>
          <w:b/>
          <w:sz w:val="30"/>
          <w:szCs w:val="30"/>
        </w:rPr>
        <w:t>,</w:t>
      </w:r>
      <w:r w:rsidRPr="00242020">
        <w:rPr>
          <w:b/>
          <w:sz w:val="30"/>
          <w:szCs w:val="30"/>
        </w:rPr>
        <w:t xml:space="preserve"> за 12 місяців 2016 року</w:t>
      </w:r>
    </w:p>
    <w:tbl>
      <w:tblPr>
        <w:tblW w:w="14885" w:type="dxa"/>
        <w:tblInd w:w="-152" w:type="dxa"/>
        <w:tblLayout w:type="fixed"/>
        <w:tblLook w:val="04A0"/>
      </w:tblPr>
      <w:tblGrid>
        <w:gridCol w:w="2000"/>
        <w:gridCol w:w="724"/>
        <w:gridCol w:w="893"/>
        <w:gridCol w:w="650"/>
        <w:gridCol w:w="918"/>
        <w:gridCol w:w="937"/>
        <w:gridCol w:w="896"/>
        <w:gridCol w:w="798"/>
        <w:gridCol w:w="770"/>
        <w:gridCol w:w="896"/>
        <w:gridCol w:w="784"/>
        <w:gridCol w:w="868"/>
        <w:gridCol w:w="789"/>
        <w:gridCol w:w="709"/>
        <w:gridCol w:w="783"/>
        <w:gridCol w:w="700"/>
        <w:gridCol w:w="770"/>
      </w:tblGrid>
      <w:tr w:rsidR="004B2387" w:rsidRPr="00242020" w:rsidTr="004B2387">
        <w:trPr>
          <w:trHeight w:val="975"/>
        </w:trPr>
        <w:tc>
          <w:tcPr>
            <w:tcW w:w="20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B2387" w:rsidRPr="00242020" w:rsidRDefault="004B2387" w:rsidP="00085F86">
            <w:pPr>
              <w:widowControl/>
              <w:ind w:firstLine="0"/>
              <w:jc w:val="center"/>
              <w:rPr>
                <w:rFonts w:ascii="Times New Roman Cyr" w:hAnsi="Times New Roman Cyr"/>
                <w:bCs/>
                <w:sz w:val="21"/>
                <w:szCs w:val="21"/>
                <w:lang w:eastAsia="uk-UA"/>
              </w:rPr>
            </w:pPr>
            <w:r w:rsidRPr="00242020">
              <w:rPr>
                <w:rFonts w:ascii="Times New Roman Cyr" w:hAnsi="Times New Roman Cyr"/>
                <w:bCs/>
                <w:sz w:val="21"/>
                <w:szCs w:val="21"/>
                <w:lang w:eastAsia="uk-UA"/>
              </w:rPr>
              <w:t>Регіональні відділення Ф</w:t>
            </w:r>
            <w:r w:rsidR="00085F86">
              <w:rPr>
                <w:rFonts w:ascii="Times New Roman Cyr" w:hAnsi="Times New Roman Cyr"/>
                <w:bCs/>
                <w:sz w:val="21"/>
                <w:szCs w:val="21"/>
                <w:lang w:eastAsia="uk-UA"/>
              </w:rPr>
              <w:t>онду</w:t>
            </w:r>
            <w:r w:rsidRPr="00242020">
              <w:rPr>
                <w:rFonts w:ascii="Times New Roman Cyr" w:hAnsi="Times New Roman Cyr"/>
                <w:bCs/>
                <w:sz w:val="21"/>
                <w:szCs w:val="21"/>
                <w:lang w:eastAsia="uk-UA"/>
              </w:rPr>
              <w:t xml:space="preserve"> по (в)</w:t>
            </w:r>
          </w:p>
        </w:tc>
        <w:tc>
          <w:tcPr>
            <w:tcW w:w="3185" w:type="dxa"/>
            <w:gridSpan w:val="4"/>
            <w:tcBorders>
              <w:top w:val="single" w:sz="8" w:space="0" w:color="auto"/>
              <w:left w:val="nil"/>
              <w:bottom w:val="single" w:sz="8" w:space="0" w:color="auto"/>
              <w:right w:val="single" w:sz="8" w:space="0" w:color="000000"/>
            </w:tcBorders>
            <w:shd w:val="clear" w:color="auto" w:fill="auto"/>
            <w:vAlign w:val="center"/>
            <w:hideMark/>
          </w:tcPr>
          <w:p w:rsidR="004B2387" w:rsidRPr="00242020" w:rsidRDefault="004B2387" w:rsidP="00220D4B">
            <w:pPr>
              <w:widowControl/>
              <w:ind w:firstLine="0"/>
              <w:jc w:val="center"/>
              <w:rPr>
                <w:rFonts w:ascii="Times New Roman Cyr" w:hAnsi="Times New Roman Cyr"/>
                <w:bCs/>
                <w:sz w:val="16"/>
                <w:szCs w:val="16"/>
                <w:lang w:eastAsia="uk-UA"/>
              </w:rPr>
            </w:pPr>
            <w:r w:rsidRPr="00242020">
              <w:rPr>
                <w:rFonts w:ascii="Times New Roman Cyr" w:hAnsi="Times New Roman Cyr"/>
                <w:bCs/>
                <w:sz w:val="16"/>
                <w:szCs w:val="16"/>
                <w:lang w:eastAsia="uk-UA"/>
              </w:rPr>
              <w:t>Кількість об</w:t>
            </w:r>
            <w:r w:rsidR="00220D4B" w:rsidRPr="00242020">
              <w:rPr>
                <w:rFonts w:ascii="Times New Roman Cyr" w:hAnsi="Times New Roman Cyr"/>
                <w:bCs/>
                <w:sz w:val="16"/>
                <w:szCs w:val="16"/>
                <w:lang w:eastAsia="uk-UA"/>
              </w:rPr>
              <w:t>’</w:t>
            </w:r>
            <w:r w:rsidRPr="00242020">
              <w:rPr>
                <w:rFonts w:ascii="Times New Roman Cyr" w:hAnsi="Times New Roman Cyr"/>
                <w:bCs/>
                <w:sz w:val="16"/>
                <w:szCs w:val="16"/>
                <w:lang w:eastAsia="uk-UA"/>
              </w:rPr>
              <w:t>єктів, які були приватизовані (у т.ч. разом із земельними ділянками) за 12 місяців 2016 року</w:t>
            </w:r>
          </w:p>
        </w:tc>
        <w:tc>
          <w:tcPr>
            <w:tcW w:w="3401" w:type="dxa"/>
            <w:gridSpan w:val="4"/>
            <w:tcBorders>
              <w:top w:val="single" w:sz="8" w:space="0" w:color="auto"/>
              <w:left w:val="nil"/>
              <w:bottom w:val="single" w:sz="8" w:space="0" w:color="auto"/>
              <w:right w:val="single" w:sz="8" w:space="0" w:color="000000"/>
            </w:tcBorders>
            <w:shd w:val="clear" w:color="auto" w:fill="auto"/>
            <w:vAlign w:val="center"/>
            <w:hideMark/>
          </w:tcPr>
          <w:p w:rsidR="004B2387" w:rsidRPr="00242020" w:rsidRDefault="004B2387" w:rsidP="004B2387">
            <w:pPr>
              <w:widowControl/>
              <w:ind w:firstLine="0"/>
              <w:jc w:val="center"/>
              <w:rPr>
                <w:rFonts w:ascii="Times New Roman Cyr" w:hAnsi="Times New Roman Cyr"/>
                <w:bCs/>
                <w:sz w:val="16"/>
                <w:szCs w:val="16"/>
                <w:lang w:eastAsia="uk-UA"/>
              </w:rPr>
            </w:pPr>
            <w:r w:rsidRPr="00242020">
              <w:rPr>
                <w:rFonts w:ascii="Times New Roman Cyr" w:hAnsi="Times New Roman Cyr"/>
                <w:bCs/>
                <w:sz w:val="16"/>
                <w:szCs w:val="16"/>
                <w:lang w:eastAsia="uk-UA"/>
              </w:rPr>
              <w:t xml:space="preserve">Планове надходження коштів (у т.ч. від продажу земельних ділянок) </w:t>
            </w:r>
            <w:r w:rsidRPr="00242020">
              <w:rPr>
                <w:rFonts w:ascii="Times New Roman Cyr" w:hAnsi="Times New Roman Cyr"/>
                <w:bCs/>
                <w:sz w:val="16"/>
                <w:szCs w:val="16"/>
                <w:lang w:eastAsia="uk-UA"/>
              </w:rPr>
              <w:br/>
              <w:t>за 12 місяців 2016 року, тис. грн.</w:t>
            </w:r>
          </w:p>
        </w:tc>
        <w:tc>
          <w:tcPr>
            <w:tcW w:w="3337" w:type="dxa"/>
            <w:gridSpan w:val="4"/>
            <w:tcBorders>
              <w:top w:val="single" w:sz="8" w:space="0" w:color="auto"/>
              <w:left w:val="nil"/>
              <w:bottom w:val="single" w:sz="8" w:space="0" w:color="auto"/>
              <w:right w:val="nil"/>
            </w:tcBorders>
            <w:shd w:val="clear" w:color="auto" w:fill="auto"/>
            <w:vAlign w:val="center"/>
            <w:hideMark/>
          </w:tcPr>
          <w:p w:rsidR="004B2387" w:rsidRPr="00242020" w:rsidRDefault="004B2387" w:rsidP="00220D4B">
            <w:pPr>
              <w:widowControl/>
              <w:ind w:firstLine="0"/>
              <w:jc w:val="center"/>
              <w:rPr>
                <w:rFonts w:ascii="Times New Roman Cyr" w:hAnsi="Times New Roman Cyr"/>
                <w:bCs/>
                <w:sz w:val="16"/>
                <w:szCs w:val="16"/>
                <w:lang w:eastAsia="uk-UA"/>
              </w:rPr>
            </w:pPr>
            <w:r w:rsidRPr="00242020">
              <w:rPr>
                <w:rFonts w:ascii="Times New Roman Cyr" w:hAnsi="Times New Roman Cyr"/>
                <w:bCs/>
                <w:sz w:val="16"/>
                <w:szCs w:val="16"/>
                <w:lang w:eastAsia="uk-UA"/>
              </w:rPr>
              <w:t>Кошти за об</w:t>
            </w:r>
            <w:r w:rsidR="00220D4B" w:rsidRPr="00242020">
              <w:rPr>
                <w:rFonts w:ascii="Times New Roman Cyr" w:hAnsi="Times New Roman Cyr"/>
                <w:bCs/>
                <w:sz w:val="16"/>
                <w:szCs w:val="16"/>
                <w:lang w:eastAsia="uk-UA"/>
              </w:rPr>
              <w:t>’</w:t>
            </w:r>
            <w:r w:rsidRPr="00242020">
              <w:rPr>
                <w:rFonts w:ascii="Times New Roman Cyr" w:hAnsi="Times New Roman Cyr"/>
                <w:bCs/>
                <w:sz w:val="16"/>
                <w:szCs w:val="16"/>
                <w:lang w:eastAsia="uk-UA"/>
              </w:rPr>
              <w:t>єкти приватизації, які закладені в ДКП, (у т.ч. від продажу земельних ділянок) за 12 місяців 2016 року, тис. грн.</w:t>
            </w:r>
          </w:p>
        </w:tc>
        <w:tc>
          <w:tcPr>
            <w:tcW w:w="2962"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4B2387" w:rsidRPr="00242020" w:rsidRDefault="004B2387" w:rsidP="00220D4B">
            <w:pPr>
              <w:widowControl/>
              <w:ind w:firstLine="0"/>
              <w:jc w:val="center"/>
              <w:rPr>
                <w:rFonts w:ascii="Times New Roman Cyr" w:hAnsi="Times New Roman Cyr"/>
                <w:bCs/>
                <w:sz w:val="16"/>
                <w:szCs w:val="16"/>
                <w:lang w:eastAsia="uk-UA"/>
              </w:rPr>
            </w:pPr>
            <w:r w:rsidRPr="00242020">
              <w:rPr>
                <w:rFonts w:ascii="Times New Roman Cyr" w:hAnsi="Times New Roman Cyr"/>
                <w:bCs/>
                <w:sz w:val="16"/>
                <w:szCs w:val="16"/>
                <w:lang w:eastAsia="uk-UA"/>
              </w:rPr>
              <w:t>Відсоток виконання планових завдань щодо надходження коштів, що закладені у ДКП</w:t>
            </w:r>
          </w:p>
        </w:tc>
      </w:tr>
      <w:tr w:rsidR="004B2387" w:rsidRPr="00242020" w:rsidTr="004B2387">
        <w:trPr>
          <w:trHeight w:val="735"/>
        </w:trPr>
        <w:tc>
          <w:tcPr>
            <w:tcW w:w="2000" w:type="dxa"/>
            <w:vMerge/>
            <w:tcBorders>
              <w:top w:val="single" w:sz="8" w:space="0" w:color="auto"/>
              <w:left w:val="single" w:sz="8" w:space="0" w:color="auto"/>
              <w:bottom w:val="single" w:sz="8" w:space="0" w:color="000000"/>
              <w:right w:val="single" w:sz="8" w:space="0" w:color="auto"/>
            </w:tcBorders>
            <w:vAlign w:val="center"/>
            <w:hideMark/>
          </w:tcPr>
          <w:p w:rsidR="004B2387" w:rsidRPr="00242020" w:rsidRDefault="004B2387" w:rsidP="004B2387">
            <w:pPr>
              <w:widowControl/>
              <w:ind w:firstLine="0"/>
              <w:rPr>
                <w:rFonts w:ascii="Times New Roman Cyr" w:hAnsi="Times New Roman Cyr"/>
                <w:bCs/>
                <w:sz w:val="21"/>
                <w:szCs w:val="21"/>
                <w:lang w:eastAsia="uk-UA"/>
              </w:rPr>
            </w:pPr>
          </w:p>
        </w:tc>
        <w:tc>
          <w:tcPr>
            <w:tcW w:w="1617" w:type="dxa"/>
            <w:gridSpan w:val="2"/>
            <w:tcBorders>
              <w:top w:val="single" w:sz="8" w:space="0" w:color="auto"/>
              <w:left w:val="nil"/>
              <w:bottom w:val="single" w:sz="8" w:space="0" w:color="auto"/>
              <w:right w:val="single" w:sz="8" w:space="0" w:color="000000"/>
            </w:tcBorders>
            <w:shd w:val="clear" w:color="auto" w:fill="auto"/>
            <w:vAlign w:val="center"/>
            <w:hideMark/>
          </w:tcPr>
          <w:p w:rsidR="004B2387" w:rsidRPr="00242020" w:rsidRDefault="004B2387" w:rsidP="004B2387">
            <w:pPr>
              <w:widowControl/>
              <w:ind w:firstLine="0"/>
              <w:jc w:val="center"/>
              <w:rPr>
                <w:bCs/>
                <w:sz w:val="16"/>
                <w:szCs w:val="16"/>
                <w:lang w:eastAsia="uk-UA"/>
              </w:rPr>
            </w:pPr>
            <w:r w:rsidRPr="00242020">
              <w:rPr>
                <w:bCs/>
                <w:sz w:val="16"/>
                <w:szCs w:val="16"/>
                <w:lang w:eastAsia="uk-UA"/>
              </w:rPr>
              <w:t>А, Д, Ж</w:t>
            </w:r>
          </w:p>
        </w:tc>
        <w:tc>
          <w:tcPr>
            <w:tcW w:w="1568" w:type="dxa"/>
            <w:gridSpan w:val="2"/>
            <w:tcBorders>
              <w:top w:val="single" w:sz="8" w:space="0" w:color="auto"/>
              <w:left w:val="nil"/>
              <w:bottom w:val="single" w:sz="8" w:space="0" w:color="auto"/>
              <w:right w:val="single" w:sz="8" w:space="0" w:color="000000"/>
            </w:tcBorders>
            <w:shd w:val="clear" w:color="auto" w:fill="auto"/>
            <w:vAlign w:val="center"/>
            <w:hideMark/>
          </w:tcPr>
          <w:p w:rsidR="004B2387" w:rsidRPr="00242020" w:rsidRDefault="004B2387" w:rsidP="004B2387">
            <w:pPr>
              <w:widowControl/>
              <w:ind w:firstLine="0"/>
              <w:jc w:val="center"/>
              <w:rPr>
                <w:bCs/>
                <w:sz w:val="16"/>
                <w:szCs w:val="16"/>
                <w:lang w:eastAsia="uk-UA"/>
              </w:rPr>
            </w:pPr>
            <w:r w:rsidRPr="00242020">
              <w:rPr>
                <w:bCs/>
                <w:sz w:val="16"/>
                <w:szCs w:val="16"/>
                <w:lang w:eastAsia="uk-UA"/>
              </w:rPr>
              <w:t>у т.ч. А (</w:t>
            </w:r>
            <w:proofErr w:type="spellStart"/>
            <w:r w:rsidRPr="00242020">
              <w:rPr>
                <w:bCs/>
                <w:sz w:val="16"/>
                <w:szCs w:val="16"/>
                <w:lang w:eastAsia="uk-UA"/>
              </w:rPr>
              <w:t>ЄМК</w:t>
            </w:r>
            <w:proofErr w:type="spellEnd"/>
            <w:r w:rsidRPr="00242020">
              <w:rPr>
                <w:bCs/>
                <w:sz w:val="16"/>
                <w:szCs w:val="16"/>
                <w:lang w:eastAsia="uk-UA"/>
              </w:rPr>
              <w:t>)</w:t>
            </w:r>
          </w:p>
        </w:tc>
        <w:tc>
          <w:tcPr>
            <w:tcW w:w="1833" w:type="dxa"/>
            <w:gridSpan w:val="2"/>
            <w:tcBorders>
              <w:top w:val="single" w:sz="8" w:space="0" w:color="auto"/>
              <w:left w:val="nil"/>
              <w:bottom w:val="single" w:sz="8" w:space="0" w:color="auto"/>
              <w:right w:val="single" w:sz="8" w:space="0" w:color="000000"/>
            </w:tcBorders>
            <w:shd w:val="clear" w:color="auto" w:fill="auto"/>
            <w:vAlign w:val="center"/>
            <w:hideMark/>
          </w:tcPr>
          <w:p w:rsidR="004B2387" w:rsidRPr="00242020" w:rsidRDefault="004B2387" w:rsidP="004B2387">
            <w:pPr>
              <w:widowControl/>
              <w:ind w:firstLine="0"/>
              <w:jc w:val="center"/>
              <w:rPr>
                <w:bCs/>
                <w:sz w:val="16"/>
                <w:szCs w:val="16"/>
                <w:lang w:eastAsia="uk-UA"/>
              </w:rPr>
            </w:pPr>
            <w:r w:rsidRPr="00242020">
              <w:rPr>
                <w:bCs/>
                <w:sz w:val="16"/>
                <w:szCs w:val="16"/>
                <w:lang w:eastAsia="uk-UA"/>
              </w:rPr>
              <w:t>А, Д, Ж</w:t>
            </w:r>
          </w:p>
        </w:tc>
        <w:tc>
          <w:tcPr>
            <w:tcW w:w="1568" w:type="dxa"/>
            <w:gridSpan w:val="2"/>
            <w:tcBorders>
              <w:top w:val="single" w:sz="8" w:space="0" w:color="auto"/>
              <w:left w:val="nil"/>
              <w:bottom w:val="single" w:sz="8" w:space="0" w:color="auto"/>
              <w:right w:val="single" w:sz="8" w:space="0" w:color="000000"/>
            </w:tcBorders>
            <w:shd w:val="clear" w:color="auto" w:fill="auto"/>
            <w:vAlign w:val="center"/>
            <w:hideMark/>
          </w:tcPr>
          <w:p w:rsidR="004B2387" w:rsidRPr="00242020" w:rsidRDefault="004B2387" w:rsidP="004B2387">
            <w:pPr>
              <w:widowControl/>
              <w:ind w:firstLine="0"/>
              <w:jc w:val="center"/>
              <w:rPr>
                <w:bCs/>
                <w:sz w:val="16"/>
                <w:szCs w:val="16"/>
                <w:lang w:eastAsia="uk-UA"/>
              </w:rPr>
            </w:pPr>
            <w:r w:rsidRPr="00242020">
              <w:rPr>
                <w:bCs/>
                <w:sz w:val="16"/>
                <w:szCs w:val="16"/>
                <w:lang w:eastAsia="uk-UA"/>
              </w:rPr>
              <w:t>у т.ч. А (</w:t>
            </w:r>
            <w:proofErr w:type="spellStart"/>
            <w:r w:rsidRPr="00242020">
              <w:rPr>
                <w:bCs/>
                <w:sz w:val="16"/>
                <w:szCs w:val="16"/>
                <w:lang w:eastAsia="uk-UA"/>
              </w:rPr>
              <w:t>ЄМК</w:t>
            </w:r>
            <w:proofErr w:type="spellEnd"/>
            <w:r w:rsidRPr="00242020">
              <w:rPr>
                <w:bCs/>
                <w:sz w:val="16"/>
                <w:szCs w:val="16"/>
                <w:lang w:eastAsia="uk-UA"/>
              </w:rPr>
              <w:t>)</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rsidR="004B2387" w:rsidRPr="00242020" w:rsidRDefault="004B2387" w:rsidP="004B2387">
            <w:pPr>
              <w:widowControl/>
              <w:ind w:firstLine="0"/>
              <w:jc w:val="center"/>
              <w:rPr>
                <w:bCs/>
                <w:sz w:val="16"/>
                <w:szCs w:val="16"/>
                <w:lang w:eastAsia="uk-UA"/>
              </w:rPr>
            </w:pPr>
            <w:r w:rsidRPr="00242020">
              <w:rPr>
                <w:bCs/>
                <w:sz w:val="16"/>
                <w:szCs w:val="16"/>
                <w:lang w:eastAsia="uk-UA"/>
              </w:rPr>
              <w:t>А, Д, Ж</w:t>
            </w:r>
          </w:p>
        </w:tc>
        <w:tc>
          <w:tcPr>
            <w:tcW w:w="1657" w:type="dxa"/>
            <w:gridSpan w:val="2"/>
            <w:tcBorders>
              <w:top w:val="single" w:sz="8" w:space="0" w:color="auto"/>
              <w:left w:val="nil"/>
              <w:bottom w:val="single" w:sz="8" w:space="0" w:color="auto"/>
              <w:right w:val="single" w:sz="8" w:space="0" w:color="000000"/>
            </w:tcBorders>
            <w:shd w:val="clear" w:color="auto" w:fill="auto"/>
            <w:vAlign w:val="center"/>
            <w:hideMark/>
          </w:tcPr>
          <w:p w:rsidR="004B2387" w:rsidRPr="00242020" w:rsidRDefault="004B2387" w:rsidP="004B2387">
            <w:pPr>
              <w:widowControl/>
              <w:ind w:firstLine="0"/>
              <w:jc w:val="center"/>
              <w:rPr>
                <w:bCs/>
                <w:sz w:val="16"/>
                <w:szCs w:val="16"/>
                <w:lang w:eastAsia="uk-UA"/>
              </w:rPr>
            </w:pPr>
            <w:r w:rsidRPr="00242020">
              <w:rPr>
                <w:bCs/>
                <w:sz w:val="16"/>
                <w:szCs w:val="16"/>
                <w:lang w:eastAsia="uk-UA"/>
              </w:rPr>
              <w:t>у т.ч. А (</w:t>
            </w:r>
            <w:proofErr w:type="spellStart"/>
            <w:r w:rsidRPr="00242020">
              <w:rPr>
                <w:bCs/>
                <w:sz w:val="16"/>
                <w:szCs w:val="16"/>
                <w:lang w:eastAsia="uk-UA"/>
              </w:rPr>
              <w:t>ЄМК</w:t>
            </w:r>
            <w:proofErr w:type="spellEnd"/>
            <w:r w:rsidRPr="00242020">
              <w:rPr>
                <w:bCs/>
                <w:sz w:val="16"/>
                <w:szCs w:val="16"/>
                <w:lang w:eastAsia="uk-UA"/>
              </w:rPr>
              <w:t>)</w:t>
            </w:r>
          </w:p>
        </w:tc>
        <w:tc>
          <w:tcPr>
            <w:tcW w:w="1492" w:type="dxa"/>
            <w:gridSpan w:val="2"/>
            <w:tcBorders>
              <w:top w:val="single" w:sz="8" w:space="0" w:color="auto"/>
              <w:left w:val="nil"/>
              <w:bottom w:val="single" w:sz="8" w:space="0" w:color="auto"/>
              <w:right w:val="single" w:sz="8" w:space="0" w:color="000000"/>
            </w:tcBorders>
            <w:shd w:val="clear" w:color="auto" w:fill="auto"/>
            <w:vAlign w:val="center"/>
            <w:hideMark/>
          </w:tcPr>
          <w:p w:rsidR="004B2387" w:rsidRPr="00242020" w:rsidRDefault="004B2387" w:rsidP="004B2387">
            <w:pPr>
              <w:widowControl/>
              <w:ind w:firstLine="0"/>
              <w:jc w:val="center"/>
              <w:rPr>
                <w:bCs/>
                <w:sz w:val="16"/>
                <w:szCs w:val="16"/>
                <w:lang w:eastAsia="uk-UA"/>
              </w:rPr>
            </w:pPr>
            <w:r w:rsidRPr="00242020">
              <w:rPr>
                <w:bCs/>
                <w:sz w:val="16"/>
                <w:szCs w:val="16"/>
                <w:lang w:eastAsia="uk-UA"/>
              </w:rPr>
              <w:t>А, Д, Ж</w:t>
            </w:r>
          </w:p>
        </w:tc>
        <w:tc>
          <w:tcPr>
            <w:tcW w:w="1470" w:type="dxa"/>
            <w:gridSpan w:val="2"/>
            <w:tcBorders>
              <w:top w:val="single" w:sz="8" w:space="0" w:color="auto"/>
              <w:left w:val="nil"/>
              <w:bottom w:val="single" w:sz="8" w:space="0" w:color="auto"/>
              <w:right w:val="single" w:sz="8" w:space="0" w:color="000000"/>
            </w:tcBorders>
            <w:shd w:val="clear" w:color="auto" w:fill="auto"/>
            <w:vAlign w:val="center"/>
            <w:hideMark/>
          </w:tcPr>
          <w:p w:rsidR="004B2387" w:rsidRPr="00242020" w:rsidRDefault="004B2387" w:rsidP="004B2387">
            <w:pPr>
              <w:widowControl/>
              <w:ind w:firstLine="0"/>
              <w:jc w:val="center"/>
              <w:rPr>
                <w:bCs/>
                <w:sz w:val="16"/>
                <w:szCs w:val="16"/>
                <w:lang w:eastAsia="uk-UA"/>
              </w:rPr>
            </w:pPr>
            <w:r w:rsidRPr="00242020">
              <w:rPr>
                <w:bCs/>
                <w:sz w:val="16"/>
                <w:szCs w:val="16"/>
                <w:lang w:eastAsia="uk-UA"/>
              </w:rPr>
              <w:t>у т.ч. А (</w:t>
            </w:r>
            <w:proofErr w:type="spellStart"/>
            <w:r w:rsidRPr="00242020">
              <w:rPr>
                <w:bCs/>
                <w:sz w:val="16"/>
                <w:szCs w:val="16"/>
                <w:lang w:eastAsia="uk-UA"/>
              </w:rPr>
              <w:t>ЄМК</w:t>
            </w:r>
            <w:proofErr w:type="spellEnd"/>
            <w:r w:rsidRPr="00242020">
              <w:rPr>
                <w:bCs/>
                <w:sz w:val="16"/>
                <w:szCs w:val="16"/>
                <w:lang w:eastAsia="uk-UA"/>
              </w:rPr>
              <w:t>)</w:t>
            </w:r>
          </w:p>
        </w:tc>
      </w:tr>
      <w:tr w:rsidR="004B2387" w:rsidRPr="00242020" w:rsidTr="004B2387">
        <w:trPr>
          <w:trHeight w:val="975"/>
        </w:trPr>
        <w:tc>
          <w:tcPr>
            <w:tcW w:w="2000" w:type="dxa"/>
            <w:vMerge/>
            <w:tcBorders>
              <w:top w:val="single" w:sz="8" w:space="0" w:color="auto"/>
              <w:left w:val="single" w:sz="8" w:space="0" w:color="auto"/>
              <w:bottom w:val="single" w:sz="8" w:space="0" w:color="000000" w:themeColor="text1"/>
              <w:right w:val="single" w:sz="8" w:space="0" w:color="auto"/>
            </w:tcBorders>
            <w:vAlign w:val="center"/>
            <w:hideMark/>
          </w:tcPr>
          <w:p w:rsidR="004B2387" w:rsidRPr="00242020" w:rsidRDefault="004B2387" w:rsidP="004B2387">
            <w:pPr>
              <w:widowControl/>
              <w:ind w:firstLine="0"/>
              <w:rPr>
                <w:rFonts w:ascii="Times New Roman Cyr" w:hAnsi="Times New Roman Cyr"/>
                <w:bCs/>
                <w:sz w:val="21"/>
                <w:szCs w:val="21"/>
                <w:lang w:eastAsia="uk-UA"/>
              </w:rPr>
            </w:pPr>
          </w:p>
        </w:tc>
        <w:tc>
          <w:tcPr>
            <w:tcW w:w="724" w:type="dxa"/>
            <w:tcBorders>
              <w:top w:val="nil"/>
              <w:left w:val="nil"/>
              <w:bottom w:val="single" w:sz="8" w:space="0" w:color="000000" w:themeColor="text1"/>
              <w:right w:val="nil"/>
            </w:tcBorders>
            <w:shd w:val="clear" w:color="auto" w:fill="auto"/>
            <w:vAlign w:val="center"/>
            <w:hideMark/>
          </w:tcPr>
          <w:p w:rsidR="004B2387" w:rsidRPr="00242020" w:rsidRDefault="004B2387" w:rsidP="004B2387">
            <w:pPr>
              <w:widowControl/>
              <w:ind w:left="-94" w:right="-81" w:firstLine="0"/>
              <w:jc w:val="center"/>
              <w:rPr>
                <w:bCs/>
                <w:sz w:val="16"/>
                <w:szCs w:val="16"/>
                <w:lang w:eastAsia="uk-UA"/>
              </w:rPr>
            </w:pPr>
            <w:r w:rsidRPr="00242020">
              <w:rPr>
                <w:bCs/>
                <w:sz w:val="16"/>
                <w:szCs w:val="16"/>
                <w:lang w:eastAsia="uk-UA"/>
              </w:rPr>
              <w:t>Усього</w:t>
            </w:r>
          </w:p>
        </w:tc>
        <w:tc>
          <w:tcPr>
            <w:tcW w:w="893" w:type="dxa"/>
            <w:tcBorders>
              <w:top w:val="nil"/>
              <w:left w:val="single" w:sz="8" w:space="0" w:color="auto"/>
              <w:bottom w:val="single" w:sz="8" w:space="0" w:color="000000" w:themeColor="text1"/>
              <w:right w:val="nil"/>
            </w:tcBorders>
            <w:shd w:val="clear" w:color="auto" w:fill="auto"/>
            <w:vAlign w:val="center"/>
            <w:hideMark/>
          </w:tcPr>
          <w:p w:rsidR="004B2387" w:rsidRPr="00242020" w:rsidRDefault="004B2387" w:rsidP="004B2387">
            <w:pPr>
              <w:widowControl/>
              <w:ind w:left="-94" w:right="-81" w:firstLine="0"/>
              <w:jc w:val="center"/>
              <w:rPr>
                <w:bCs/>
                <w:sz w:val="16"/>
                <w:szCs w:val="16"/>
                <w:lang w:eastAsia="uk-UA"/>
              </w:rPr>
            </w:pPr>
            <w:r w:rsidRPr="00242020">
              <w:rPr>
                <w:bCs/>
                <w:sz w:val="16"/>
                <w:szCs w:val="16"/>
                <w:lang w:eastAsia="uk-UA"/>
              </w:rPr>
              <w:t>у т.ч. разом із земельними ділянками</w:t>
            </w:r>
          </w:p>
        </w:tc>
        <w:tc>
          <w:tcPr>
            <w:tcW w:w="650" w:type="dxa"/>
            <w:tcBorders>
              <w:top w:val="nil"/>
              <w:left w:val="single" w:sz="8" w:space="0" w:color="auto"/>
              <w:bottom w:val="single" w:sz="8" w:space="0" w:color="000000" w:themeColor="text1"/>
              <w:right w:val="nil"/>
            </w:tcBorders>
            <w:shd w:val="clear" w:color="auto" w:fill="auto"/>
            <w:vAlign w:val="center"/>
            <w:hideMark/>
          </w:tcPr>
          <w:p w:rsidR="004B2387" w:rsidRPr="00242020" w:rsidRDefault="004B2387" w:rsidP="004B2387">
            <w:pPr>
              <w:widowControl/>
              <w:ind w:left="-94" w:right="-81" w:firstLine="0"/>
              <w:jc w:val="center"/>
              <w:rPr>
                <w:bCs/>
                <w:sz w:val="16"/>
                <w:szCs w:val="16"/>
                <w:lang w:eastAsia="uk-UA"/>
              </w:rPr>
            </w:pPr>
            <w:r w:rsidRPr="00242020">
              <w:rPr>
                <w:bCs/>
                <w:sz w:val="16"/>
                <w:szCs w:val="16"/>
                <w:lang w:eastAsia="uk-UA"/>
              </w:rPr>
              <w:t>Усього</w:t>
            </w:r>
          </w:p>
        </w:tc>
        <w:tc>
          <w:tcPr>
            <w:tcW w:w="918" w:type="dxa"/>
            <w:tcBorders>
              <w:top w:val="nil"/>
              <w:left w:val="single" w:sz="8" w:space="0" w:color="auto"/>
              <w:bottom w:val="single" w:sz="8" w:space="0" w:color="000000" w:themeColor="text1"/>
              <w:right w:val="nil"/>
            </w:tcBorders>
            <w:shd w:val="clear" w:color="auto" w:fill="auto"/>
            <w:vAlign w:val="center"/>
            <w:hideMark/>
          </w:tcPr>
          <w:p w:rsidR="004B2387" w:rsidRPr="00242020" w:rsidRDefault="004B2387" w:rsidP="004B2387">
            <w:pPr>
              <w:widowControl/>
              <w:ind w:left="-94" w:right="-81" w:firstLine="0"/>
              <w:jc w:val="center"/>
              <w:rPr>
                <w:bCs/>
                <w:sz w:val="16"/>
                <w:szCs w:val="16"/>
                <w:lang w:eastAsia="uk-UA"/>
              </w:rPr>
            </w:pPr>
            <w:r w:rsidRPr="00242020">
              <w:rPr>
                <w:bCs/>
                <w:sz w:val="16"/>
                <w:szCs w:val="16"/>
                <w:lang w:eastAsia="uk-UA"/>
              </w:rPr>
              <w:t>у т.ч. разом із земельними ділянками</w:t>
            </w:r>
          </w:p>
        </w:tc>
        <w:tc>
          <w:tcPr>
            <w:tcW w:w="937" w:type="dxa"/>
            <w:tcBorders>
              <w:top w:val="nil"/>
              <w:left w:val="single" w:sz="8" w:space="0" w:color="auto"/>
              <w:bottom w:val="single" w:sz="8" w:space="0" w:color="000000" w:themeColor="text1"/>
              <w:right w:val="nil"/>
            </w:tcBorders>
            <w:shd w:val="clear" w:color="auto" w:fill="auto"/>
            <w:vAlign w:val="center"/>
            <w:hideMark/>
          </w:tcPr>
          <w:p w:rsidR="004B2387" w:rsidRPr="00242020" w:rsidRDefault="004B2387" w:rsidP="004B2387">
            <w:pPr>
              <w:widowControl/>
              <w:ind w:left="-67" w:right="-102" w:firstLine="0"/>
              <w:jc w:val="center"/>
              <w:rPr>
                <w:bCs/>
                <w:sz w:val="16"/>
                <w:szCs w:val="16"/>
                <w:lang w:eastAsia="uk-UA"/>
              </w:rPr>
            </w:pPr>
            <w:r w:rsidRPr="00242020">
              <w:rPr>
                <w:bCs/>
                <w:sz w:val="16"/>
                <w:szCs w:val="16"/>
                <w:lang w:eastAsia="uk-UA"/>
              </w:rPr>
              <w:t>Усього</w:t>
            </w:r>
          </w:p>
        </w:tc>
        <w:tc>
          <w:tcPr>
            <w:tcW w:w="896" w:type="dxa"/>
            <w:tcBorders>
              <w:top w:val="nil"/>
              <w:left w:val="single" w:sz="8" w:space="0" w:color="auto"/>
              <w:bottom w:val="single" w:sz="8" w:space="0" w:color="000000" w:themeColor="text1"/>
              <w:right w:val="nil"/>
            </w:tcBorders>
            <w:shd w:val="clear" w:color="auto" w:fill="auto"/>
            <w:vAlign w:val="center"/>
            <w:hideMark/>
          </w:tcPr>
          <w:p w:rsidR="004B2387" w:rsidRPr="00242020" w:rsidRDefault="004B2387" w:rsidP="004B2387">
            <w:pPr>
              <w:widowControl/>
              <w:ind w:left="-67" w:right="-102" w:firstLine="0"/>
              <w:jc w:val="center"/>
              <w:rPr>
                <w:bCs/>
                <w:sz w:val="16"/>
                <w:szCs w:val="16"/>
                <w:lang w:eastAsia="uk-UA"/>
              </w:rPr>
            </w:pPr>
            <w:r w:rsidRPr="00242020">
              <w:rPr>
                <w:bCs/>
                <w:sz w:val="16"/>
                <w:szCs w:val="16"/>
                <w:lang w:eastAsia="uk-UA"/>
              </w:rPr>
              <w:t>від продажу земельних ділянок</w:t>
            </w:r>
          </w:p>
        </w:tc>
        <w:tc>
          <w:tcPr>
            <w:tcW w:w="798" w:type="dxa"/>
            <w:tcBorders>
              <w:top w:val="nil"/>
              <w:left w:val="single" w:sz="8" w:space="0" w:color="auto"/>
              <w:bottom w:val="single" w:sz="8" w:space="0" w:color="000000" w:themeColor="text1"/>
              <w:right w:val="nil"/>
            </w:tcBorders>
            <w:shd w:val="clear" w:color="auto" w:fill="auto"/>
            <w:vAlign w:val="center"/>
            <w:hideMark/>
          </w:tcPr>
          <w:p w:rsidR="004B2387" w:rsidRPr="00242020" w:rsidRDefault="004B2387" w:rsidP="004B2387">
            <w:pPr>
              <w:widowControl/>
              <w:ind w:left="-67" w:right="-102" w:firstLine="0"/>
              <w:jc w:val="center"/>
              <w:rPr>
                <w:bCs/>
                <w:sz w:val="16"/>
                <w:szCs w:val="16"/>
                <w:lang w:eastAsia="uk-UA"/>
              </w:rPr>
            </w:pPr>
            <w:r w:rsidRPr="00242020">
              <w:rPr>
                <w:bCs/>
                <w:sz w:val="16"/>
                <w:szCs w:val="16"/>
                <w:lang w:eastAsia="uk-UA"/>
              </w:rPr>
              <w:t>Усього</w:t>
            </w:r>
          </w:p>
        </w:tc>
        <w:tc>
          <w:tcPr>
            <w:tcW w:w="770" w:type="dxa"/>
            <w:tcBorders>
              <w:top w:val="nil"/>
              <w:left w:val="single" w:sz="8" w:space="0" w:color="auto"/>
              <w:bottom w:val="single" w:sz="8" w:space="0" w:color="000000" w:themeColor="text1"/>
              <w:right w:val="nil"/>
            </w:tcBorders>
            <w:shd w:val="clear" w:color="auto" w:fill="auto"/>
            <w:vAlign w:val="center"/>
            <w:hideMark/>
          </w:tcPr>
          <w:p w:rsidR="004B2387" w:rsidRPr="00242020" w:rsidRDefault="004B2387" w:rsidP="004B2387">
            <w:pPr>
              <w:widowControl/>
              <w:ind w:left="-67" w:right="-102" w:firstLine="0"/>
              <w:jc w:val="center"/>
              <w:rPr>
                <w:bCs/>
                <w:sz w:val="16"/>
                <w:szCs w:val="16"/>
                <w:lang w:eastAsia="uk-UA"/>
              </w:rPr>
            </w:pPr>
            <w:r w:rsidRPr="00242020">
              <w:rPr>
                <w:bCs/>
                <w:sz w:val="16"/>
                <w:szCs w:val="16"/>
                <w:lang w:eastAsia="uk-UA"/>
              </w:rPr>
              <w:t>від продажу земельних ділянок</w:t>
            </w:r>
          </w:p>
        </w:tc>
        <w:tc>
          <w:tcPr>
            <w:tcW w:w="896" w:type="dxa"/>
            <w:tcBorders>
              <w:top w:val="nil"/>
              <w:left w:val="single" w:sz="8" w:space="0" w:color="auto"/>
              <w:bottom w:val="single" w:sz="8" w:space="0" w:color="000000" w:themeColor="text1"/>
              <w:right w:val="nil"/>
            </w:tcBorders>
            <w:shd w:val="clear" w:color="auto" w:fill="auto"/>
            <w:vAlign w:val="center"/>
            <w:hideMark/>
          </w:tcPr>
          <w:p w:rsidR="004B2387" w:rsidRPr="00242020" w:rsidRDefault="004B2387" w:rsidP="004B2387">
            <w:pPr>
              <w:widowControl/>
              <w:ind w:left="-67" w:right="-102" w:firstLine="0"/>
              <w:jc w:val="center"/>
              <w:rPr>
                <w:bCs/>
                <w:sz w:val="16"/>
                <w:szCs w:val="16"/>
                <w:lang w:eastAsia="uk-UA"/>
              </w:rPr>
            </w:pPr>
            <w:r w:rsidRPr="00242020">
              <w:rPr>
                <w:bCs/>
                <w:sz w:val="16"/>
                <w:szCs w:val="16"/>
                <w:lang w:eastAsia="uk-UA"/>
              </w:rPr>
              <w:t>Усього</w:t>
            </w:r>
          </w:p>
        </w:tc>
        <w:tc>
          <w:tcPr>
            <w:tcW w:w="784" w:type="dxa"/>
            <w:tcBorders>
              <w:top w:val="nil"/>
              <w:left w:val="single" w:sz="8" w:space="0" w:color="auto"/>
              <w:bottom w:val="single" w:sz="8" w:space="0" w:color="000000" w:themeColor="text1"/>
              <w:right w:val="nil"/>
            </w:tcBorders>
            <w:shd w:val="clear" w:color="auto" w:fill="auto"/>
            <w:vAlign w:val="center"/>
            <w:hideMark/>
          </w:tcPr>
          <w:p w:rsidR="004B2387" w:rsidRPr="00242020" w:rsidRDefault="004B2387" w:rsidP="004B2387">
            <w:pPr>
              <w:widowControl/>
              <w:ind w:left="-67" w:right="-102" w:firstLine="0"/>
              <w:jc w:val="center"/>
              <w:rPr>
                <w:bCs/>
                <w:sz w:val="16"/>
                <w:szCs w:val="16"/>
                <w:lang w:eastAsia="uk-UA"/>
              </w:rPr>
            </w:pPr>
            <w:r w:rsidRPr="00242020">
              <w:rPr>
                <w:bCs/>
                <w:sz w:val="16"/>
                <w:szCs w:val="16"/>
                <w:lang w:eastAsia="uk-UA"/>
              </w:rPr>
              <w:t>від продажу земельних ділянок</w:t>
            </w:r>
          </w:p>
        </w:tc>
        <w:tc>
          <w:tcPr>
            <w:tcW w:w="868" w:type="dxa"/>
            <w:tcBorders>
              <w:top w:val="nil"/>
              <w:left w:val="single" w:sz="8" w:space="0" w:color="auto"/>
              <w:bottom w:val="single" w:sz="8" w:space="0" w:color="000000" w:themeColor="text1"/>
              <w:right w:val="nil"/>
            </w:tcBorders>
            <w:shd w:val="clear" w:color="auto" w:fill="auto"/>
            <w:vAlign w:val="center"/>
            <w:hideMark/>
          </w:tcPr>
          <w:p w:rsidR="004B2387" w:rsidRPr="00242020" w:rsidRDefault="004B2387" w:rsidP="004B2387">
            <w:pPr>
              <w:widowControl/>
              <w:ind w:left="-67" w:right="-102" w:firstLine="0"/>
              <w:jc w:val="center"/>
              <w:rPr>
                <w:bCs/>
                <w:sz w:val="16"/>
                <w:szCs w:val="16"/>
                <w:lang w:eastAsia="uk-UA"/>
              </w:rPr>
            </w:pPr>
            <w:r w:rsidRPr="00242020">
              <w:rPr>
                <w:bCs/>
                <w:sz w:val="16"/>
                <w:szCs w:val="16"/>
                <w:lang w:eastAsia="uk-UA"/>
              </w:rPr>
              <w:t>Усього</w:t>
            </w:r>
          </w:p>
        </w:tc>
        <w:tc>
          <w:tcPr>
            <w:tcW w:w="789" w:type="dxa"/>
            <w:tcBorders>
              <w:top w:val="nil"/>
              <w:left w:val="single" w:sz="8" w:space="0" w:color="auto"/>
              <w:bottom w:val="single" w:sz="8" w:space="0" w:color="000000" w:themeColor="text1"/>
              <w:right w:val="nil"/>
            </w:tcBorders>
            <w:shd w:val="clear" w:color="auto" w:fill="auto"/>
            <w:vAlign w:val="center"/>
            <w:hideMark/>
          </w:tcPr>
          <w:p w:rsidR="004B2387" w:rsidRPr="00242020" w:rsidRDefault="004B2387" w:rsidP="004B2387">
            <w:pPr>
              <w:widowControl/>
              <w:ind w:left="-67" w:right="-102" w:firstLine="0"/>
              <w:jc w:val="center"/>
              <w:rPr>
                <w:bCs/>
                <w:sz w:val="16"/>
                <w:szCs w:val="16"/>
                <w:lang w:eastAsia="uk-UA"/>
              </w:rPr>
            </w:pPr>
            <w:r w:rsidRPr="00242020">
              <w:rPr>
                <w:bCs/>
                <w:sz w:val="16"/>
                <w:szCs w:val="16"/>
                <w:lang w:eastAsia="uk-UA"/>
              </w:rPr>
              <w:t>від продажу земельних ділянок</w:t>
            </w:r>
          </w:p>
        </w:tc>
        <w:tc>
          <w:tcPr>
            <w:tcW w:w="709" w:type="dxa"/>
            <w:tcBorders>
              <w:top w:val="nil"/>
              <w:left w:val="single" w:sz="8" w:space="0" w:color="auto"/>
              <w:bottom w:val="single" w:sz="8" w:space="0" w:color="000000" w:themeColor="text1"/>
              <w:right w:val="nil"/>
            </w:tcBorders>
            <w:shd w:val="clear" w:color="auto" w:fill="auto"/>
            <w:vAlign w:val="center"/>
            <w:hideMark/>
          </w:tcPr>
          <w:p w:rsidR="004B2387" w:rsidRPr="00242020" w:rsidRDefault="004B2387" w:rsidP="004B2387">
            <w:pPr>
              <w:widowControl/>
              <w:ind w:left="-67" w:right="-102" w:firstLine="0"/>
              <w:jc w:val="center"/>
              <w:rPr>
                <w:bCs/>
                <w:sz w:val="16"/>
                <w:szCs w:val="16"/>
                <w:lang w:eastAsia="uk-UA"/>
              </w:rPr>
            </w:pPr>
            <w:r w:rsidRPr="00242020">
              <w:rPr>
                <w:bCs/>
                <w:sz w:val="16"/>
                <w:szCs w:val="16"/>
                <w:lang w:eastAsia="uk-UA"/>
              </w:rPr>
              <w:t>Усього</w:t>
            </w:r>
          </w:p>
        </w:tc>
        <w:tc>
          <w:tcPr>
            <w:tcW w:w="783" w:type="dxa"/>
            <w:tcBorders>
              <w:top w:val="nil"/>
              <w:left w:val="single" w:sz="8" w:space="0" w:color="auto"/>
              <w:bottom w:val="single" w:sz="8" w:space="0" w:color="000000" w:themeColor="text1"/>
              <w:right w:val="nil"/>
            </w:tcBorders>
            <w:shd w:val="clear" w:color="auto" w:fill="auto"/>
            <w:vAlign w:val="center"/>
            <w:hideMark/>
          </w:tcPr>
          <w:p w:rsidR="004B2387" w:rsidRPr="00242020" w:rsidRDefault="004B2387" w:rsidP="004B2387">
            <w:pPr>
              <w:widowControl/>
              <w:ind w:left="-67" w:right="-102" w:firstLine="0"/>
              <w:jc w:val="center"/>
              <w:rPr>
                <w:bCs/>
                <w:sz w:val="16"/>
                <w:szCs w:val="16"/>
                <w:lang w:eastAsia="uk-UA"/>
              </w:rPr>
            </w:pPr>
            <w:r w:rsidRPr="00242020">
              <w:rPr>
                <w:bCs/>
                <w:sz w:val="16"/>
                <w:szCs w:val="16"/>
                <w:lang w:eastAsia="uk-UA"/>
              </w:rPr>
              <w:t>від продажу земельних ділянок</w:t>
            </w:r>
          </w:p>
        </w:tc>
        <w:tc>
          <w:tcPr>
            <w:tcW w:w="700" w:type="dxa"/>
            <w:tcBorders>
              <w:top w:val="nil"/>
              <w:left w:val="single" w:sz="8" w:space="0" w:color="auto"/>
              <w:bottom w:val="single" w:sz="8" w:space="0" w:color="000000" w:themeColor="text1"/>
              <w:right w:val="nil"/>
            </w:tcBorders>
            <w:shd w:val="clear" w:color="auto" w:fill="auto"/>
            <w:vAlign w:val="center"/>
            <w:hideMark/>
          </w:tcPr>
          <w:p w:rsidR="004B2387" w:rsidRPr="00242020" w:rsidRDefault="004B2387" w:rsidP="004B2387">
            <w:pPr>
              <w:widowControl/>
              <w:ind w:left="-67" w:right="-102" w:firstLine="0"/>
              <w:jc w:val="center"/>
              <w:rPr>
                <w:bCs/>
                <w:sz w:val="16"/>
                <w:szCs w:val="16"/>
                <w:lang w:eastAsia="uk-UA"/>
              </w:rPr>
            </w:pPr>
            <w:r w:rsidRPr="00242020">
              <w:rPr>
                <w:bCs/>
                <w:sz w:val="16"/>
                <w:szCs w:val="16"/>
                <w:lang w:eastAsia="uk-UA"/>
              </w:rPr>
              <w:t>Усього</w:t>
            </w:r>
          </w:p>
        </w:tc>
        <w:tc>
          <w:tcPr>
            <w:tcW w:w="770" w:type="dxa"/>
            <w:tcBorders>
              <w:top w:val="nil"/>
              <w:left w:val="single" w:sz="8" w:space="0" w:color="auto"/>
              <w:bottom w:val="single" w:sz="8" w:space="0" w:color="000000" w:themeColor="text1"/>
              <w:right w:val="single" w:sz="8" w:space="0" w:color="auto"/>
            </w:tcBorders>
            <w:shd w:val="clear" w:color="auto" w:fill="auto"/>
            <w:vAlign w:val="center"/>
            <w:hideMark/>
          </w:tcPr>
          <w:p w:rsidR="004B2387" w:rsidRPr="00242020" w:rsidRDefault="004B2387" w:rsidP="004B2387">
            <w:pPr>
              <w:widowControl/>
              <w:ind w:left="-67" w:right="-102" w:firstLine="0"/>
              <w:jc w:val="center"/>
              <w:rPr>
                <w:bCs/>
                <w:sz w:val="16"/>
                <w:szCs w:val="16"/>
                <w:lang w:eastAsia="uk-UA"/>
              </w:rPr>
            </w:pPr>
            <w:r w:rsidRPr="00242020">
              <w:rPr>
                <w:bCs/>
                <w:sz w:val="16"/>
                <w:szCs w:val="16"/>
                <w:lang w:eastAsia="uk-UA"/>
              </w:rPr>
              <w:t>від продажу земельних ділянок</w:t>
            </w:r>
          </w:p>
        </w:tc>
      </w:tr>
      <w:tr w:rsidR="004B2387" w:rsidRPr="00242020" w:rsidTr="004B2387">
        <w:trPr>
          <w:trHeight w:val="112"/>
        </w:trPr>
        <w:tc>
          <w:tcPr>
            <w:tcW w:w="2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vAlign w:val="center"/>
            <w:hideMark/>
          </w:tcPr>
          <w:p w:rsidR="004B2387" w:rsidRPr="00242020" w:rsidRDefault="004B2387" w:rsidP="004B2387">
            <w:pPr>
              <w:widowControl/>
              <w:ind w:firstLine="0"/>
              <w:jc w:val="center"/>
              <w:rPr>
                <w:rFonts w:ascii="Times New Roman Cyr" w:hAnsi="Times New Roman Cyr"/>
                <w:b/>
                <w:bCs/>
                <w:sz w:val="16"/>
                <w:szCs w:val="16"/>
                <w:lang w:eastAsia="uk-UA"/>
              </w:rPr>
            </w:pPr>
            <w:r w:rsidRPr="00242020">
              <w:rPr>
                <w:rFonts w:ascii="Times New Roman Cyr" w:hAnsi="Times New Roman Cyr"/>
                <w:b/>
                <w:bCs/>
                <w:sz w:val="16"/>
                <w:szCs w:val="16"/>
                <w:lang w:eastAsia="uk-UA"/>
              </w:rPr>
              <w:t>1</w:t>
            </w:r>
          </w:p>
        </w:tc>
        <w:tc>
          <w:tcPr>
            <w:tcW w:w="7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vAlign w:val="center"/>
            <w:hideMark/>
          </w:tcPr>
          <w:p w:rsidR="004B2387" w:rsidRPr="00242020" w:rsidRDefault="004B2387" w:rsidP="004B2387">
            <w:pPr>
              <w:widowControl/>
              <w:ind w:firstLine="0"/>
              <w:jc w:val="center"/>
              <w:rPr>
                <w:rFonts w:ascii="Times New Roman Cyr" w:hAnsi="Times New Roman Cyr"/>
                <w:b/>
                <w:sz w:val="16"/>
                <w:szCs w:val="16"/>
                <w:lang w:eastAsia="uk-UA"/>
              </w:rPr>
            </w:pPr>
            <w:r w:rsidRPr="00242020">
              <w:rPr>
                <w:rFonts w:ascii="Times New Roman Cyr" w:hAnsi="Times New Roman Cyr"/>
                <w:b/>
                <w:sz w:val="16"/>
                <w:szCs w:val="16"/>
                <w:lang w:eastAsia="uk-UA"/>
              </w:rPr>
              <w:t>2</w:t>
            </w:r>
          </w:p>
        </w:tc>
        <w:tc>
          <w:tcPr>
            <w:tcW w:w="8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vAlign w:val="center"/>
            <w:hideMark/>
          </w:tcPr>
          <w:p w:rsidR="004B2387" w:rsidRPr="00242020" w:rsidRDefault="004B2387" w:rsidP="004B2387">
            <w:pPr>
              <w:widowControl/>
              <w:ind w:firstLine="0"/>
              <w:jc w:val="center"/>
              <w:rPr>
                <w:rFonts w:ascii="Times New Roman Cyr" w:hAnsi="Times New Roman Cyr"/>
                <w:b/>
                <w:sz w:val="16"/>
                <w:szCs w:val="16"/>
                <w:lang w:eastAsia="uk-UA"/>
              </w:rPr>
            </w:pPr>
            <w:r w:rsidRPr="00242020">
              <w:rPr>
                <w:rFonts w:ascii="Times New Roman Cyr" w:hAnsi="Times New Roman Cyr"/>
                <w:b/>
                <w:sz w:val="16"/>
                <w:szCs w:val="16"/>
                <w:lang w:eastAsia="uk-UA"/>
              </w:rPr>
              <w:t>3</w:t>
            </w:r>
          </w:p>
        </w:tc>
        <w:tc>
          <w:tcPr>
            <w:tcW w:w="6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vAlign w:val="center"/>
            <w:hideMark/>
          </w:tcPr>
          <w:p w:rsidR="004B2387" w:rsidRPr="00242020" w:rsidRDefault="004B2387" w:rsidP="004B2387">
            <w:pPr>
              <w:widowControl/>
              <w:ind w:firstLine="0"/>
              <w:jc w:val="center"/>
              <w:rPr>
                <w:rFonts w:ascii="Times New Roman Cyr" w:hAnsi="Times New Roman Cyr"/>
                <w:b/>
                <w:bCs/>
                <w:sz w:val="16"/>
                <w:szCs w:val="16"/>
                <w:lang w:eastAsia="uk-UA"/>
              </w:rPr>
            </w:pPr>
            <w:r w:rsidRPr="00242020">
              <w:rPr>
                <w:rFonts w:ascii="Times New Roman Cyr" w:hAnsi="Times New Roman Cyr"/>
                <w:b/>
                <w:bCs/>
                <w:sz w:val="16"/>
                <w:szCs w:val="16"/>
                <w:lang w:eastAsia="uk-UA"/>
              </w:rPr>
              <w:t>4</w:t>
            </w: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vAlign w:val="center"/>
            <w:hideMark/>
          </w:tcPr>
          <w:p w:rsidR="004B2387" w:rsidRPr="00242020" w:rsidRDefault="004B2387" w:rsidP="004B2387">
            <w:pPr>
              <w:widowControl/>
              <w:ind w:firstLine="0"/>
              <w:jc w:val="center"/>
              <w:rPr>
                <w:rFonts w:ascii="Times New Roman Cyr" w:hAnsi="Times New Roman Cyr"/>
                <w:b/>
                <w:bCs/>
                <w:sz w:val="16"/>
                <w:szCs w:val="16"/>
                <w:lang w:eastAsia="uk-UA"/>
              </w:rPr>
            </w:pPr>
            <w:r w:rsidRPr="00242020">
              <w:rPr>
                <w:rFonts w:ascii="Times New Roman Cyr" w:hAnsi="Times New Roman Cyr"/>
                <w:b/>
                <w:bCs/>
                <w:sz w:val="16"/>
                <w:szCs w:val="16"/>
                <w:lang w:eastAsia="uk-UA"/>
              </w:rPr>
              <w:t>5</w:t>
            </w:r>
          </w:p>
        </w:tc>
        <w:tc>
          <w:tcPr>
            <w:tcW w:w="9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noWrap/>
            <w:vAlign w:val="center"/>
            <w:hideMark/>
          </w:tcPr>
          <w:p w:rsidR="004B2387" w:rsidRPr="00242020" w:rsidRDefault="004B2387" w:rsidP="004B2387">
            <w:pPr>
              <w:widowControl/>
              <w:ind w:firstLine="0"/>
              <w:jc w:val="center"/>
              <w:rPr>
                <w:b/>
                <w:sz w:val="16"/>
                <w:szCs w:val="16"/>
                <w:lang w:eastAsia="uk-UA"/>
              </w:rPr>
            </w:pPr>
            <w:r w:rsidRPr="00242020">
              <w:rPr>
                <w:b/>
                <w:sz w:val="16"/>
                <w:szCs w:val="16"/>
                <w:lang w:eastAsia="uk-UA"/>
              </w:rPr>
              <w:t>6</w:t>
            </w:r>
          </w:p>
        </w:tc>
        <w:tc>
          <w:tcPr>
            <w:tcW w:w="8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noWrap/>
            <w:vAlign w:val="center"/>
            <w:hideMark/>
          </w:tcPr>
          <w:p w:rsidR="004B2387" w:rsidRPr="00242020" w:rsidRDefault="004B2387" w:rsidP="004B2387">
            <w:pPr>
              <w:widowControl/>
              <w:ind w:firstLine="0"/>
              <w:jc w:val="center"/>
              <w:rPr>
                <w:b/>
                <w:sz w:val="16"/>
                <w:szCs w:val="16"/>
                <w:lang w:eastAsia="uk-UA"/>
              </w:rPr>
            </w:pPr>
            <w:r w:rsidRPr="00242020">
              <w:rPr>
                <w:b/>
                <w:sz w:val="16"/>
                <w:szCs w:val="16"/>
                <w:lang w:eastAsia="uk-UA"/>
              </w:rPr>
              <w:t>7</w:t>
            </w:r>
          </w:p>
        </w:tc>
        <w:tc>
          <w:tcPr>
            <w:tcW w:w="7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noWrap/>
            <w:vAlign w:val="center"/>
            <w:hideMark/>
          </w:tcPr>
          <w:p w:rsidR="004B2387" w:rsidRPr="00242020" w:rsidRDefault="004B2387" w:rsidP="004B2387">
            <w:pPr>
              <w:widowControl/>
              <w:ind w:firstLine="0"/>
              <w:jc w:val="center"/>
              <w:rPr>
                <w:b/>
                <w:bCs/>
                <w:sz w:val="16"/>
                <w:szCs w:val="16"/>
                <w:lang w:eastAsia="uk-UA"/>
              </w:rPr>
            </w:pPr>
            <w:r w:rsidRPr="00242020">
              <w:rPr>
                <w:b/>
                <w:bCs/>
                <w:sz w:val="16"/>
                <w:szCs w:val="16"/>
                <w:lang w:eastAsia="uk-UA"/>
              </w:rPr>
              <w:t>8</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noWrap/>
            <w:vAlign w:val="center"/>
            <w:hideMark/>
          </w:tcPr>
          <w:p w:rsidR="004B2387" w:rsidRPr="00242020" w:rsidRDefault="004B2387" w:rsidP="004B2387">
            <w:pPr>
              <w:widowControl/>
              <w:ind w:firstLine="0"/>
              <w:jc w:val="center"/>
              <w:rPr>
                <w:b/>
                <w:bCs/>
                <w:sz w:val="16"/>
                <w:szCs w:val="16"/>
                <w:lang w:eastAsia="uk-UA"/>
              </w:rPr>
            </w:pPr>
            <w:r w:rsidRPr="00242020">
              <w:rPr>
                <w:b/>
                <w:bCs/>
                <w:sz w:val="16"/>
                <w:szCs w:val="16"/>
                <w:lang w:eastAsia="uk-UA"/>
              </w:rPr>
              <w:t>9</w:t>
            </w:r>
          </w:p>
        </w:tc>
        <w:tc>
          <w:tcPr>
            <w:tcW w:w="8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noWrap/>
            <w:vAlign w:val="center"/>
            <w:hideMark/>
          </w:tcPr>
          <w:p w:rsidR="004B2387" w:rsidRPr="00242020" w:rsidRDefault="004B2387" w:rsidP="004B2387">
            <w:pPr>
              <w:widowControl/>
              <w:ind w:firstLine="0"/>
              <w:jc w:val="center"/>
              <w:rPr>
                <w:b/>
                <w:sz w:val="16"/>
                <w:szCs w:val="16"/>
                <w:lang w:eastAsia="uk-UA"/>
              </w:rPr>
            </w:pPr>
            <w:r w:rsidRPr="00242020">
              <w:rPr>
                <w:b/>
                <w:sz w:val="16"/>
                <w:szCs w:val="16"/>
                <w:lang w:eastAsia="uk-UA"/>
              </w:rPr>
              <w:t>10</w:t>
            </w:r>
          </w:p>
        </w:tc>
        <w:tc>
          <w:tcPr>
            <w:tcW w:w="7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noWrap/>
            <w:vAlign w:val="center"/>
            <w:hideMark/>
          </w:tcPr>
          <w:p w:rsidR="004B2387" w:rsidRPr="00242020" w:rsidRDefault="004B2387" w:rsidP="004B2387">
            <w:pPr>
              <w:widowControl/>
              <w:ind w:firstLine="0"/>
              <w:jc w:val="center"/>
              <w:rPr>
                <w:b/>
                <w:sz w:val="16"/>
                <w:szCs w:val="16"/>
                <w:lang w:eastAsia="uk-UA"/>
              </w:rPr>
            </w:pPr>
            <w:r w:rsidRPr="00242020">
              <w:rPr>
                <w:b/>
                <w:sz w:val="16"/>
                <w:szCs w:val="16"/>
                <w:lang w:eastAsia="uk-UA"/>
              </w:rPr>
              <w:t>11</w:t>
            </w:r>
          </w:p>
        </w:tc>
        <w:tc>
          <w:tcPr>
            <w:tcW w:w="8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noWrap/>
            <w:vAlign w:val="center"/>
            <w:hideMark/>
          </w:tcPr>
          <w:p w:rsidR="004B2387" w:rsidRPr="00242020" w:rsidRDefault="004B2387" w:rsidP="004B2387">
            <w:pPr>
              <w:widowControl/>
              <w:ind w:firstLine="0"/>
              <w:jc w:val="center"/>
              <w:rPr>
                <w:b/>
                <w:bCs/>
                <w:sz w:val="16"/>
                <w:szCs w:val="16"/>
                <w:lang w:eastAsia="uk-UA"/>
              </w:rPr>
            </w:pPr>
            <w:r w:rsidRPr="00242020">
              <w:rPr>
                <w:b/>
                <w:bCs/>
                <w:sz w:val="16"/>
                <w:szCs w:val="16"/>
                <w:lang w:eastAsia="uk-UA"/>
              </w:rPr>
              <w:t>12</w:t>
            </w:r>
          </w:p>
        </w:tc>
        <w:tc>
          <w:tcPr>
            <w:tcW w:w="7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noWrap/>
            <w:vAlign w:val="center"/>
            <w:hideMark/>
          </w:tcPr>
          <w:p w:rsidR="004B2387" w:rsidRPr="00242020" w:rsidRDefault="004B2387" w:rsidP="004B2387">
            <w:pPr>
              <w:widowControl/>
              <w:ind w:firstLine="0"/>
              <w:jc w:val="center"/>
              <w:rPr>
                <w:b/>
                <w:bCs/>
                <w:sz w:val="16"/>
                <w:szCs w:val="16"/>
                <w:lang w:eastAsia="uk-UA"/>
              </w:rPr>
            </w:pPr>
            <w:r w:rsidRPr="00242020">
              <w:rPr>
                <w:b/>
                <w:bCs/>
                <w:sz w:val="16"/>
                <w:szCs w:val="16"/>
                <w:lang w:eastAsia="uk-UA"/>
              </w:rPr>
              <w:t>13</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noWrap/>
            <w:vAlign w:val="center"/>
            <w:hideMark/>
          </w:tcPr>
          <w:p w:rsidR="004B2387" w:rsidRPr="00242020" w:rsidRDefault="004B2387" w:rsidP="004B2387">
            <w:pPr>
              <w:widowControl/>
              <w:ind w:firstLine="0"/>
              <w:jc w:val="center"/>
              <w:rPr>
                <w:b/>
                <w:sz w:val="16"/>
                <w:szCs w:val="16"/>
                <w:lang w:eastAsia="uk-UA"/>
              </w:rPr>
            </w:pPr>
            <w:r w:rsidRPr="00242020">
              <w:rPr>
                <w:b/>
                <w:sz w:val="16"/>
                <w:szCs w:val="16"/>
                <w:lang w:eastAsia="uk-UA"/>
              </w:rPr>
              <w:t>14</w:t>
            </w:r>
          </w:p>
        </w:tc>
        <w:tc>
          <w:tcPr>
            <w:tcW w:w="78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noWrap/>
            <w:vAlign w:val="center"/>
            <w:hideMark/>
          </w:tcPr>
          <w:p w:rsidR="004B2387" w:rsidRPr="00242020" w:rsidRDefault="004B2387" w:rsidP="004B2387">
            <w:pPr>
              <w:widowControl/>
              <w:ind w:firstLine="0"/>
              <w:jc w:val="center"/>
              <w:rPr>
                <w:b/>
                <w:sz w:val="16"/>
                <w:szCs w:val="16"/>
                <w:lang w:eastAsia="uk-UA"/>
              </w:rPr>
            </w:pPr>
            <w:r w:rsidRPr="00242020">
              <w:rPr>
                <w:b/>
                <w:sz w:val="16"/>
                <w:szCs w:val="16"/>
                <w:lang w:eastAsia="uk-UA"/>
              </w:rPr>
              <w:t>15</w:t>
            </w:r>
          </w:p>
        </w:tc>
        <w:tc>
          <w:tcPr>
            <w:tcW w:w="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noWrap/>
            <w:vAlign w:val="center"/>
            <w:hideMark/>
          </w:tcPr>
          <w:p w:rsidR="004B2387" w:rsidRPr="00242020" w:rsidRDefault="004B2387" w:rsidP="004B2387">
            <w:pPr>
              <w:widowControl/>
              <w:ind w:firstLine="0"/>
              <w:jc w:val="center"/>
              <w:rPr>
                <w:b/>
                <w:bCs/>
                <w:sz w:val="16"/>
                <w:szCs w:val="16"/>
                <w:lang w:eastAsia="uk-UA"/>
              </w:rPr>
            </w:pPr>
            <w:r w:rsidRPr="00242020">
              <w:rPr>
                <w:b/>
                <w:bCs/>
                <w:sz w:val="16"/>
                <w:szCs w:val="16"/>
                <w:lang w:eastAsia="uk-UA"/>
              </w:rPr>
              <w:t>16</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noWrap/>
            <w:vAlign w:val="center"/>
            <w:hideMark/>
          </w:tcPr>
          <w:p w:rsidR="004B2387" w:rsidRPr="00242020" w:rsidRDefault="004B2387" w:rsidP="004B2387">
            <w:pPr>
              <w:widowControl/>
              <w:ind w:firstLine="0"/>
              <w:jc w:val="center"/>
              <w:rPr>
                <w:b/>
                <w:bCs/>
                <w:sz w:val="16"/>
                <w:szCs w:val="16"/>
                <w:lang w:eastAsia="uk-UA"/>
              </w:rPr>
            </w:pPr>
            <w:r w:rsidRPr="00242020">
              <w:rPr>
                <w:b/>
                <w:bCs/>
                <w:sz w:val="16"/>
                <w:szCs w:val="16"/>
                <w:lang w:eastAsia="uk-UA"/>
              </w:rPr>
              <w:t>17</w:t>
            </w:r>
          </w:p>
        </w:tc>
      </w:tr>
      <w:tr w:rsidR="004B2387" w:rsidRPr="00242020" w:rsidTr="004B2387">
        <w:trPr>
          <w:trHeight w:val="360"/>
        </w:trPr>
        <w:tc>
          <w:tcPr>
            <w:tcW w:w="2000" w:type="dxa"/>
            <w:tcBorders>
              <w:top w:val="single" w:sz="8" w:space="0" w:color="000000" w:themeColor="text1"/>
              <w:left w:val="single" w:sz="8" w:space="0" w:color="auto"/>
              <w:bottom w:val="single" w:sz="4" w:space="0" w:color="auto"/>
              <w:right w:val="nil"/>
            </w:tcBorders>
            <w:shd w:val="clear" w:color="auto" w:fill="auto"/>
            <w:vAlign w:val="center"/>
            <w:hideMark/>
          </w:tcPr>
          <w:p w:rsidR="004B2387" w:rsidRPr="00242020" w:rsidRDefault="004B2387" w:rsidP="004B2387">
            <w:pPr>
              <w:widowControl/>
              <w:ind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Вінницькій області</w:t>
            </w:r>
          </w:p>
        </w:tc>
        <w:tc>
          <w:tcPr>
            <w:tcW w:w="724" w:type="dxa"/>
            <w:tcBorders>
              <w:top w:val="single" w:sz="8" w:space="0" w:color="000000" w:themeColor="text1"/>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17</w:t>
            </w:r>
          </w:p>
        </w:tc>
        <w:tc>
          <w:tcPr>
            <w:tcW w:w="893" w:type="dxa"/>
            <w:tcBorders>
              <w:top w:val="single" w:sz="8" w:space="0" w:color="000000" w:themeColor="text1"/>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2</w:t>
            </w:r>
          </w:p>
        </w:tc>
        <w:tc>
          <w:tcPr>
            <w:tcW w:w="650" w:type="dxa"/>
            <w:tcBorders>
              <w:top w:val="single" w:sz="8" w:space="0" w:color="000000" w:themeColor="text1"/>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0</w:t>
            </w:r>
          </w:p>
        </w:tc>
        <w:tc>
          <w:tcPr>
            <w:tcW w:w="918" w:type="dxa"/>
            <w:tcBorders>
              <w:top w:val="single" w:sz="8" w:space="0" w:color="000000" w:themeColor="text1"/>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0</w:t>
            </w:r>
          </w:p>
        </w:tc>
        <w:tc>
          <w:tcPr>
            <w:tcW w:w="937" w:type="dxa"/>
            <w:tcBorders>
              <w:top w:val="single" w:sz="8" w:space="0" w:color="000000" w:themeColor="text1"/>
              <w:left w:val="single" w:sz="8" w:space="0" w:color="auto"/>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2</w:t>
            </w:r>
            <w:r w:rsidR="00085F86">
              <w:rPr>
                <w:b/>
                <w:sz w:val="18"/>
                <w:szCs w:val="18"/>
                <w:lang w:eastAsia="uk-UA"/>
              </w:rPr>
              <w:t> </w:t>
            </w:r>
            <w:r w:rsidRPr="00242020">
              <w:rPr>
                <w:b/>
                <w:sz w:val="18"/>
                <w:szCs w:val="18"/>
                <w:lang w:eastAsia="uk-UA"/>
              </w:rPr>
              <w:t>550,00</w:t>
            </w:r>
          </w:p>
        </w:tc>
        <w:tc>
          <w:tcPr>
            <w:tcW w:w="896" w:type="dxa"/>
            <w:tcBorders>
              <w:top w:val="single" w:sz="8" w:space="0" w:color="000000" w:themeColor="text1"/>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330,00</w:t>
            </w:r>
          </w:p>
        </w:tc>
        <w:tc>
          <w:tcPr>
            <w:tcW w:w="798" w:type="dxa"/>
            <w:tcBorders>
              <w:top w:val="single" w:sz="8" w:space="0" w:color="000000" w:themeColor="text1"/>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500,00</w:t>
            </w:r>
          </w:p>
        </w:tc>
        <w:tc>
          <w:tcPr>
            <w:tcW w:w="770" w:type="dxa"/>
            <w:tcBorders>
              <w:top w:val="single" w:sz="8" w:space="0" w:color="000000" w:themeColor="text1"/>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100,00</w:t>
            </w:r>
          </w:p>
        </w:tc>
        <w:tc>
          <w:tcPr>
            <w:tcW w:w="896" w:type="dxa"/>
            <w:tcBorders>
              <w:top w:val="single" w:sz="8" w:space="0" w:color="000000" w:themeColor="text1"/>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8</w:t>
            </w:r>
            <w:r w:rsidR="00085F86">
              <w:rPr>
                <w:b/>
                <w:sz w:val="18"/>
                <w:szCs w:val="18"/>
                <w:lang w:eastAsia="uk-UA"/>
              </w:rPr>
              <w:t> </w:t>
            </w:r>
            <w:r w:rsidRPr="00242020">
              <w:rPr>
                <w:b/>
                <w:sz w:val="18"/>
                <w:szCs w:val="18"/>
                <w:lang w:eastAsia="uk-UA"/>
              </w:rPr>
              <w:t>998,44</w:t>
            </w:r>
          </w:p>
        </w:tc>
        <w:tc>
          <w:tcPr>
            <w:tcW w:w="784" w:type="dxa"/>
            <w:tcBorders>
              <w:top w:val="single" w:sz="8" w:space="0" w:color="000000" w:themeColor="text1"/>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208,47</w:t>
            </w:r>
          </w:p>
        </w:tc>
        <w:tc>
          <w:tcPr>
            <w:tcW w:w="868" w:type="dxa"/>
            <w:tcBorders>
              <w:top w:val="single" w:sz="8" w:space="0" w:color="000000" w:themeColor="text1"/>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89" w:type="dxa"/>
            <w:tcBorders>
              <w:top w:val="single" w:sz="8" w:space="0" w:color="000000" w:themeColor="text1"/>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09" w:type="dxa"/>
            <w:tcBorders>
              <w:top w:val="single" w:sz="8" w:space="0" w:color="000000" w:themeColor="text1"/>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352,88</w:t>
            </w:r>
          </w:p>
        </w:tc>
        <w:tc>
          <w:tcPr>
            <w:tcW w:w="783" w:type="dxa"/>
            <w:tcBorders>
              <w:top w:val="single" w:sz="8" w:space="0" w:color="000000" w:themeColor="text1"/>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63,17</w:t>
            </w:r>
          </w:p>
        </w:tc>
        <w:tc>
          <w:tcPr>
            <w:tcW w:w="700" w:type="dxa"/>
            <w:tcBorders>
              <w:top w:val="single" w:sz="8" w:space="0" w:color="000000" w:themeColor="text1"/>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70" w:type="dxa"/>
            <w:tcBorders>
              <w:top w:val="single" w:sz="8" w:space="0" w:color="000000" w:themeColor="text1"/>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r>
      <w:tr w:rsidR="004B2387" w:rsidRPr="00242020" w:rsidTr="004B2387">
        <w:trPr>
          <w:trHeight w:val="360"/>
        </w:trPr>
        <w:tc>
          <w:tcPr>
            <w:tcW w:w="2000"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Волинській області</w:t>
            </w:r>
          </w:p>
        </w:tc>
        <w:tc>
          <w:tcPr>
            <w:tcW w:w="724"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4</w:t>
            </w:r>
          </w:p>
        </w:tc>
        <w:tc>
          <w:tcPr>
            <w:tcW w:w="893"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0</w:t>
            </w:r>
          </w:p>
        </w:tc>
        <w:tc>
          <w:tcPr>
            <w:tcW w:w="650"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0</w:t>
            </w:r>
          </w:p>
        </w:tc>
        <w:tc>
          <w:tcPr>
            <w:tcW w:w="918"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0</w:t>
            </w:r>
          </w:p>
        </w:tc>
        <w:tc>
          <w:tcPr>
            <w:tcW w:w="937" w:type="dxa"/>
            <w:tcBorders>
              <w:top w:val="nil"/>
              <w:left w:val="single" w:sz="8" w:space="0" w:color="auto"/>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900,00</w:t>
            </w:r>
          </w:p>
        </w:tc>
        <w:tc>
          <w:tcPr>
            <w:tcW w:w="896"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170,00</w:t>
            </w:r>
          </w:p>
        </w:tc>
        <w:tc>
          <w:tcPr>
            <w:tcW w:w="798"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7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896"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606,20</w:t>
            </w:r>
          </w:p>
        </w:tc>
        <w:tc>
          <w:tcPr>
            <w:tcW w:w="784"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0,00</w:t>
            </w:r>
          </w:p>
        </w:tc>
        <w:tc>
          <w:tcPr>
            <w:tcW w:w="868"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89"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09"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67,36</w:t>
            </w:r>
          </w:p>
        </w:tc>
        <w:tc>
          <w:tcPr>
            <w:tcW w:w="783"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0,00</w:t>
            </w:r>
          </w:p>
        </w:tc>
        <w:tc>
          <w:tcPr>
            <w:tcW w:w="70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color w:val="FFFFFF"/>
                <w:sz w:val="18"/>
                <w:szCs w:val="18"/>
                <w:lang w:eastAsia="uk-UA"/>
              </w:rPr>
            </w:pPr>
            <w:r w:rsidRPr="00242020">
              <w:rPr>
                <w:bCs/>
                <w:color w:val="FFFFFF"/>
                <w:sz w:val="18"/>
                <w:szCs w:val="18"/>
                <w:lang w:eastAsia="uk-UA"/>
              </w:rPr>
              <w:t>#</w:t>
            </w:r>
            <w:proofErr w:type="spellStart"/>
            <w:r w:rsidRPr="00242020">
              <w:rPr>
                <w:bCs/>
                <w:color w:val="FFFFFF"/>
                <w:sz w:val="18"/>
                <w:szCs w:val="18"/>
                <w:lang w:eastAsia="uk-UA"/>
              </w:rPr>
              <w:t>ДЕЛ</w:t>
            </w:r>
            <w:proofErr w:type="spellEnd"/>
            <w:r w:rsidRPr="00242020">
              <w:rPr>
                <w:bCs/>
                <w:color w:val="FFFFFF"/>
                <w:sz w:val="18"/>
                <w:szCs w:val="18"/>
                <w:lang w:eastAsia="uk-UA"/>
              </w:rPr>
              <w:t>/0!</w:t>
            </w:r>
          </w:p>
        </w:tc>
        <w:tc>
          <w:tcPr>
            <w:tcW w:w="77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color w:val="FFFFFF"/>
                <w:sz w:val="18"/>
                <w:szCs w:val="18"/>
                <w:lang w:eastAsia="uk-UA"/>
              </w:rPr>
            </w:pPr>
            <w:r w:rsidRPr="00242020">
              <w:rPr>
                <w:bCs/>
                <w:color w:val="FFFFFF"/>
                <w:sz w:val="18"/>
                <w:szCs w:val="18"/>
                <w:lang w:eastAsia="uk-UA"/>
              </w:rPr>
              <w:t>#</w:t>
            </w:r>
            <w:proofErr w:type="spellStart"/>
            <w:r w:rsidRPr="00242020">
              <w:rPr>
                <w:bCs/>
                <w:color w:val="FFFFFF"/>
                <w:sz w:val="18"/>
                <w:szCs w:val="18"/>
                <w:lang w:eastAsia="uk-UA"/>
              </w:rPr>
              <w:t>ДЕЛ</w:t>
            </w:r>
            <w:proofErr w:type="spellEnd"/>
            <w:r w:rsidRPr="00242020">
              <w:rPr>
                <w:bCs/>
                <w:color w:val="FFFFFF"/>
                <w:sz w:val="18"/>
                <w:szCs w:val="18"/>
                <w:lang w:eastAsia="uk-UA"/>
              </w:rPr>
              <w:t>/0!</w:t>
            </w:r>
          </w:p>
        </w:tc>
      </w:tr>
      <w:tr w:rsidR="004B2387" w:rsidRPr="00242020" w:rsidTr="004B2387">
        <w:trPr>
          <w:trHeight w:val="435"/>
        </w:trPr>
        <w:tc>
          <w:tcPr>
            <w:tcW w:w="2000"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Дніпропетровській області</w:t>
            </w:r>
          </w:p>
        </w:tc>
        <w:tc>
          <w:tcPr>
            <w:tcW w:w="724"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8</w:t>
            </w:r>
          </w:p>
        </w:tc>
        <w:tc>
          <w:tcPr>
            <w:tcW w:w="893"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0</w:t>
            </w:r>
          </w:p>
        </w:tc>
        <w:tc>
          <w:tcPr>
            <w:tcW w:w="650"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0</w:t>
            </w:r>
          </w:p>
        </w:tc>
        <w:tc>
          <w:tcPr>
            <w:tcW w:w="918"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0</w:t>
            </w:r>
          </w:p>
        </w:tc>
        <w:tc>
          <w:tcPr>
            <w:tcW w:w="937" w:type="dxa"/>
            <w:tcBorders>
              <w:top w:val="nil"/>
              <w:left w:val="single" w:sz="8" w:space="0" w:color="auto"/>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9</w:t>
            </w:r>
            <w:r w:rsidR="00085F86">
              <w:rPr>
                <w:b/>
                <w:sz w:val="18"/>
                <w:szCs w:val="18"/>
                <w:lang w:eastAsia="uk-UA"/>
              </w:rPr>
              <w:t> </w:t>
            </w:r>
            <w:r w:rsidRPr="00242020">
              <w:rPr>
                <w:b/>
                <w:sz w:val="18"/>
                <w:szCs w:val="18"/>
                <w:lang w:eastAsia="uk-UA"/>
              </w:rPr>
              <w:t>346,00</w:t>
            </w:r>
          </w:p>
        </w:tc>
        <w:tc>
          <w:tcPr>
            <w:tcW w:w="896"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16,00</w:t>
            </w:r>
          </w:p>
        </w:tc>
        <w:tc>
          <w:tcPr>
            <w:tcW w:w="798"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370,00</w:t>
            </w:r>
          </w:p>
        </w:tc>
        <w:tc>
          <w:tcPr>
            <w:tcW w:w="77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896"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8</w:t>
            </w:r>
            <w:r w:rsidR="00085F86">
              <w:rPr>
                <w:b/>
                <w:sz w:val="18"/>
                <w:szCs w:val="18"/>
                <w:lang w:eastAsia="uk-UA"/>
              </w:rPr>
              <w:t> </w:t>
            </w:r>
            <w:r w:rsidRPr="00242020">
              <w:rPr>
                <w:b/>
                <w:sz w:val="18"/>
                <w:szCs w:val="18"/>
                <w:lang w:eastAsia="uk-UA"/>
              </w:rPr>
              <w:t>493,76</w:t>
            </w:r>
          </w:p>
        </w:tc>
        <w:tc>
          <w:tcPr>
            <w:tcW w:w="784"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0,00</w:t>
            </w:r>
          </w:p>
        </w:tc>
        <w:tc>
          <w:tcPr>
            <w:tcW w:w="868"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89"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09"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90,88</w:t>
            </w:r>
          </w:p>
        </w:tc>
        <w:tc>
          <w:tcPr>
            <w:tcW w:w="783" w:type="dxa"/>
            <w:tcBorders>
              <w:top w:val="nil"/>
              <w:left w:val="nil"/>
              <w:bottom w:val="single" w:sz="4"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0,00</w:t>
            </w:r>
          </w:p>
        </w:tc>
        <w:tc>
          <w:tcPr>
            <w:tcW w:w="70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7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color w:val="FFFFFF"/>
                <w:sz w:val="18"/>
                <w:szCs w:val="18"/>
                <w:lang w:eastAsia="uk-UA"/>
              </w:rPr>
            </w:pPr>
            <w:r w:rsidRPr="00242020">
              <w:rPr>
                <w:bCs/>
                <w:color w:val="FFFFFF"/>
                <w:sz w:val="18"/>
                <w:szCs w:val="18"/>
                <w:lang w:eastAsia="uk-UA"/>
              </w:rPr>
              <w:t>#</w:t>
            </w:r>
            <w:proofErr w:type="spellStart"/>
            <w:r w:rsidRPr="00242020">
              <w:rPr>
                <w:bCs/>
                <w:color w:val="FFFFFF"/>
                <w:sz w:val="18"/>
                <w:szCs w:val="18"/>
                <w:lang w:eastAsia="uk-UA"/>
              </w:rPr>
              <w:t>ДЕЛ</w:t>
            </w:r>
            <w:proofErr w:type="spellEnd"/>
            <w:r w:rsidRPr="00242020">
              <w:rPr>
                <w:bCs/>
                <w:color w:val="FFFFFF"/>
                <w:sz w:val="18"/>
                <w:szCs w:val="18"/>
                <w:lang w:eastAsia="uk-UA"/>
              </w:rPr>
              <w:t>/0!</w:t>
            </w:r>
          </w:p>
        </w:tc>
      </w:tr>
      <w:tr w:rsidR="004B2387" w:rsidRPr="00242020" w:rsidTr="004B2387">
        <w:trPr>
          <w:trHeight w:val="360"/>
        </w:trPr>
        <w:tc>
          <w:tcPr>
            <w:tcW w:w="2000"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Донецькій області</w:t>
            </w:r>
          </w:p>
        </w:tc>
        <w:tc>
          <w:tcPr>
            <w:tcW w:w="724"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0</w:t>
            </w:r>
          </w:p>
        </w:tc>
        <w:tc>
          <w:tcPr>
            <w:tcW w:w="893"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0</w:t>
            </w:r>
          </w:p>
        </w:tc>
        <w:tc>
          <w:tcPr>
            <w:tcW w:w="650"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0</w:t>
            </w:r>
          </w:p>
        </w:tc>
        <w:tc>
          <w:tcPr>
            <w:tcW w:w="918"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0</w:t>
            </w:r>
          </w:p>
        </w:tc>
        <w:tc>
          <w:tcPr>
            <w:tcW w:w="937" w:type="dxa"/>
            <w:tcBorders>
              <w:top w:val="nil"/>
              <w:left w:val="single" w:sz="8" w:space="0" w:color="auto"/>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675,00</w:t>
            </w:r>
          </w:p>
        </w:tc>
        <w:tc>
          <w:tcPr>
            <w:tcW w:w="896"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0,00</w:t>
            </w:r>
          </w:p>
        </w:tc>
        <w:tc>
          <w:tcPr>
            <w:tcW w:w="798"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155,00</w:t>
            </w:r>
          </w:p>
        </w:tc>
        <w:tc>
          <w:tcPr>
            <w:tcW w:w="77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896"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0,00</w:t>
            </w:r>
          </w:p>
        </w:tc>
        <w:tc>
          <w:tcPr>
            <w:tcW w:w="784"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0,00</w:t>
            </w:r>
          </w:p>
        </w:tc>
        <w:tc>
          <w:tcPr>
            <w:tcW w:w="868"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89"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09"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0,00</w:t>
            </w:r>
          </w:p>
        </w:tc>
        <w:tc>
          <w:tcPr>
            <w:tcW w:w="783" w:type="dxa"/>
            <w:tcBorders>
              <w:top w:val="nil"/>
              <w:left w:val="nil"/>
              <w:bottom w:val="single" w:sz="4"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
                <w:color w:val="FFFFFF"/>
                <w:sz w:val="18"/>
                <w:szCs w:val="18"/>
                <w:lang w:eastAsia="uk-UA"/>
              </w:rPr>
            </w:pPr>
            <w:r w:rsidRPr="00242020">
              <w:rPr>
                <w:b/>
                <w:color w:val="FFFFFF"/>
                <w:sz w:val="18"/>
                <w:szCs w:val="18"/>
                <w:lang w:eastAsia="uk-UA"/>
              </w:rPr>
              <w:t>#</w:t>
            </w:r>
            <w:proofErr w:type="spellStart"/>
            <w:r w:rsidRPr="00242020">
              <w:rPr>
                <w:b/>
                <w:color w:val="FFFFFF"/>
                <w:sz w:val="18"/>
                <w:szCs w:val="18"/>
                <w:lang w:eastAsia="uk-UA"/>
              </w:rPr>
              <w:t>ДЕЛ</w:t>
            </w:r>
            <w:proofErr w:type="spellEnd"/>
            <w:r w:rsidRPr="00242020">
              <w:rPr>
                <w:b/>
                <w:color w:val="FFFFFF"/>
                <w:sz w:val="18"/>
                <w:szCs w:val="18"/>
                <w:lang w:eastAsia="uk-UA"/>
              </w:rPr>
              <w:t>/0!</w:t>
            </w:r>
          </w:p>
        </w:tc>
        <w:tc>
          <w:tcPr>
            <w:tcW w:w="70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7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color w:val="FFFFFF"/>
                <w:sz w:val="18"/>
                <w:szCs w:val="18"/>
                <w:lang w:eastAsia="uk-UA"/>
              </w:rPr>
            </w:pPr>
            <w:r w:rsidRPr="00242020">
              <w:rPr>
                <w:bCs/>
                <w:color w:val="FFFFFF"/>
                <w:sz w:val="18"/>
                <w:szCs w:val="18"/>
                <w:lang w:eastAsia="uk-UA"/>
              </w:rPr>
              <w:t>#</w:t>
            </w:r>
            <w:proofErr w:type="spellStart"/>
            <w:r w:rsidRPr="00242020">
              <w:rPr>
                <w:bCs/>
                <w:color w:val="FFFFFF"/>
                <w:sz w:val="18"/>
                <w:szCs w:val="18"/>
                <w:lang w:eastAsia="uk-UA"/>
              </w:rPr>
              <w:t>ДЕЛ</w:t>
            </w:r>
            <w:proofErr w:type="spellEnd"/>
            <w:r w:rsidRPr="00242020">
              <w:rPr>
                <w:bCs/>
                <w:color w:val="FFFFFF"/>
                <w:sz w:val="18"/>
                <w:szCs w:val="18"/>
                <w:lang w:eastAsia="uk-UA"/>
              </w:rPr>
              <w:t>/0!</w:t>
            </w:r>
          </w:p>
        </w:tc>
      </w:tr>
      <w:tr w:rsidR="004B2387" w:rsidRPr="00242020" w:rsidTr="004B2387">
        <w:trPr>
          <w:trHeight w:val="360"/>
        </w:trPr>
        <w:tc>
          <w:tcPr>
            <w:tcW w:w="2000"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Житомирській області</w:t>
            </w:r>
          </w:p>
        </w:tc>
        <w:tc>
          <w:tcPr>
            <w:tcW w:w="724"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4</w:t>
            </w:r>
          </w:p>
        </w:tc>
        <w:tc>
          <w:tcPr>
            <w:tcW w:w="893"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2</w:t>
            </w:r>
          </w:p>
        </w:tc>
        <w:tc>
          <w:tcPr>
            <w:tcW w:w="650"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0</w:t>
            </w:r>
          </w:p>
        </w:tc>
        <w:tc>
          <w:tcPr>
            <w:tcW w:w="918"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0</w:t>
            </w:r>
          </w:p>
        </w:tc>
        <w:tc>
          <w:tcPr>
            <w:tcW w:w="937" w:type="dxa"/>
            <w:tcBorders>
              <w:top w:val="nil"/>
              <w:left w:val="single" w:sz="8" w:space="0" w:color="auto"/>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950,00</w:t>
            </w:r>
          </w:p>
        </w:tc>
        <w:tc>
          <w:tcPr>
            <w:tcW w:w="896"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120,00</w:t>
            </w:r>
          </w:p>
        </w:tc>
        <w:tc>
          <w:tcPr>
            <w:tcW w:w="798"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7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896"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1</w:t>
            </w:r>
            <w:r w:rsidR="00085F86">
              <w:rPr>
                <w:b/>
                <w:sz w:val="18"/>
                <w:szCs w:val="18"/>
                <w:lang w:eastAsia="uk-UA"/>
              </w:rPr>
              <w:t> </w:t>
            </w:r>
            <w:r w:rsidRPr="00242020">
              <w:rPr>
                <w:b/>
                <w:sz w:val="18"/>
                <w:szCs w:val="18"/>
                <w:lang w:eastAsia="uk-UA"/>
              </w:rPr>
              <w:t>027,71</w:t>
            </w:r>
          </w:p>
        </w:tc>
        <w:tc>
          <w:tcPr>
            <w:tcW w:w="784"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169,82</w:t>
            </w:r>
          </w:p>
        </w:tc>
        <w:tc>
          <w:tcPr>
            <w:tcW w:w="868"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89"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09"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108,18</w:t>
            </w:r>
          </w:p>
        </w:tc>
        <w:tc>
          <w:tcPr>
            <w:tcW w:w="783"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141,51</w:t>
            </w:r>
          </w:p>
        </w:tc>
        <w:tc>
          <w:tcPr>
            <w:tcW w:w="70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color w:val="FFFFFF"/>
                <w:sz w:val="18"/>
                <w:szCs w:val="18"/>
                <w:lang w:eastAsia="uk-UA"/>
              </w:rPr>
            </w:pPr>
            <w:r w:rsidRPr="00242020">
              <w:rPr>
                <w:bCs/>
                <w:color w:val="FFFFFF"/>
                <w:sz w:val="18"/>
                <w:szCs w:val="18"/>
                <w:lang w:eastAsia="uk-UA"/>
              </w:rPr>
              <w:t>#</w:t>
            </w:r>
            <w:proofErr w:type="spellStart"/>
            <w:r w:rsidRPr="00242020">
              <w:rPr>
                <w:bCs/>
                <w:color w:val="FFFFFF"/>
                <w:sz w:val="18"/>
                <w:szCs w:val="18"/>
                <w:lang w:eastAsia="uk-UA"/>
              </w:rPr>
              <w:t>ДЕЛ</w:t>
            </w:r>
            <w:proofErr w:type="spellEnd"/>
            <w:r w:rsidRPr="00242020">
              <w:rPr>
                <w:bCs/>
                <w:color w:val="FFFFFF"/>
                <w:sz w:val="18"/>
                <w:szCs w:val="18"/>
                <w:lang w:eastAsia="uk-UA"/>
              </w:rPr>
              <w:t>/0!</w:t>
            </w:r>
          </w:p>
        </w:tc>
        <w:tc>
          <w:tcPr>
            <w:tcW w:w="77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color w:val="FFFFFF"/>
                <w:sz w:val="18"/>
                <w:szCs w:val="18"/>
                <w:lang w:eastAsia="uk-UA"/>
              </w:rPr>
            </w:pPr>
            <w:r w:rsidRPr="00242020">
              <w:rPr>
                <w:bCs/>
                <w:color w:val="FFFFFF"/>
                <w:sz w:val="18"/>
                <w:szCs w:val="18"/>
                <w:lang w:eastAsia="uk-UA"/>
              </w:rPr>
              <w:t>#</w:t>
            </w:r>
            <w:proofErr w:type="spellStart"/>
            <w:r w:rsidRPr="00242020">
              <w:rPr>
                <w:bCs/>
                <w:color w:val="FFFFFF"/>
                <w:sz w:val="18"/>
                <w:szCs w:val="18"/>
                <w:lang w:eastAsia="uk-UA"/>
              </w:rPr>
              <w:t>ДЕЛ</w:t>
            </w:r>
            <w:proofErr w:type="spellEnd"/>
            <w:r w:rsidRPr="00242020">
              <w:rPr>
                <w:bCs/>
                <w:color w:val="FFFFFF"/>
                <w:sz w:val="18"/>
                <w:szCs w:val="18"/>
                <w:lang w:eastAsia="uk-UA"/>
              </w:rPr>
              <w:t>/0!</w:t>
            </w:r>
          </w:p>
        </w:tc>
      </w:tr>
      <w:tr w:rsidR="004B2387" w:rsidRPr="00242020" w:rsidTr="004B2387">
        <w:trPr>
          <w:trHeight w:val="360"/>
        </w:trPr>
        <w:tc>
          <w:tcPr>
            <w:tcW w:w="2000"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Закарпатській області</w:t>
            </w:r>
          </w:p>
        </w:tc>
        <w:tc>
          <w:tcPr>
            <w:tcW w:w="724"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3</w:t>
            </w:r>
          </w:p>
        </w:tc>
        <w:tc>
          <w:tcPr>
            <w:tcW w:w="893"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1</w:t>
            </w:r>
          </w:p>
        </w:tc>
        <w:tc>
          <w:tcPr>
            <w:tcW w:w="650"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1</w:t>
            </w:r>
          </w:p>
        </w:tc>
        <w:tc>
          <w:tcPr>
            <w:tcW w:w="918"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0</w:t>
            </w:r>
          </w:p>
        </w:tc>
        <w:tc>
          <w:tcPr>
            <w:tcW w:w="937" w:type="dxa"/>
            <w:tcBorders>
              <w:top w:val="nil"/>
              <w:left w:val="single" w:sz="8" w:space="0" w:color="auto"/>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460,00</w:t>
            </w:r>
          </w:p>
        </w:tc>
        <w:tc>
          <w:tcPr>
            <w:tcW w:w="896"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120,00</w:t>
            </w:r>
          </w:p>
        </w:tc>
        <w:tc>
          <w:tcPr>
            <w:tcW w:w="798"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200,00</w:t>
            </w:r>
          </w:p>
        </w:tc>
        <w:tc>
          <w:tcPr>
            <w:tcW w:w="77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896" w:type="dxa"/>
            <w:tcBorders>
              <w:top w:val="nil"/>
              <w:left w:val="nil"/>
              <w:bottom w:val="single" w:sz="4"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2</w:t>
            </w:r>
            <w:r w:rsidR="00085F86">
              <w:rPr>
                <w:b/>
                <w:sz w:val="18"/>
                <w:szCs w:val="18"/>
                <w:lang w:eastAsia="uk-UA"/>
              </w:rPr>
              <w:t> </w:t>
            </w:r>
            <w:r w:rsidRPr="00242020">
              <w:rPr>
                <w:b/>
                <w:sz w:val="18"/>
                <w:szCs w:val="18"/>
                <w:lang w:eastAsia="uk-UA"/>
              </w:rPr>
              <w:t>765,25</w:t>
            </w:r>
          </w:p>
        </w:tc>
        <w:tc>
          <w:tcPr>
            <w:tcW w:w="784" w:type="dxa"/>
            <w:tcBorders>
              <w:top w:val="nil"/>
              <w:left w:val="nil"/>
              <w:bottom w:val="single" w:sz="4"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217,20</w:t>
            </w:r>
          </w:p>
        </w:tc>
        <w:tc>
          <w:tcPr>
            <w:tcW w:w="868" w:type="dxa"/>
            <w:tcBorders>
              <w:top w:val="nil"/>
              <w:left w:val="nil"/>
              <w:bottom w:val="single" w:sz="4"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1500,20</w:t>
            </w:r>
          </w:p>
        </w:tc>
        <w:tc>
          <w:tcPr>
            <w:tcW w:w="789" w:type="dxa"/>
            <w:tcBorders>
              <w:top w:val="nil"/>
              <w:left w:val="nil"/>
              <w:bottom w:val="single" w:sz="4"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09"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601,14</w:t>
            </w:r>
          </w:p>
        </w:tc>
        <w:tc>
          <w:tcPr>
            <w:tcW w:w="783"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181,00</w:t>
            </w:r>
          </w:p>
        </w:tc>
        <w:tc>
          <w:tcPr>
            <w:tcW w:w="70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750,10</w:t>
            </w:r>
          </w:p>
        </w:tc>
        <w:tc>
          <w:tcPr>
            <w:tcW w:w="77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color w:val="FFFFFF"/>
                <w:sz w:val="18"/>
                <w:szCs w:val="18"/>
                <w:lang w:eastAsia="uk-UA"/>
              </w:rPr>
            </w:pPr>
            <w:r w:rsidRPr="00242020">
              <w:rPr>
                <w:bCs/>
                <w:color w:val="FFFFFF"/>
                <w:sz w:val="18"/>
                <w:szCs w:val="18"/>
                <w:lang w:eastAsia="uk-UA"/>
              </w:rPr>
              <w:t>#</w:t>
            </w:r>
            <w:proofErr w:type="spellStart"/>
            <w:r w:rsidRPr="00242020">
              <w:rPr>
                <w:bCs/>
                <w:color w:val="FFFFFF"/>
                <w:sz w:val="18"/>
                <w:szCs w:val="18"/>
                <w:lang w:eastAsia="uk-UA"/>
              </w:rPr>
              <w:t>ДЕЛ</w:t>
            </w:r>
            <w:proofErr w:type="spellEnd"/>
            <w:r w:rsidRPr="00242020">
              <w:rPr>
                <w:bCs/>
                <w:color w:val="FFFFFF"/>
                <w:sz w:val="18"/>
                <w:szCs w:val="18"/>
                <w:lang w:eastAsia="uk-UA"/>
              </w:rPr>
              <w:t>/0!</w:t>
            </w:r>
          </w:p>
        </w:tc>
      </w:tr>
      <w:tr w:rsidR="004B2387" w:rsidRPr="00242020" w:rsidTr="004B2387">
        <w:trPr>
          <w:trHeight w:val="360"/>
        </w:trPr>
        <w:tc>
          <w:tcPr>
            <w:tcW w:w="2000"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Запорізькій області</w:t>
            </w:r>
          </w:p>
        </w:tc>
        <w:tc>
          <w:tcPr>
            <w:tcW w:w="724"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9</w:t>
            </w:r>
          </w:p>
        </w:tc>
        <w:tc>
          <w:tcPr>
            <w:tcW w:w="893"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2</w:t>
            </w:r>
          </w:p>
        </w:tc>
        <w:tc>
          <w:tcPr>
            <w:tcW w:w="650"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0</w:t>
            </w:r>
          </w:p>
        </w:tc>
        <w:tc>
          <w:tcPr>
            <w:tcW w:w="918"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0</w:t>
            </w:r>
          </w:p>
        </w:tc>
        <w:tc>
          <w:tcPr>
            <w:tcW w:w="937" w:type="dxa"/>
            <w:tcBorders>
              <w:top w:val="nil"/>
              <w:left w:val="single" w:sz="8" w:space="0" w:color="auto"/>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2</w:t>
            </w:r>
            <w:r w:rsidR="00085F86">
              <w:rPr>
                <w:b/>
                <w:sz w:val="18"/>
                <w:szCs w:val="18"/>
                <w:lang w:eastAsia="uk-UA"/>
              </w:rPr>
              <w:t> </w:t>
            </w:r>
            <w:r w:rsidRPr="00242020">
              <w:rPr>
                <w:b/>
                <w:sz w:val="18"/>
                <w:szCs w:val="18"/>
                <w:lang w:eastAsia="uk-UA"/>
              </w:rPr>
              <w:t>516,00</w:t>
            </w:r>
          </w:p>
        </w:tc>
        <w:tc>
          <w:tcPr>
            <w:tcW w:w="896"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201,00</w:t>
            </w:r>
          </w:p>
        </w:tc>
        <w:tc>
          <w:tcPr>
            <w:tcW w:w="798"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7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896" w:type="dxa"/>
            <w:tcBorders>
              <w:top w:val="nil"/>
              <w:left w:val="nil"/>
              <w:bottom w:val="single" w:sz="4"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3</w:t>
            </w:r>
            <w:r w:rsidR="00085F86">
              <w:rPr>
                <w:b/>
                <w:sz w:val="18"/>
                <w:szCs w:val="18"/>
                <w:lang w:eastAsia="uk-UA"/>
              </w:rPr>
              <w:t> </w:t>
            </w:r>
            <w:r w:rsidRPr="00242020">
              <w:rPr>
                <w:b/>
                <w:sz w:val="18"/>
                <w:szCs w:val="18"/>
                <w:lang w:eastAsia="uk-UA"/>
              </w:rPr>
              <w:t>179,15</w:t>
            </w:r>
          </w:p>
        </w:tc>
        <w:tc>
          <w:tcPr>
            <w:tcW w:w="784" w:type="dxa"/>
            <w:tcBorders>
              <w:top w:val="nil"/>
              <w:left w:val="nil"/>
              <w:bottom w:val="single" w:sz="4"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370,99</w:t>
            </w:r>
          </w:p>
        </w:tc>
        <w:tc>
          <w:tcPr>
            <w:tcW w:w="868" w:type="dxa"/>
            <w:tcBorders>
              <w:top w:val="nil"/>
              <w:left w:val="nil"/>
              <w:bottom w:val="single" w:sz="4"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89" w:type="dxa"/>
            <w:tcBorders>
              <w:top w:val="nil"/>
              <w:left w:val="nil"/>
              <w:bottom w:val="single" w:sz="4"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09"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126,36</w:t>
            </w:r>
          </w:p>
        </w:tc>
        <w:tc>
          <w:tcPr>
            <w:tcW w:w="783"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184,57</w:t>
            </w:r>
          </w:p>
        </w:tc>
        <w:tc>
          <w:tcPr>
            <w:tcW w:w="70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color w:val="FFFFFF"/>
                <w:sz w:val="18"/>
                <w:szCs w:val="18"/>
                <w:lang w:eastAsia="uk-UA"/>
              </w:rPr>
            </w:pPr>
            <w:r w:rsidRPr="00242020">
              <w:rPr>
                <w:bCs/>
                <w:color w:val="FFFFFF"/>
                <w:sz w:val="18"/>
                <w:szCs w:val="18"/>
                <w:lang w:eastAsia="uk-UA"/>
              </w:rPr>
              <w:t>#</w:t>
            </w:r>
            <w:proofErr w:type="spellStart"/>
            <w:r w:rsidRPr="00242020">
              <w:rPr>
                <w:bCs/>
                <w:color w:val="FFFFFF"/>
                <w:sz w:val="18"/>
                <w:szCs w:val="18"/>
                <w:lang w:eastAsia="uk-UA"/>
              </w:rPr>
              <w:t>ДЕЛ</w:t>
            </w:r>
            <w:proofErr w:type="spellEnd"/>
            <w:r w:rsidRPr="00242020">
              <w:rPr>
                <w:bCs/>
                <w:color w:val="FFFFFF"/>
                <w:sz w:val="18"/>
                <w:szCs w:val="18"/>
                <w:lang w:eastAsia="uk-UA"/>
              </w:rPr>
              <w:t>/0!</w:t>
            </w:r>
          </w:p>
        </w:tc>
        <w:tc>
          <w:tcPr>
            <w:tcW w:w="77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color w:val="FFFFFF"/>
                <w:sz w:val="18"/>
                <w:szCs w:val="18"/>
                <w:lang w:eastAsia="uk-UA"/>
              </w:rPr>
            </w:pPr>
            <w:r w:rsidRPr="00242020">
              <w:rPr>
                <w:bCs/>
                <w:color w:val="FFFFFF"/>
                <w:sz w:val="18"/>
                <w:szCs w:val="18"/>
                <w:lang w:eastAsia="uk-UA"/>
              </w:rPr>
              <w:t>#</w:t>
            </w:r>
            <w:proofErr w:type="spellStart"/>
            <w:r w:rsidRPr="00242020">
              <w:rPr>
                <w:bCs/>
                <w:color w:val="FFFFFF"/>
                <w:sz w:val="18"/>
                <w:szCs w:val="18"/>
                <w:lang w:eastAsia="uk-UA"/>
              </w:rPr>
              <w:t>ДЕЛ</w:t>
            </w:r>
            <w:proofErr w:type="spellEnd"/>
            <w:r w:rsidRPr="00242020">
              <w:rPr>
                <w:bCs/>
                <w:color w:val="FFFFFF"/>
                <w:sz w:val="18"/>
                <w:szCs w:val="18"/>
                <w:lang w:eastAsia="uk-UA"/>
              </w:rPr>
              <w:t>/0!</w:t>
            </w:r>
          </w:p>
        </w:tc>
      </w:tr>
      <w:tr w:rsidR="004B2387" w:rsidRPr="00242020" w:rsidTr="004B2387">
        <w:trPr>
          <w:trHeight w:val="360"/>
        </w:trPr>
        <w:tc>
          <w:tcPr>
            <w:tcW w:w="2000"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Івано-Франківській області</w:t>
            </w:r>
          </w:p>
        </w:tc>
        <w:tc>
          <w:tcPr>
            <w:tcW w:w="724"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2</w:t>
            </w:r>
          </w:p>
        </w:tc>
        <w:tc>
          <w:tcPr>
            <w:tcW w:w="893"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0</w:t>
            </w:r>
          </w:p>
        </w:tc>
        <w:tc>
          <w:tcPr>
            <w:tcW w:w="650"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1</w:t>
            </w:r>
          </w:p>
        </w:tc>
        <w:tc>
          <w:tcPr>
            <w:tcW w:w="918"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0</w:t>
            </w:r>
          </w:p>
        </w:tc>
        <w:tc>
          <w:tcPr>
            <w:tcW w:w="937" w:type="dxa"/>
            <w:tcBorders>
              <w:top w:val="nil"/>
              <w:left w:val="single" w:sz="8" w:space="0" w:color="auto"/>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16</w:t>
            </w:r>
            <w:r w:rsidR="00085F86">
              <w:rPr>
                <w:b/>
                <w:sz w:val="18"/>
                <w:szCs w:val="18"/>
                <w:lang w:eastAsia="uk-UA"/>
              </w:rPr>
              <w:t> </w:t>
            </w:r>
            <w:r w:rsidRPr="00242020">
              <w:rPr>
                <w:b/>
                <w:sz w:val="18"/>
                <w:szCs w:val="18"/>
                <w:lang w:eastAsia="uk-UA"/>
              </w:rPr>
              <w:t>400,00</w:t>
            </w:r>
          </w:p>
        </w:tc>
        <w:tc>
          <w:tcPr>
            <w:tcW w:w="896"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0,00</w:t>
            </w:r>
          </w:p>
        </w:tc>
        <w:tc>
          <w:tcPr>
            <w:tcW w:w="798"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15000,00</w:t>
            </w:r>
          </w:p>
        </w:tc>
        <w:tc>
          <w:tcPr>
            <w:tcW w:w="77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896" w:type="dxa"/>
            <w:tcBorders>
              <w:top w:val="nil"/>
              <w:left w:val="nil"/>
              <w:bottom w:val="single" w:sz="4"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14</w:t>
            </w:r>
            <w:r w:rsidR="00085F86">
              <w:rPr>
                <w:b/>
                <w:sz w:val="18"/>
                <w:szCs w:val="18"/>
                <w:lang w:eastAsia="uk-UA"/>
              </w:rPr>
              <w:t> </w:t>
            </w:r>
            <w:r w:rsidRPr="00242020">
              <w:rPr>
                <w:b/>
                <w:sz w:val="18"/>
                <w:szCs w:val="18"/>
                <w:lang w:eastAsia="uk-UA"/>
              </w:rPr>
              <w:t>749,81</w:t>
            </w:r>
          </w:p>
        </w:tc>
        <w:tc>
          <w:tcPr>
            <w:tcW w:w="784" w:type="dxa"/>
            <w:tcBorders>
              <w:top w:val="nil"/>
              <w:left w:val="nil"/>
              <w:bottom w:val="single" w:sz="4"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0,00</w:t>
            </w:r>
          </w:p>
        </w:tc>
        <w:tc>
          <w:tcPr>
            <w:tcW w:w="868" w:type="dxa"/>
            <w:tcBorders>
              <w:top w:val="nil"/>
              <w:left w:val="nil"/>
              <w:bottom w:val="single" w:sz="4"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14635,94</w:t>
            </w:r>
          </w:p>
        </w:tc>
        <w:tc>
          <w:tcPr>
            <w:tcW w:w="789" w:type="dxa"/>
            <w:tcBorders>
              <w:top w:val="nil"/>
              <w:left w:val="nil"/>
              <w:bottom w:val="single" w:sz="4"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09"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89,94</w:t>
            </w:r>
          </w:p>
        </w:tc>
        <w:tc>
          <w:tcPr>
            <w:tcW w:w="783"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color w:val="FFFFFF"/>
                <w:sz w:val="18"/>
                <w:szCs w:val="18"/>
                <w:lang w:eastAsia="uk-UA"/>
              </w:rPr>
            </w:pPr>
            <w:r w:rsidRPr="00242020">
              <w:rPr>
                <w:b/>
                <w:color w:val="FFFFFF"/>
                <w:sz w:val="18"/>
                <w:szCs w:val="18"/>
                <w:lang w:eastAsia="uk-UA"/>
              </w:rPr>
              <w:t>#</w:t>
            </w:r>
            <w:proofErr w:type="spellStart"/>
            <w:r w:rsidRPr="00242020">
              <w:rPr>
                <w:b/>
                <w:color w:val="FFFFFF"/>
                <w:sz w:val="18"/>
                <w:szCs w:val="18"/>
                <w:lang w:eastAsia="uk-UA"/>
              </w:rPr>
              <w:t>ДЕЛ</w:t>
            </w:r>
            <w:proofErr w:type="spellEnd"/>
            <w:r w:rsidRPr="00242020">
              <w:rPr>
                <w:b/>
                <w:color w:val="FFFFFF"/>
                <w:sz w:val="18"/>
                <w:szCs w:val="18"/>
                <w:lang w:eastAsia="uk-UA"/>
              </w:rPr>
              <w:t>/0!</w:t>
            </w:r>
          </w:p>
        </w:tc>
        <w:tc>
          <w:tcPr>
            <w:tcW w:w="70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97,57</w:t>
            </w:r>
          </w:p>
        </w:tc>
        <w:tc>
          <w:tcPr>
            <w:tcW w:w="77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color w:val="FFFFFF"/>
                <w:sz w:val="18"/>
                <w:szCs w:val="18"/>
                <w:lang w:eastAsia="uk-UA"/>
              </w:rPr>
            </w:pPr>
            <w:r w:rsidRPr="00242020">
              <w:rPr>
                <w:bCs/>
                <w:color w:val="FFFFFF"/>
                <w:sz w:val="18"/>
                <w:szCs w:val="18"/>
                <w:lang w:eastAsia="uk-UA"/>
              </w:rPr>
              <w:t>#</w:t>
            </w:r>
            <w:proofErr w:type="spellStart"/>
            <w:r w:rsidRPr="00242020">
              <w:rPr>
                <w:bCs/>
                <w:color w:val="FFFFFF"/>
                <w:sz w:val="18"/>
                <w:szCs w:val="18"/>
                <w:lang w:eastAsia="uk-UA"/>
              </w:rPr>
              <w:t>ДЕЛ</w:t>
            </w:r>
            <w:proofErr w:type="spellEnd"/>
            <w:r w:rsidRPr="00242020">
              <w:rPr>
                <w:bCs/>
                <w:color w:val="FFFFFF"/>
                <w:sz w:val="18"/>
                <w:szCs w:val="18"/>
                <w:lang w:eastAsia="uk-UA"/>
              </w:rPr>
              <w:t>/0!</w:t>
            </w:r>
          </w:p>
        </w:tc>
      </w:tr>
      <w:tr w:rsidR="004B2387" w:rsidRPr="00242020" w:rsidTr="004B2387">
        <w:trPr>
          <w:trHeight w:val="360"/>
        </w:trPr>
        <w:tc>
          <w:tcPr>
            <w:tcW w:w="2000"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Київській області</w:t>
            </w:r>
          </w:p>
        </w:tc>
        <w:tc>
          <w:tcPr>
            <w:tcW w:w="724"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8</w:t>
            </w:r>
          </w:p>
        </w:tc>
        <w:tc>
          <w:tcPr>
            <w:tcW w:w="893"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0</w:t>
            </w:r>
          </w:p>
        </w:tc>
        <w:tc>
          <w:tcPr>
            <w:tcW w:w="650"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0</w:t>
            </w:r>
          </w:p>
        </w:tc>
        <w:tc>
          <w:tcPr>
            <w:tcW w:w="918"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0</w:t>
            </w:r>
          </w:p>
        </w:tc>
        <w:tc>
          <w:tcPr>
            <w:tcW w:w="937" w:type="dxa"/>
            <w:tcBorders>
              <w:top w:val="nil"/>
              <w:left w:val="single" w:sz="8" w:space="0" w:color="auto"/>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4</w:t>
            </w:r>
            <w:r w:rsidR="00085F86">
              <w:rPr>
                <w:b/>
                <w:sz w:val="18"/>
                <w:szCs w:val="18"/>
                <w:lang w:eastAsia="uk-UA"/>
              </w:rPr>
              <w:t> </w:t>
            </w:r>
            <w:r w:rsidRPr="00242020">
              <w:rPr>
                <w:b/>
                <w:sz w:val="18"/>
                <w:szCs w:val="18"/>
                <w:lang w:eastAsia="uk-UA"/>
              </w:rPr>
              <w:t>245,00</w:t>
            </w:r>
          </w:p>
        </w:tc>
        <w:tc>
          <w:tcPr>
            <w:tcW w:w="896"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290,00</w:t>
            </w:r>
          </w:p>
        </w:tc>
        <w:tc>
          <w:tcPr>
            <w:tcW w:w="798"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7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896" w:type="dxa"/>
            <w:tcBorders>
              <w:top w:val="nil"/>
              <w:left w:val="nil"/>
              <w:bottom w:val="single" w:sz="4"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2</w:t>
            </w:r>
            <w:r w:rsidR="00085F86">
              <w:rPr>
                <w:b/>
                <w:sz w:val="18"/>
                <w:szCs w:val="18"/>
                <w:lang w:eastAsia="uk-UA"/>
              </w:rPr>
              <w:t> </w:t>
            </w:r>
            <w:r w:rsidRPr="00242020">
              <w:rPr>
                <w:b/>
                <w:sz w:val="18"/>
                <w:szCs w:val="18"/>
                <w:lang w:eastAsia="uk-UA"/>
              </w:rPr>
              <w:t>125,61</w:t>
            </w:r>
          </w:p>
        </w:tc>
        <w:tc>
          <w:tcPr>
            <w:tcW w:w="784" w:type="dxa"/>
            <w:tcBorders>
              <w:top w:val="nil"/>
              <w:left w:val="nil"/>
              <w:bottom w:val="single" w:sz="4"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0,00</w:t>
            </w:r>
          </w:p>
        </w:tc>
        <w:tc>
          <w:tcPr>
            <w:tcW w:w="868" w:type="dxa"/>
            <w:tcBorders>
              <w:top w:val="nil"/>
              <w:left w:val="nil"/>
              <w:bottom w:val="single" w:sz="4"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89" w:type="dxa"/>
            <w:tcBorders>
              <w:top w:val="nil"/>
              <w:left w:val="nil"/>
              <w:bottom w:val="single" w:sz="4"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09"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50,07</w:t>
            </w:r>
          </w:p>
        </w:tc>
        <w:tc>
          <w:tcPr>
            <w:tcW w:w="783"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0,00</w:t>
            </w:r>
          </w:p>
        </w:tc>
        <w:tc>
          <w:tcPr>
            <w:tcW w:w="70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color w:val="FFFFFF"/>
                <w:sz w:val="18"/>
                <w:szCs w:val="18"/>
                <w:lang w:eastAsia="uk-UA"/>
              </w:rPr>
            </w:pPr>
            <w:r w:rsidRPr="00242020">
              <w:rPr>
                <w:bCs/>
                <w:color w:val="FFFFFF"/>
                <w:sz w:val="18"/>
                <w:szCs w:val="18"/>
                <w:lang w:eastAsia="uk-UA"/>
              </w:rPr>
              <w:t>#</w:t>
            </w:r>
            <w:proofErr w:type="spellStart"/>
            <w:r w:rsidRPr="00242020">
              <w:rPr>
                <w:bCs/>
                <w:color w:val="FFFFFF"/>
                <w:sz w:val="18"/>
                <w:szCs w:val="18"/>
                <w:lang w:eastAsia="uk-UA"/>
              </w:rPr>
              <w:t>ДЕЛ</w:t>
            </w:r>
            <w:proofErr w:type="spellEnd"/>
            <w:r w:rsidRPr="00242020">
              <w:rPr>
                <w:bCs/>
                <w:color w:val="FFFFFF"/>
                <w:sz w:val="18"/>
                <w:szCs w:val="18"/>
                <w:lang w:eastAsia="uk-UA"/>
              </w:rPr>
              <w:t>/0!</w:t>
            </w:r>
          </w:p>
        </w:tc>
        <w:tc>
          <w:tcPr>
            <w:tcW w:w="77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color w:val="FFFFFF"/>
                <w:sz w:val="18"/>
                <w:szCs w:val="18"/>
                <w:lang w:eastAsia="uk-UA"/>
              </w:rPr>
            </w:pPr>
            <w:r w:rsidRPr="00242020">
              <w:rPr>
                <w:bCs/>
                <w:color w:val="FFFFFF"/>
                <w:sz w:val="18"/>
                <w:szCs w:val="18"/>
                <w:lang w:eastAsia="uk-UA"/>
              </w:rPr>
              <w:t>#</w:t>
            </w:r>
            <w:proofErr w:type="spellStart"/>
            <w:r w:rsidRPr="00242020">
              <w:rPr>
                <w:bCs/>
                <w:color w:val="FFFFFF"/>
                <w:sz w:val="18"/>
                <w:szCs w:val="18"/>
                <w:lang w:eastAsia="uk-UA"/>
              </w:rPr>
              <w:t>ДЕЛ</w:t>
            </w:r>
            <w:proofErr w:type="spellEnd"/>
            <w:r w:rsidRPr="00242020">
              <w:rPr>
                <w:bCs/>
                <w:color w:val="FFFFFF"/>
                <w:sz w:val="18"/>
                <w:szCs w:val="18"/>
                <w:lang w:eastAsia="uk-UA"/>
              </w:rPr>
              <w:t>/0!</w:t>
            </w:r>
          </w:p>
        </w:tc>
      </w:tr>
      <w:tr w:rsidR="004B2387" w:rsidRPr="00242020" w:rsidTr="004B2387">
        <w:trPr>
          <w:trHeight w:val="360"/>
        </w:trPr>
        <w:tc>
          <w:tcPr>
            <w:tcW w:w="2000"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Кіровоградській області</w:t>
            </w:r>
          </w:p>
        </w:tc>
        <w:tc>
          <w:tcPr>
            <w:tcW w:w="724"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5</w:t>
            </w:r>
          </w:p>
        </w:tc>
        <w:tc>
          <w:tcPr>
            <w:tcW w:w="893"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0</w:t>
            </w:r>
          </w:p>
        </w:tc>
        <w:tc>
          <w:tcPr>
            <w:tcW w:w="650"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1</w:t>
            </w:r>
          </w:p>
        </w:tc>
        <w:tc>
          <w:tcPr>
            <w:tcW w:w="918"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0</w:t>
            </w:r>
          </w:p>
        </w:tc>
        <w:tc>
          <w:tcPr>
            <w:tcW w:w="937" w:type="dxa"/>
            <w:tcBorders>
              <w:top w:val="nil"/>
              <w:left w:val="single" w:sz="8" w:space="0" w:color="auto"/>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299,00</w:t>
            </w:r>
          </w:p>
        </w:tc>
        <w:tc>
          <w:tcPr>
            <w:tcW w:w="896"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10,00</w:t>
            </w:r>
          </w:p>
        </w:tc>
        <w:tc>
          <w:tcPr>
            <w:tcW w:w="798"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100,00</w:t>
            </w:r>
          </w:p>
        </w:tc>
        <w:tc>
          <w:tcPr>
            <w:tcW w:w="77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896" w:type="dxa"/>
            <w:tcBorders>
              <w:top w:val="nil"/>
              <w:left w:val="nil"/>
              <w:bottom w:val="single" w:sz="4"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612,87</w:t>
            </w:r>
          </w:p>
        </w:tc>
        <w:tc>
          <w:tcPr>
            <w:tcW w:w="784" w:type="dxa"/>
            <w:tcBorders>
              <w:top w:val="nil"/>
              <w:left w:val="nil"/>
              <w:bottom w:val="single" w:sz="4"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0,00</w:t>
            </w:r>
          </w:p>
        </w:tc>
        <w:tc>
          <w:tcPr>
            <w:tcW w:w="868" w:type="dxa"/>
            <w:tcBorders>
              <w:top w:val="nil"/>
              <w:left w:val="nil"/>
              <w:bottom w:val="single" w:sz="4"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543,87</w:t>
            </w:r>
          </w:p>
        </w:tc>
        <w:tc>
          <w:tcPr>
            <w:tcW w:w="789" w:type="dxa"/>
            <w:tcBorders>
              <w:top w:val="nil"/>
              <w:left w:val="nil"/>
              <w:bottom w:val="single" w:sz="4"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09"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204,97</w:t>
            </w:r>
          </w:p>
        </w:tc>
        <w:tc>
          <w:tcPr>
            <w:tcW w:w="783"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0,00</w:t>
            </w:r>
          </w:p>
        </w:tc>
        <w:tc>
          <w:tcPr>
            <w:tcW w:w="70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543,87</w:t>
            </w:r>
          </w:p>
        </w:tc>
        <w:tc>
          <w:tcPr>
            <w:tcW w:w="77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color w:val="FFFFFF"/>
                <w:sz w:val="18"/>
                <w:szCs w:val="18"/>
                <w:lang w:eastAsia="uk-UA"/>
              </w:rPr>
            </w:pPr>
            <w:r w:rsidRPr="00242020">
              <w:rPr>
                <w:bCs/>
                <w:color w:val="FFFFFF"/>
                <w:sz w:val="18"/>
                <w:szCs w:val="18"/>
                <w:lang w:eastAsia="uk-UA"/>
              </w:rPr>
              <w:t>#</w:t>
            </w:r>
            <w:proofErr w:type="spellStart"/>
            <w:r w:rsidRPr="00242020">
              <w:rPr>
                <w:bCs/>
                <w:color w:val="FFFFFF"/>
                <w:sz w:val="18"/>
                <w:szCs w:val="18"/>
                <w:lang w:eastAsia="uk-UA"/>
              </w:rPr>
              <w:t>ДЕЛ</w:t>
            </w:r>
            <w:proofErr w:type="spellEnd"/>
            <w:r w:rsidRPr="00242020">
              <w:rPr>
                <w:bCs/>
                <w:color w:val="FFFFFF"/>
                <w:sz w:val="18"/>
                <w:szCs w:val="18"/>
                <w:lang w:eastAsia="uk-UA"/>
              </w:rPr>
              <w:t>/0!</w:t>
            </w:r>
          </w:p>
        </w:tc>
      </w:tr>
      <w:tr w:rsidR="004B2387" w:rsidRPr="00242020" w:rsidTr="004B2387">
        <w:trPr>
          <w:trHeight w:val="360"/>
        </w:trPr>
        <w:tc>
          <w:tcPr>
            <w:tcW w:w="2000"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Луганській області</w:t>
            </w:r>
          </w:p>
        </w:tc>
        <w:tc>
          <w:tcPr>
            <w:tcW w:w="724"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0</w:t>
            </w:r>
          </w:p>
        </w:tc>
        <w:tc>
          <w:tcPr>
            <w:tcW w:w="893"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0</w:t>
            </w:r>
          </w:p>
        </w:tc>
        <w:tc>
          <w:tcPr>
            <w:tcW w:w="650"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0</w:t>
            </w:r>
          </w:p>
        </w:tc>
        <w:tc>
          <w:tcPr>
            <w:tcW w:w="918"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0</w:t>
            </w:r>
          </w:p>
        </w:tc>
        <w:tc>
          <w:tcPr>
            <w:tcW w:w="937" w:type="dxa"/>
            <w:tcBorders>
              <w:top w:val="nil"/>
              <w:left w:val="single" w:sz="8" w:space="0" w:color="auto"/>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360,00</w:t>
            </w:r>
          </w:p>
        </w:tc>
        <w:tc>
          <w:tcPr>
            <w:tcW w:w="896"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0,00</w:t>
            </w:r>
          </w:p>
        </w:tc>
        <w:tc>
          <w:tcPr>
            <w:tcW w:w="798"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7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896" w:type="dxa"/>
            <w:tcBorders>
              <w:top w:val="nil"/>
              <w:left w:val="nil"/>
              <w:bottom w:val="single" w:sz="4"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0,00</w:t>
            </w:r>
          </w:p>
        </w:tc>
        <w:tc>
          <w:tcPr>
            <w:tcW w:w="784" w:type="dxa"/>
            <w:tcBorders>
              <w:top w:val="nil"/>
              <w:left w:val="nil"/>
              <w:bottom w:val="single" w:sz="4"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0,00</w:t>
            </w:r>
          </w:p>
        </w:tc>
        <w:tc>
          <w:tcPr>
            <w:tcW w:w="868" w:type="dxa"/>
            <w:tcBorders>
              <w:top w:val="nil"/>
              <w:left w:val="nil"/>
              <w:bottom w:val="single" w:sz="4"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89" w:type="dxa"/>
            <w:tcBorders>
              <w:top w:val="nil"/>
              <w:left w:val="nil"/>
              <w:bottom w:val="single" w:sz="4"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09"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0,00</w:t>
            </w:r>
          </w:p>
        </w:tc>
        <w:tc>
          <w:tcPr>
            <w:tcW w:w="783"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color w:val="FFFFFF"/>
                <w:sz w:val="18"/>
                <w:szCs w:val="18"/>
                <w:lang w:eastAsia="uk-UA"/>
              </w:rPr>
            </w:pPr>
            <w:r w:rsidRPr="00242020">
              <w:rPr>
                <w:b/>
                <w:color w:val="FFFFFF"/>
                <w:sz w:val="18"/>
                <w:szCs w:val="18"/>
                <w:lang w:eastAsia="uk-UA"/>
              </w:rPr>
              <w:t>#</w:t>
            </w:r>
            <w:proofErr w:type="spellStart"/>
            <w:r w:rsidRPr="00242020">
              <w:rPr>
                <w:b/>
                <w:color w:val="FFFFFF"/>
                <w:sz w:val="18"/>
                <w:szCs w:val="18"/>
                <w:lang w:eastAsia="uk-UA"/>
              </w:rPr>
              <w:t>ДЕЛ</w:t>
            </w:r>
            <w:proofErr w:type="spellEnd"/>
            <w:r w:rsidRPr="00242020">
              <w:rPr>
                <w:b/>
                <w:color w:val="FFFFFF"/>
                <w:sz w:val="18"/>
                <w:szCs w:val="18"/>
                <w:lang w:eastAsia="uk-UA"/>
              </w:rPr>
              <w:t>/0!</w:t>
            </w:r>
          </w:p>
        </w:tc>
        <w:tc>
          <w:tcPr>
            <w:tcW w:w="70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color w:val="FFFFFF"/>
                <w:sz w:val="18"/>
                <w:szCs w:val="18"/>
                <w:lang w:eastAsia="uk-UA"/>
              </w:rPr>
            </w:pPr>
            <w:r w:rsidRPr="00242020">
              <w:rPr>
                <w:bCs/>
                <w:color w:val="FFFFFF"/>
                <w:sz w:val="18"/>
                <w:szCs w:val="18"/>
                <w:lang w:eastAsia="uk-UA"/>
              </w:rPr>
              <w:t>#</w:t>
            </w:r>
            <w:proofErr w:type="spellStart"/>
            <w:r w:rsidRPr="00242020">
              <w:rPr>
                <w:bCs/>
                <w:color w:val="FFFFFF"/>
                <w:sz w:val="18"/>
                <w:szCs w:val="18"/>
                <w:lang w:eastAsia="uk-UA"/>
              </w:rPr>
              <w:t>ДЕЛ</w:t>
            </w:r>
            <w:proofErr w:type="spellEnd"/>
            <w:r w:rsidRPr="00242020">
              <w:rPr>
                <w:bCs/>
                <w:color w:val="FFFFFF"/>
                <w:sz w:val="18"/>
                <w:szCs w:val="18"/>
                <w:lang w:eastAsia="uk-UA"/>
              </w:rPr>
              <w:t>/0!</w:t>
            </w:r>
          </w:p>
        </w:tc>
        <w:tc>
          <w:tcPr>
            <w:tcW w:w="77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color w:val="FFFFFF"/>
                <w:sz w:val="18"/>
                <w:szCs w:val="18"/>
                <w:lang w:eastAsia="uk-UA"/>
              </w:rPr>
            </w:pPr>
            <w:r w:rsidRPr="00242020">
              <w:rPr>
                <w:bCs/>
                <w:color w:val="FFFFFF"/>
                <w:sz w:val="18"/>
                <w:szCs w:val="18"/>
                <w:lang w:eastAsia="uk-UA"/>
              </w:rPr>
              <w:t>#</w:t>
            </w:r>
            <w:proofErr w:type="spellStart"/>
            <w:r w:rsidRPr="00242020">
              <w:rPr>
                <w:bCs/>
                <w:color w:val="FFFFFF"/>
                <w:sz w:val="18"/>
                <w:szCs w:val="18"/>
                <w:lang w:eastAsia="uk-UA"/>
              </w:rPr>
              <w:t>ДЕЛ</w:t>
            </w:r>
            <w:proofErr w:type="spellEnd"/>
            <w:r w:rsidRPr="00242020">
              <w:rPr>
                <w:bCs/>
                <w:color w:val="FFFFFF"/>
                <w:sz w:val="18"/>
                <w:szCs w:val="18"/>
                <w:lang w:eastAsia="uk-UA"/>
              </w:rPr>
              <w:t>/0!</w:t>
            </w:r>
          </w:p>
        </w:tc>
      </w:tr>
      <w:tr w:rsidR="004B2387" w:rsidRPr="00242020" w:rsidTr="004B2387">
        <w:trPr>
          <w:trHeight w:val="360"/>
        </w:trPr>
        <w:tc>
          <w:tcPr>
            <w:tcW w:w="2000"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Львівській області</w:t>
            </w:r>
          </w:p>
        </w:tc>
        <w:tc>
          <w:tcPr>
            <w:tcW w:w="724"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11</w:t>
            </w:r>
          </w:p>
        </w:tc>
        <w:tc>
          <w:tcPr>
            <w:tcW w:w="893"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1</w:t>
            </w:r>
          </w:p>
        </w:tc>
        <w:tc>
          <w:tcPr>
            <w:tcW w:w="650"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0</w:t>
            </w:r>
          </w:p>
        </w:tc>
        <w:tc>
          <w:tcPr>
            <w:tcW w:w="918"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0</w:t>
            </w:r>
          </w:p>
        </w:tc>
        <w:tc>
          <w:tcPr>
            <w:tcW w:w="937" w:type="dxa"/>
            <w:tcBorders>
              <w:top w:val="nil"/>
              <w:left w:val="single" w:sz="8" w:space="0" w:color="auto"/>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4</w:t>
            </w:r>
            <w:r w:rsidR="00085F86">
              <w:rPr>
                <w:b/>
                <w:sz w:val="18"/>
                <w:szCs w:val="18"/>
                <w:lang w:eastAsia="uk-UA"/>
              </w:rPr>
              <w:t> </w:t>
            </w:r>
            <w:r w:rsidRPr="00242020">
              <w:rPr>
                <w:b/>
                <w:sz w:val="18"/>
                <w:szCs w:val="18"/>
                <w:lang w:eastAsia="uk-UA"/>
              </w:rPr>
              <w:t>333,00</w:t>
            </w:r>
          </w:p>
        </w:tc>
        <w:tc>
          <w:tcPr>
            <w:tcW w:w="896"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200,00</w:t>
            </w:r>
          </w:p>
        </w:tc>
        <w:tc>
          <w:tcPr>
            <w:tcW w:w="798"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2200,00</w:t>
            </w:r>
          </w:p>
        </w:tc>
        <w:tc>
          <w:tcPr>
            <w:tcW w:w="77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896" w:type="dxa"/>
            <w:tcBorders>
              <w:top w:val="nil"/>
              <w:left w:val="nil"/>
              <w:bottom w:val="single" w:sz="4"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687,05</w:t>
            </w:r>
          </w:p>
        </w:tc>
        <w:tc>
          <w:tcPr>
            <w:tcW w:w="784" w:type="dxa"/>
            <w:tcBorders>
              <w:top w:val="nil"/>
              <w:left w:val="nil"/>
              <w:bottom w:val="single" w:sz="4"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4,75</w:t>
            </w:r>
          </w:p>
        </w:tc>
        <w:tc>
          <w:tcPr>
            <w:tcW w:w="868" w:type="dxa"/>
            <w:tcBorders>
              <w:top w:val="nil"/>
              <w:left w:val="nil"/>
              <w:bottom w:val="single" w:sz="4"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89" w:type="dxa"/>
            <w:tcBorders>
              <w:top w:val="nil"/>
              <w:left w:val="nil"/>
              <w:bottom w:val="single" w:sz="4"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09"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15,86</w:t>
            </w:r>
          </w:p>
        </w:tc>
        <w:tc>
          <w:tcPr>
            <w:tcW w:w="783"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2,38</w:t>
            </w:r>
          </w:p>
        </w:tc>
        <w:tc>
          <w:tcPr>
            <w:tcW w:w="70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7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color w:val="FFFFFF"/>
                <w:sz w:val="18"/>
                <w:szCs w:val="18"/>
                <w:lang w:eastAsia="uk-UA"/>
              </w:rPr>
            </w:pPr>
            <w:r w:rsidRPr="00242020">
              <w:rPr>
                <w:bCs/>
                <w:color w:val="FFFFFF"/>
                <w:sz w:val="18"/>
                <w:szCs w:val="18"/>
                <w:lang w:eastAsia="uk-UA"/>
              </w:rPr>
              <w:t>#</w:t>
            </w:r>
            <w:proofErr w:type="spellStart"/>
            <w:r w:rsidRPr="00242020">
              <w:rPr>
                <w:bCs/>
                <w:color w:val="FFFFFF"/>
                <w:sz w:val="18"/>
                <w:szCs w:val="18"/>
                <w:lang w:eastAsia="uk-UA"/>
              </w:rPr>
              <w:t>ДЕЛ</w:t>
            </w:r>
            <w:proofErr w:type="spellEnd"/>
            <w:r w:rsidRPr="00242020">
              <w:rPr>
                <w:bCs/>
                <w:color w:val="FFFFFF"/>
                <w:sz w:val="18"/>
                <w:szCs w:val="18"/>
                <w:lang w:eastAsia="uk-UA"/>
              </w:rPr>
              <w:t>/0!</w:t>
            </w:r>
          </w:p>
        </w:tc>
      </w:tr>
      <w:tr w:rsidR="004B2387" w:rsidRPr="00242020" w:rsidTr="004B2387">
        <w:trPr>
          <w:trHeight w:val="360"/>
        </w:trPr>
        <w:tc>
          <w:tcPr>
            <w:tcW w:w="2000"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Миколаївській області</w:t>
            </w:r>
          </w:p>
        </w:tc>
        <w:tc>
          <w:tcPr>
            <w:tcW w:w="724"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4</w:t>
            </w:r>
          </w:p>
        </w:tc>
        <w:tc>
          <w:tcPr>
            <w:tcW w:w="893"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1</w:t>
            </w:r>
          </w:p>
        </w:tc>
        <w:tc>
          <w:tcPr>
            <w:tcW w:w="650"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0</w:t>
            </w:r>
          </w:p>
        </w:tc>
        <w:tc>
          <w:tcPr>
            <w:tcW w:w="918"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0</w:t>
            </w:r>
          </w:p>
        </w:tc>
        <w:tc>
          <w:tcPr>
            <w:tcW w:w="937" w:type="dxa"/>
            <w:tcBorders>
              <w:top w:val="nil"/>
              <w:left w:val="single" w:sz="8" w:space="0" w:color="auto"/>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4</w:t>
            </w:r>
            <w:r w:rsidR="00085F86">
              <w:rPr>
                <w:b/>
                <w:sz w:val="18"/>
                <w:szCs w:val="18"/>
                <w:lang w:eastAsia="uk-UA"/>
              </w:rPr>
              <w:t> </w:t>
            </w:r>
            <w:r w:rsidRPr="00242020">
              <w:rPr>
                <w:b/>
                <w:sz w:val="18"/>
                <w:szCs w:val="18"/>
                <w:lang w:eastAsia="uk-UA"/>
              </w:rPr>
              <w:t>450,00</w:t>
            </w:r>
          </w:p>
        </w:tc>
        <w:tc>
          <w:tcPr>
            <w:tcW w:w="896"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0,00</w:t>
            </w:r>
          </w:p>
        </w:tc>
        <w:tc>
          <w:tcPr>
            <w:tcW w:w="798"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7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896" w:type="dxa"/>
            <w:tcBorders>
              <w:top w:val="nil"/>
              <w:left w:val="nil"/>
              <w:bottom w:val="single" w:sz="4"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5</w:t>
            </w:r>
            <w:r w:rsidR="00085F86">
              <w:rPr>
                <w:b/>
                <w:sz w:val="18"/>
                <w:szCs w:val="18"/>
                <w:lang w:eastAsia="uk-UA"/>
              </w:rPr>
              <w:t> </w:t>
            </w:r>
            <w:r w:rsidRPr="00242020">
              <w:rPr>
                <w:b/>
                <w:sz w:val="18"/>
                <w:szCs w:val="18"/>
                <w:lang w:eastAsia="uk-UA"/>
              </w:rPr>
              <w:t>171,85</w:t>
            </w:r>
          </w:p>
        </w:tc>
        <w:tc>
          <w:tcPr>
            <w:tcW w:w="784" w:type="dxa"/>
            <w:tcBorders>
              <w:top w:val="nil"/>
              <w:left w:val="nil"/>
              <w:bottom w:val="single" w:sz="4"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154,32</w:t>
            </w:r>
          </w:p>
        </w:tc>
        <w:tc>
          <w:tcPr>
            <w:tcW w:w="868" w:type="dxa"/>
            <w:tcBorders>
              <w:top w:val="nil"/>
              <w:left w:val="nil"/>
              <w:bottom w:val="single" w:sz="4"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89" w:type="dxa"/>
            <w:tcBorders>
              <w:top w:val="nil"/>
              <w:left w:val="nil"/>
              <w:bottom w:val="single" w:sz="4"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09"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116,22</w:t>
            </w:r>
          </w:p>
        </w:tc>
        <w:tc>
          <w:tcPr>
            <w:tcW w:w="783"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color w:val="FFFFFF"/>
                <w:sz w:val="18"/>
                <w:szCs w:val="18"/>
                <w:lang w:eastAsia="uk-UA"/>
              </w:rPr>
            </w:pPr>
            <w:r w:rsidRPr="00242020">
              <w:rPr>
                <w:b/>
                <w:color w:val="FFFFFF"/>
                <w:sz w:val="18"/>
                <w:szCs w:val="18"/>
                <w:lang w:eastAsia="uk-UA"/>
              </w:rPr>
              <w:t>#</w:t>
            </w:r>
            <w:proofErr w:type="spellStart"/>
            <w:r w:rsidRPr="00242020">
              <w:rPr>
                <w:b/>
                <w:color w:val="FFFFFF"/>
                <w:sz w:val="18"/>
                <w:szCs w:val="18"/>
                <w:lang w:eastAsia="uk-UA"/>
              </w:rPr>
              <w:t>ДЕЛ</w:t>
            </w:r>
            <w:proofErr w:type="spellEnd"/>
            <w:r w:rsidRPr="00242020">
              <w:rPr>
                <w:b/>
                <w:color w:val="FFFFFF"/>
                <w:sz w:val="18"/>
                <w:szCs w:val="18"/>
                <w:lang w:eastAsia="uk-UA"/>
              </w:rPr>
              <w:t>/0!</w:t>
            </w:r>
          </w:p>
        </w:tc>
        <w:tc>
          <w:tcPr>
            <w:tcW w:w="70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color w:val="FFFFFF"/>
                <w:sz w:val="18"/>
                <w:szCs w:val="18"/>
                <w:lang w:eastAsia="uk-UA"/>
              </w:rPr>
            </w:pPr>
            <w:r w:rsidRPr="00242020">
              <w:rPr>
                <w:bCs/>
                <w:color w:val="FFFFFF"/>
                <w:sz w:val="18"/>
                <w:szCs w:val="18"/>
                <w:lang w:eastAsia="uk-UA"/>
              </w:rPr>
              <w:t>#</w:t>
            </w:r>
            <w:proofErr w:type="spellStart"/>
            <w:r w:rsidRPr="00242020">
              <w:rPr>
                <w:bCs/>
                <w:color w:val="FFFFFF"/>
                <w:sz w:val="18"/>
                <w:szCs w:val="18"/>
                <w:lang w:eastAsia="uk-UA"/>
              </w:rPr>
              <w:t>ДЕЛ</w:t>
            </w:r>
            <w:proofErr w:type="spellEnd"/>
            <w:r w:rsidRPr="00242020">
              <w:rPr>
                <w:bCs/>
                <w:color w:val="FFFFFF"/>
                <w:sz w:val="18"/>
                <w:szCs w:val="18"/>
                <w:lang w:eastAsia="uk-UA"/>
              </w:rPr>
              <w:t>/0!</w:t>
            </w:r>
          </w:p>
        </w:tc>
        <w:tc>
          <w:tcPr>
            <w:tcW w:w="77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color w:val="FFFFFF"/>
                <w:sz w:val="18"/>
                <w:szCs w:val="18"/>
                <w:lang w:eastAsia="uk-UA"/>
              </w:rPr>
            </w:pPr>
            <w:r w:rsidRPr="00242020">
              <w:rPr>
                <w:bCs/>
                <w:color w:val="FFFFFF"/>
                <w:sz w:val="18"/>
                <w:szCs w:val="18"/>
                <w:lang w:eastAsia="uk-UA"/>
              </w:rPr>
              <w:t>#</w:t>
            </w:r>
            <w:proofErr w:type="spellStart"/>
            <w:r w:rsidRPr="00242020">
              <w:rPr>
                <w:bCs/>
                <w:color w:val="FFFFFF"/>
                <w:sz w:val="18"/>
                <w:szCs w:val="18"/>
                <w:lang w:eastAsia="uk-UA"/>
              </w:rPr>
              <w:t>ДЕЛ</w:t>
            </w:r>
            <w:proofErr w:type="spellEnd"/>
            <w:r w:rsidRPr="00242020">
              <w:rPr>
                <w:bCs/>
                <w:color w:val="FFFFFF"/>
                <w:sz w:val="18"/>
                <w:szCs w:val="18"/>
                <w:lang w:eastAsia="uk-UA"/>
              </w:rPr>
              <w:t>/0!</w:t>
            </w:r>
          </w:p>
        </w:tc>
      </w:tr>
      <w:tr w:rsidR="004B2387" w:rsidRPr="00242020" w:rsidTr="004B2387">
        <w:trPr>
          <w:trHeight w:val="360"/>
        </w:trPr>
        <w:tc>
          <w:tcPr>
            <w:tcW w:w="2000" w:type="dxa"/>
            <w:tcBorders>
              <w:top w:val="nil"/>
              <w:left w:val="single" w:sz="8" w:space="0" w:color="auto"/>
              <w:bottom w:val="single" w:sz="8" w:space="0" w:color="000000" w:themeColor="text1"/>
              <w:right w:val="nil"/>
            </w:tcBorders>
            <w:shd w:val="clear" w:color="auto" w:fill="auto"/>
            <w:vAlign w:val="center"/>
            <w:hideMark/>
          </w:tcPr>
          <w:p w:rsidR="004B2387" w:rsidRPr="00242020" w:rsidRDefault="004B2387" w:rsidP="004B2387">
            <w:pPr>
              <w:widowControl/>
              <w:ind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Одеській області</w:t>
            </w:r>
          </w:p>
        </w:tc>
        <w:tc>
          <w:tcPr>
            <w:tcW w:w="724" w:type="dxa"/>
            <w:tcBorders>
              <w:top w:val="nil"/>
              <w:left w:val="single" w:sz="8" w:space="0" w:color="auto"/>
              <w:bottom w:val="single" w:sz="8" w:space="0" w:color="000000" w:themeColor="text1"/>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2</w:t>
            </w:r>
          </w:p>
        </w:tc>
        <w:tc>
          <w:tcPr>
            <w:tcW w:w="893" w:type="dxa"/>
            <w:tcBorders>
              <w:top w:val="nil"/>
              <w:left w:val="single" w:sz="8" w:space="0" w:color="auto"/>
              <w:bottom w:val="single" w:sz="8" w:space="0" w:color="000000" w:themeColor="text1"/>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0</w:t>
            </w:r>
          </w:p>
        </w:tc>
        <w:tc>
          <w:tcPr>
            <w:tcW w:w="650" w:type="dxa"/>
            <w:tcBorders>
              <w:top w:val="nil"/>
              <w:left w:val="single" w:sz="8" w:space="0" w:color="auto"/>
              <w:bottom w:val="single" w:sz="8" w:space="0" w:color="000000" w:themeColor="text1"/>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0</w:t>
            </w:r>
          </w:p>
        </w:tc>
        <w:tc>
          <w:tcPr>
            <w:tcW w:w="918" w:type="dxa"/>
            <w:tcBorders>
              <w:top w:val="nil"/>
              <w:left w:val="single" w:sz="8" w:space="0" w:color="auto"/>
              <w:bottom w:val="single" w:sz="8" w:space="0" w:color="000000" w:themeColor="text1"/>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0</w:t>
            </w:r>
          </w:p>
        </w:tc>
        <w:tc>
          <w:tcPr>
            <w:tcW w:w="937" w:type="dxa"/>
            <w:tcBorders>
              <w:top w:val="nil"/>
              <w:left w:val="single" w:sz="8" w:space="0" w:color="auto"/>
              <w:bottom w:val="single" w:sz="8" w:space="0" w:color="000000" w:themeColor="text1"/>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18</w:t>
            </w:r>
            <w:r w:rsidR="00085F86">
              <w:rPr>
                <w:b/>
                <w:sz w:val="18"/>
                <w:szCs w:val="18"/>
                <w:lang w:eastAsia="uk-UA"/>
              </w:rPr>
              <w:t> </w:t>
            </w:r>
            <w:r w:rsidRPr="00242020">
              <w:rPr>
                <w:b/>
                <w:sz w:val="18"/>
                <w:szCs w:val="18"/>
                <w:lang w:eastAsia="uk-UA"/>
              </w:rPr>
              <w:t>418,30</w:t>
            </w:r>
          </w:p>
        </w:tc>
        <w:tc>
          <w:tcPr>
            <w:tcW w:w="896" w:type="dxa"/>
            <w:tcBorders>
              <w:top w:val="nil"/>
              <w:left w:val="nil"/>
              <w:bottom w:val="single" w:sz="8" w:space="0" w:color="000000" w:themeColor="text1"/>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6738,25</w:t>
            </w:r>
          </w:p>
        </w:tc>
        <w:tc>
          <w:tcPr>
            <w:tcW w:w="798" w:type="dxa"/>
            <w:tcBorders>
              <w:top w:val="nil"/>
              <w:left w:val="nil"/>
              <w:bottom w:val="single" w:sz="8" w:space="0" w:color="000000" w:themeColor="text1"/>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11128,30</w:t>
            </w:r>
          </w:p>
        </w:tc>
        <w:tc>
          <w:tcPr>
            <w:tcW w:w="770" w:type="dxa"/>
            <w:tcBorders>
              <w:top w:val="nil"/>
              <w:left w:val="nil"/>
              <w:bottom w:val="single" w:sz="8" w:space="0" w:color="000000" w:themeColor="text1"/>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6238,25</w:t>
            </w:r>
          </w:p>
        </w:tc>
        <w:tc>
          <w:tcPr>
            <w:tcW w:w="896" w:type="dxa"/>
            <w:tcBorders>
              <w:top w:val="nil"/>
              <w:left w:val="nil"/>
              <w:bottom w:val="single" w:sz="8" w:space="0" w:color="000000" w:themeColor="text1"/>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1</w:t>
            </w:r>
            <w:r w:rsidR="00085F86">
              <w:rPr>
                <w:b/>
                <w:sz w:val="18"/>
                <w:szCs w:val="18"/>
                <w:lang w:eastAsia="uk-UA"/>
              </w:rPr>
              <w:t> </w:t>
            </w:r>
            <w:r w:rsidRPr="00242020">
              <w:rPr>
                <w:b/>
                <w:sz w:val="18"/>
                <w:szCs w:val="18"/>
                <w:lang w:eastAsia="uk-UA"/>
              </w:rPr>
              <w:t>430,14</w:t>
            </w:r>
          </w:p>
        </w:tc>
        <w:tc>
          <w:tcPr>
            <w:tcW w:w="784" w:type="dxa"/>
            <w:tcBorders>
              <w:top w:val="nil"/>
              <w:left w:val="nil"/>
              <w:bottom w:val="single" w:sz="8" w:space="0" w:color="000000" w:themeColor="text1"/>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0,00</w:t>
            </w:r>
          </w:p>
        </w:tc>
        <w:tc>
          <w:tcPr>
            <w:tcW w:w="868" w:type="dxa"/>
            <w:tcBorders>
              <w:top w:val="nil"/>
              <w:left w:val="nil"/>
              <w:bottom w:val="single" w:sz="8" w:space="0" w:color="000000" w:themeColor="text1"/>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89" w:type="dxa"/>
            <w:tcBorders>
              <w:top w:val="nil"/>
              <w:left w:val="nil"/>
              <w:bottom w:val="single" w:sz="8" w:space="0" w:color="000000" w:themeColor="text1"/>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09" w:type="dxa"/>
            <w:tcBorders>
              <w:top w:val="nil"/>
              <w:left w:val="nil"/>
              <w:bottom w:val="single" w:sz="8" w:space="0" w:color="000000" w:themeColor="text1"/>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7,76</w:t>
            </w:r>
          </w:p>
        </w:tc>
        <w:tc>
          <w:tcPr>
            <w:tcW w:w="783" w:type="dxa"/>
            <w:tcBorders>
              <w:top w:val="nil"/>
              <w:left w:val="nil"/>
              <w:bottom w:val="single" w:sz="8" w:space="0" w:color="000000" w:themeColor="text1"/>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0,00</w:t>
            </w:r>
          </w:p>
        </w:tc>
        <w:tc>
          <w:tcPr>
            <w:tcW w:w="700" w:type="dxa"/>
            <w:tcBorders>
              <w:top w:val="nil"/>
              <w:left w:val="nil"/>
              <w:bottom w:val="single" w:sz="8" w:space="0" w:color="000000" w:themeColor="text1"/>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70" w:type="dxa"/>
            <w:tcBorders>
              <w:top w:val="nil"/>
              <w:left w:val="nil"/>
              <w:bottom w:val="single" w:sz="8" w:space="0" w:color="000000" w:themeColor="text1"/>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r>
      <w:tr w:rsidR="004B2387" w:rsidRPr="00242020" w:rsidTr="004B2387">
        <w:trPr>
          <w:trHeight w:val="360"/>
        </w:trPr>
        <w:tc>
          <w:tcPr>
            <w:tcW w:w="2000" w:type="dxa"/>
            <w:tcBorders>
              <w:top w:val="nil"/>
              <w:left w:val="single" w:sz="8" w:space="0" w:color="auto"/>
              <w:bottom w:val="single" w:sz="8" w:space="0" w:color="000000" w:themeColor="text1"/>
              <w:right w:val="nil"/>
            </w:tcBorders>
            <w:shd w:val="clear" w:color="auto" w:fill="auto"/>
            <w:vAlign w:val="center"/>
            <w:hideMark/>
          </w:tcPr>
          <w:p w:rsidR="004B2387" w:rsidRPr="00242020" w:rsidRDefault="004B2387" w:rsidP="004B2387">
            <w:pPr>
              <w:widowControl/>
              <w:ind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Полтавській області</w:t>
            </w:r>
          </w:p>
        </w:tc>
        <w:tc>
          <w:tcPr>
            <w:tcW w:w="724" w:type="dxa"/>
            <w:tcBorders>
              <w:top w:val="nil"/>
              <w:left w:val="single" w:sz="8" w:space="0" w:color="auto"/>
              <w:bottom w:val="single" w:sz="8" w:space="0" w:color="000000" w:themeColor="text1"/>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6</w:t>
            </w:r>
          </w:p>
        </w:tc>
        <w:tc>
          <w:tcPr>
            <w:tcW w:w="893" w:type="dxa"/>
            <w:tcBorders>
              <w:top w:val="nil"/>
              <w:left w:val="single" w:sz="8" w:space="0" w:color="auto"/>
              <w:bottom w:val="single" w:sz="8" w:space="0" w:color="000000" w:themeColor="text1"/>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0</w:t>
            </w:r>
          </w:p>
        </w:tc>
        <w:tc>
          <w:tcPr>
            <w:tcW w:w="650" w:type="dxa"/>
            <w:tcBorders>
              <w:top w:val="nil"/>
              <w:left w:val="single" w:sz="8" w:space="0" w:color="auto"/>
              <w:bottom w:val="single" w:sz="8" w:space="0" w:color="000000" w:themeColor="text1"/>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0</w:t>
            </w:r>
          </w:p>
        </w:tc>
        <w:tc>
          <w:tcPr>
            <w:tcW w:w="918" w:type="dxa"/>
            <w:tcBorders>
              <w:top w:val="nil"/>
              <w:left w:val="single" w:sz="8" w:space="0" w:color="auto"/>
              <w:bottom w:val="single" w:sz="8" w:space="0" w:color="000000" w:themeColor="text1"/>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0</w:t>
            </w:r>
          </w:p>
        </w:tc>
        <w:tc>
          <w:tcPr>
            <w:tcW w:w="937" w:type="dxa"/>
            <w:tcBorders>
              <w:top w:val="nil"/>
              <w:left w:val="single" w:sz="8" w:space="0" w:color="auto"/>
              <w:bottom w:val="single" w:sz="8" w:space="0" w:color="000000" w:themeColor="text1"/>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1</w:t>
            </w:r>
            <w:r w:rsidR="00085F86">
              <w:rPr>
                <w:b/>
                <w:sz w:val="18"/>
                <w:szCs w:val="18"/>
                <w:lang w:eastAsia="uk-UA"/>
              </w:rPr>
              <w:t> </w:t>
            </w:r>
            <w:r w:rsidRPr="00242020">
              <w:rPr>
                <w:b/>
                <w:sz w:val="18"/>
                <w:szCs w:val="18"/>
                <w:lang w:eastAsia="uk-UA"/>
              </w:rPr>
              <w:t>308,00</w:t>
            </w:r>
          </w:p>
        </w:tc>
        <w:tc>
          <w:tcPr>
            <w:tcW w:w="896" w:type="dxa"/>
            <w:tcBorders>
              <w:top w:val="nil"/>
              <w:left w:val="nil"/>
              <w:bottom w:val="single" w:sz="8" w:space="0" w:color="000000" w:themeColor="text1"/>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60,00</w:t>
            </w:r>
          </w:p>
        </w:tc>
        <w:tc>
          <w:tcPr>
            <w:tcW w:w="798" w:type="dxa"/>
            <w:tcBorders>
              <w:top w:val="nil"/>
              <w:left w:val="nil"/>
              <w:bottom w:val="single" w:sz="8" w:space="0" w:color="000000" w:themeColor="text1"/>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70" w:type="dxa"/>
            <w:tcBorders>
              <w:top w:val="nil"/>
              <w:left w:val="nil"/>
              <w:bottom w:val="single" w:sz="8" w:space="0" w:color="000000" w:themeColor="text1"/>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896" w:type="dxa"/>
            <w:tcBorders>
              <w:top w:val="nil"/>
              <w:left w:val="nil"/>
              <w:bottom w:val="single" w:sz="8" w:space="0" w:color="000000" w:themeColor="text1"/>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2</w:t>
            </w:r>
            <w:r w:rsidR="00085F86">
              <w:rPr>
                <w:b/>
                <w:sz w:val="18"/>
                <w:szCs w:val="18"/>
                <w:lang w:eastAsia="uk-UA"/>
              </w:rPr>
              <w:t> </w:t>
            </w:r>
            <w:r w:rsidRPr="00242020">
              <w:rPr>
                <w:b/>
                <w:sz w:val="18"/>
                <w:szCs w:val="18"/>
                <w:lang w:eastAsia="uk-UA"/>
              </w:rPr>
              <w:t>076,82</w:t>
            </w:r>
          </w:p>
        </w:tc>
        <w:tc>
          <w:tcPr>
            <w:tcW w:w="784" w:type="dxa"/>
            <w:tcBorders>
              <w:top w:val="nil"/>
              <w:left w:val="nil"/>
              <w:bottom w:val="single" w:sz="8" w:space="0" w:color="000000" w:themeColor="text1"/>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0,00</w:t>
            </w:r>
          </w:p>
        </w:tc>
        <w:tc>
          <w:tcPr>
            <w:tcW w:w="868" w:type="dxa"/>
            <w:tcBorders>
              <w:top w:val="nil"/>
              <w:left w:val="nil"/>
              <w:bottom w:val="single" w:sz="8" w:space="0" w:color="000000" w:themeColor="text1"/>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89" w:type="dxa"/>
            <w:tcBorders>
              <w:top w:val="nil"/>
              <w:left w:val="nil"/>
              <w:bottom w:val="single" w:sz="8" w:space="0" w:color="000000" w:themeColor="text1"/>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09" w:type="dxa"/>
            <w:tcBorders>
              <w:top w:val="nil"/>
              <w:left w:val="nil"/>
              <w:bottom w:val="single" w:sz="8" w:space="0" w:color="000000" w:themeColor="text1"/>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158,78</w:t>
            </w:r>
          </w:p>
        </w:tc>
        <w:tc>
          <w:tcPr>
            <w:tcW w:w="783" w:type="dxa"/>
            <w:tcBorders>
              <w:top w:val="nil"/>
              <w:left w:val="nil"/>
              <w:bottom w:val="single" w:sz="8" w:space="0" w:color="000000" w:themeColor="text1"/>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0,00</w:t>
            </w:r>
          </w:p>
        </w:tc>
        <w:tc>
          <w:tcPr>
            <w:tcW w:w="700" w:type="dxa"/>
            <w:tcBorders>
              <w:top w:val="nil"/>
              <w:left w:val="nil"/>
              <w:bottom w:val="single" w:sz="8" w:space="0" w:color="000000" w:themeColor="text1"/>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color w:val="FFFFFF"/>
                <w:sz w:val="18"/>
                <w:szCs w:val="18"/>
                <w:lang w:eastAsia="uk-UA"/>
              </w:rPr>
            </w:pPr>
            <w:r w:rsidRPr="00242020">
              <w:rPr>
                <w:bCs/>
                <w:color w:val="FFFFFF"/>
                <w:sz w:val="18"/>
                <w:szCs w:val="18"/>
                <w:lang w:eastAsia="uk-UA"/>
              </w:rPr>
              <w:t>#</w:t>
            </w:r>
            <w:proofErr w:type="spellStart"/>
            <w:r w:rsidRPr="00242020">
              <w:rPr>
                <w:bCs/>
                <w:color w:val="FFFFFF"/>
                <w:sz w:val="18"/>
                <w:szCs w:val="18"/>
                <w:lang w:eastAsia="uk-UA"/>
              </w:rPr>
              <w:t>ДЕЛ</w:t>
            </w:r>
            <w:proofErr w:type="spellEnd"/>
            <w:r w:rsidRPr="00242020">
              <w:rPr>
                <w:bCs/>
                <w:color w:val="FFFFFF"/>
                <w:sz w:val="18"/>
                <w:szCs w:val="18"/>
                <w:lang w:eastAsia="uk-UA"/>
              </w:rPr>
              <w:t>/0!</w:t>
            </w:r>
          </w:p>
        </w:tc>
        <w:tc>
          <w:tcPr>
            <w:tcW w:w="770" w:type="dxa"/>
            <w:tcBorders>
              <w:top w:val="nil"/>
              <w:left w:val="nil"/>
              <w:bottom w:val="single" w:sz="8" w:space="0" w:color="000000" w:themeColor="text1"/>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color w:val="FFFFFF"/>
                <w:sz w:val="18"/>
                <w:szCs w:val="18"/>
                <w:lang w:eastAsia="uk-UA"/>
              </w:rPr>
            </w:pPr>
            <w:r w:rsidRPr="00242020">
              <w:rPr>
                <w:bCs/>
                <w:color w:val="FFFFFF"/>
                <w:sz w:val="18"/>
                <w:szCs w:val="18"/>
                <w:lang w:eastAsia="uk-UA"/>
              </w:rPr>
              <w:t>#</w:t>
            </w:r>
            <w:proofErr w:type="spellStart"/>
            <w:r w:rsidRPr="00242020">
              <w:rPr>
                <w:bCs/>
                <w:color w:val="FFFFFF"/>
                <w:sz w:val="18"/>
                <w:szCs w:val="18"/>
                <w:lang w:eastAsia="uk-UA"/>
              </w:rPr>
              <w:t>ДЕЛ</w:t>
            </w:r>
            <w:proofErr w:type="spellEnd"/>
            <w:r w:rsidRPr="00242020">
              <w:rPr>
                <w:bCs/>
                <w:color w:val="FFFFFF"/>
                <w:sz w:val="18"/>
                <w:szCs w:val="18"/>
                <w:lang w:eastAsia="uk-UA"/>
              </w:rPr>
              <w:t>/0!</w:t>
            </w:r>
          </w:p>
        </w:tc>
      </w:tr>
      <w:tr w:rsidR="004B2387" w:rsidRPr="00242020" w:rsidTr="004B2387">
        <w:trPr>
          <w:trHeight w:val="272"/>
        </w:trPr>
        <w:tc>
          <w:tcPr>
            <w:tcW w:w="2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vAlign w:val="center"/>
            <w:hideMark/>
          </w:tcPr>
          <w:p w:rsidR="004B2387" w:rsidRPr="00242020" w:rsidRDefault="004B2387" w:rsidP="004B2387">
            <w:pPr>
              <w:widowControl/>
              <w:ind w:firstLine="0"/>
              <w:jc w:val="center"/>
              <w:rPr>
                <w:rFonts w:ascii="Times New Roman Cyr" w:hAnsi="Times New Roman Cyr"/>
                <w:b/>
                <w:bCs/>
                <w:sz w:val="16"/>
                <w:szCs w:val="16"/>
                <w:lang w:eastAsia="uk-UA"/>
              </w:rPr>
            </w:pPr>
            <w:r w:rsidRPr="00242020">
              <w:rPr>
                <w:rFonts w:ascii="Times New Roman Cyr" w:hAnsi="Times New Roman Cyr"/>
                <w:b/>
                <w:bCs/>
                <w:sz w:val="16"/>
                <w:szCs w:val="16"/>
                <w:lang w:eastAsia="uk-UA"/>
              </w:rPr>
              <w:lastRenderedPageBreak/>
              <w:t>1</w:t>
            </w:r>
          </w:p>
        </w:tc>
        <w:tc>
          <w:tcPr>
            <w:tcW w:w="7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vAlign w:val="center"/>
            <w:hideMark/>
          </w:tcPr>
          <w:p w:rsidR="004B2387" w:rsidRPr="00242020" w:rsidRDefault="004B2387" w:rsidP="004B2387">
            <w:pPr>
              <w:widowControl/>
              <w:ind w:firstLine="0"/>
              <w:jc w:val="center"/>
              <w:rPr>
                <w:rFonts w:ascii="Times New Roman Cyr" w:hAnsi="Times New Roman Cyr"/>
                <w:b/>
                <w:sz w:val="16"/>
                <w:szCs w:val="16"/>
                <w:lang w:eastAsia="uk-UA"/>
              </w:rPr>
            </w:pPr>
            <w:r w:rsidRPr="00242020">
              <w:rPr>
                <w:rFonts w:ascii="Times New Roman Cyr" w:hAnsi="Times New Roman Cyr"/>
                <w:b/>
                <w:sz w:val="16"/>
                <w:szCs w:val="16"/>
                <w:lang w:eastAsia="uk-UA"/>
              </w:rPr>
              <w:t>2</w:t>
            </w:r>
          </w:p>
        </w:tc>
        <w:tc>
          <w:tcPr>
            <w:tcW w:w="8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vAlign w:val="center"/>
            <w:hideMark/>
          </w:tcPr>
          <w:p w:rsidR="004B2387" w:rsidRPr="00242020" w:rsidRDefault="004B2387" w:rsidP="004B2387">
            <w:pPr>
              <w:widowControl/>
              <w:ind w:firstLine="0"/>
              <w:jc w:val="center"/>
              <w:rPr>
                <w:rFonts w:ascii="Times New Roman Cyr" w:hAnsi="Times New Roman Cyr"/>
                <w:b/>
                <w:sz w:val="16"/>
                <w:szCs w:val="16"/>
                <w:lang w:eastAsia="uk-UA"/>
              </w:rPr>
            </w:pPr>
            <w:r w:rsidRPr="00242020">
              <w:rPr>
                <w:rFonts w:ascii="Times New Roman Cyr" w:hAnsi="Times New Roman Cyr"/>
                <w:b/>
                <w:sz w:val="16"/>
                <w:szCs w:val="16"/>
                <w:lang w:eastAsia="uk-UA"/>
              </w:rPr>
              <w:t>3</w:t>
            </w:r>
          </w:p>
        </w:tc>
        <w:tc>
          <w:tcPr>
            <w:tcW w:w="6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vAlign w:val="center"/>
            <w:hideMark/>
          </w:tcPr>
          <w:p w:rsidR="004B2387" w:rsidRPr="00242020" w:rsidRDefault="004B2387" w:rsidP="004B2387">
            <w:pPr>
              <w:widowControl/>
              <w:ind w:firstLine="0"/>
              <w:jc w:val="center"/>
              <w:rPr>
                <w:rFonts w:ascii="Times New Roman Cyr" w:hAnsi="Times New Roman Cyr"/>
                <w:b/>
                <w:bCs/>
                <w:sz w:val="16"/>
                <w:szCs w:val="16"/>
                <w:lang w:eastAsia="uk-UA"/>
              </w:rPr>
            </w:pPr>
            <w:r w:rsidRPr="00242020">
              <w:rPr>
                <w:rFonts w:ascii="Times New Roman Cyr" w:hAnsi="Times New Roman Cyr"/>
                <w:b/>
                <w:bCs/>
                <w:sz w:val="16"/>
                <w:szCs w:val="16"/>
                <w:lang w:eastAsia="uk-UA"/>
              </w:rPr>
              <w:t>4</w:t>
            </w: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vAlign w:val="center"/>
            <w:hideMark/>
          </w:tcPr>
          <w:p w:rsidR="004B2387" w:rsidRPr="00242020" w:rsidRDefault="004B2387" w:rsidP="004B2387">
            <w:pPr>
              <w:widowControl/>
              <w:ind w:firstLine="0"/>
              <w:jc w:val="center"/>
              <w:rPr>
                <w:rFonts w:ascii="Times New Roman Cyr" w:hAnsi="Times New Roman Cyr"/>
                <w:b/>
                <w:bCs/>
                <w:sz w:val="16"/>
                <w:szCs w:val="16"/>
                <w:lang w:eastAsia="uk-UA"/>
              </w:rPr>
            </w:pPr>
            <w:r w:rsidRPr="00242020">
              <w:rPr>
                <w:rFonts w:ascii="Times New Roman Cyr" w:hAnsi="Times New Roman Cyr"/>
                <w:b/>
                <w:bCs/>
                <w:sz w:val="16"/>
                <w:szCs w:val="16"/>
                <w:lang w:eastAsia="uk-UA"/>
              </w:rPr>
              <w:t>5</w:t>
            </w:r>
          </w:p>
        </w:tc>
        <w:tc>
          <w:tcPr>
            <w:tcW w:w="9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noWrap/>
            <w:vAlign w:val="center"/>
            <w:hideMark/>
          </w:tcPr>
          <w:p w:rsidR="004B2387" w:rsidRPr="00242020" w:rsidRDefault="004B2387" w:rsidP="004B2387">
            <w:pPr>
              <w:widowControl/>
              <w:ind w:firstLine="0"/>
              <w:jc w:val="center"/>
              <w:rPr>
                <w:b/>
                <w:sz w:val="16"/>
                <w:szCs w:val="16"/>
                <w:lang w:eastAsia="uk-UA"/>
              </w:rPr>
            </w:pPr>
            <w:r w:rsidRPr="00242020">
              <w:rPr>
                <w:b/>
                <w:sz w:val="16"/>
                <w:szCs w:val="16"/>
                <w:lang w:eastAsia="uk-UA"/>
              </w:rPr>
              <w:t>6</w:t>
            </w:r>
          </w:p>
        </w:tc>
        <w:tc>
          <w:tcPr>
            <w:tcW w:w="8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noWrap/>
            <w:vAlign w:val="center"/>
            <w:hideMark/>
          </w:tcPr>
          <w:p w:rsidR="004B2387" w:rsidRPr="00242020" w:rsidRDefault="004B2387" w:rsidP="004B2387">
            <w:pPr>
              <w:widowControl/>
              <w:ind w:firstLine="0"/>
              <w:jc w:val="center"/>
              <w:rPr>
                <w:b/>
                <w:sz w:val="16"/>
                <w:szCs w:val="16"/>
                <w:lang w:eastAsia="uk-UA"/>
              </w:rPr>
            </w:pPr>
            <w:r w:rsidRPr="00242020">
              <w:rPr>
                <w:b/>
                <w:sz w:val="16"/>
                <w:szCs w:val="16"/>
                <w:lang w:eastAsia="uk-UA"/>
              </w:rPr>
              <w:t>7</w:t>
            </w:r>
          </w:p>
        </w:tc>
        <w:tc>
          <w:tcPr>
            <w:tcW w:w="7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noWrap/>
            <w:vAlign w:val="center"/>
            <w:hideMark/>
          </w:tcPr>
          <w:p w:rsidR="004B2387" w:rsidRPr="00242020" w:rsidRDefault="004B2387" w:rsidP="004B2387">
            <w:pPr>
              <w:widowControl/>
              <w:ind w:firstLine="0"/>
              <w:jc w:val="center"/>
              <w:rPr>
                <w:b/>
                <w:bCs/>
                <w:sz w:val="16"/>
                <w:szCs w:val="16"/>
                <w:lang w:eastAsia="uk-UA"/>
              </w:rPr>
            </w:pPr>
            <w:r w:rsidRPr="00242020">
              <w:rPr>
                <w:b/>
                <w:bCs/>
                <w:sz w:val="16"/>
                <w:szCs w:val="16"/>
                <w:lang w:eastAsia="uk-UA"/>
              </w:rPr>
              <w:t>8</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noWrap/>
            <w:vAlign w:val="center"/>
            <w:hideMark/>
          </w:tcPr>
          <w:p w:rsidR="004B2387" w:rsidRPr="00242020" w:rsidRDefault="004B2387" w:rsidP="004B2387">
            <w:pPr>
              <w:widowControl/>
              <w:ind w:firstLine="0"/>
              <w:jc w:val="center"/>
              <w:rPr>
                <w:b/>
                <w:bCs/>
                <w:sz w:val="16"/>
                <w:szCs w:val="16"/>
                <w:lang w:eastAsia="uk-UA"/>
              </w:rPr>
            </w:pPr>
            <w:r w:rsidRPr="00242020">
              <w:rPr>
                <w:b/>
                <w:bCs/>
                <w:sz w:val="16"/>
                <w:szCs w:val="16"/>
                <w:lang w:eastAsia="uk-UA"/>
              </w:rPr>
              <w:t>9</w:t>
            </w:r>
          </w:p>
        </w:tc>
        <w:tc>
          <w:tcPr>
            <w:tcW w:w="8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noWrap/>
            <w:vAlign w:val="center"/>
            <w:hideMark/>
          </w:tcPr>
          <w:p w:rsidR="004B2387" w:rsidRPr="00242020" w:rsidRDefault="004B2387" w:rsidP="004B2387">
            <w:pPr>
              <w:widowControl/>
              <w:ind w:firstLine="0"/>
              <w:jc w:val="center"/>
              <w:rPr>
                <w:b/>
                <w:sz w:val="16"/>
                <w:szCs w:val="16"/>
                <w:lang w:eastAsia="uk-UA"/>
              </w:rPr>
            </w:pPr>
            <w:r w:rsidRPr="00242020">
              <w:rPr>
                <w:b/>
                <w:sz w:val="16"/>
                <w:szCs w:val="16"/>
                <w:lang w:eastAsia="uk-UA"/>
              </w:rPr>
              <w:t>10</w:t>
            </w:r>
          </w:p>
        </w:tc>
        <w:tc>
          <w:tcPr>
            <w:tcW w:w="7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noWrap/>
            <w:vAlign w:val="center"/>
            <w:hideMark/>
          </w:tcPr>
          <w:p w:rsidR="004B2387" w:rsidRPr="00242020" w:rsidRDefault="004B2387" w:rsidP="004B2387">
            <w:pPr>
              <w:widowControl/>
              <w:ind w:firstLine="0"/>
              <w:jc w:val="center"/>
              <w:rPr>
                <w:b/>
                <w:sz w:val="16"/>
                <w:szCs w:val="16"/>
                <w:lang w:eastAsia="uk-UA"/>
              </w:rPr>
            </w:pPr>
            <w:r w:rsidRPr="00242020">
              <w:rPr>
                <w:b/>
                <w:sz w:val="16"/>
                <w:szCs w:val="16"/>
                <w:lang w:eastAsia="uk-UA"/>
              </w:rPr>
              <w:t>11</w:t>
            </w:r>
          </w:p>
        </w:tc>
        <w:tc>
          <w:tcPr>
            <w:tcW w:w="8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noWrap/>
            <w:vAlign w:val="center"/>
            <w:hideMark/>
          </w:tcPr>
          <w:p w:rsidR="004B2387" w:rsidRPr="00242020" w:rsidRDefault="004B2387" w:rsidP="004B2387">
            <w:pPr>
              <w:widowControl/>
              <w:ind w:firstLine="0"/>
              <w:jc w:val="center"/>
              <w:rPr>
                <w:b/>
                <w:bCs/>
                <w:sz w:val="16"/>
                <w:szCs w:val="16"/>
                <w:lang w:eastAsia="uk-UA"/>
              </w:rPr>
            </w:pPr>
            <w:r w:rsidRPr="00242020">
              <w:rPr>
                <w:b/>
                <w:bCs/>
                <w:sz w:val="16"/>
                <w:szCs w:val="16"/>
                <w:lang w:eastAsia="uk-UA"/>
              </w:rPr>
              <w:t>12</w:t>
            </w:r>
          </w:p>
        </w:tc>
        <w:tc>
          <w:tcPr>
            <w:tcW w:w="7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noWrap/>
            <w:vAlign w:val="center"/>
            <w:hideMark/>
          </w:tcPr>
          <w:p w:rsidR="004B2387" w:rsidRPr="00242020" w:rsidRDefault="004B2387" w:rsidP="004B2387">
            <w:pPr>
              <w:widowControl/>
              <w:ind w:firstLine="0"/>
              <w:jc w:val="center"/>
              <w:rPr>
                <w:b/>
                <w:bCs/>
                <w:sz w:val="16"/>
                <w:szCs w:val="16"/>
                <w:lang w:eastAsia="uk-UA"/>
              </w:rPr>
            </w:pPr>
            <w:r w:rsidRPr="00242020">
              <w:rPr>
                <w:b/>
                <w:bCs/>
                <w:sz w:val="16"/>
                <w:szCs w:val="16"/>
                <w:lang w:eastAsia="uk-UA"/>
              </w:rPr>
              <w:t>13</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noWrap/>
            <w:vAlign w:val="center"/>
            <w:hideMark/>
          </w:tcPr>
          <w:p w:rsidR="004B2387" w:rsidRPr="00242020" w:rsidRDefault="004B2387" w:rsidP="004B2387">
            <w:pPr>
              <w:widowControl/>
              <w:ind w:firstLine="0"/>
              <w:jc w:val="center"/>
              <w:rPr>
                <w:b/>
                <w:sz w:val="16"/>
                <w:szCs w:val="16"/>
                <w:lang w:eastAsia="uk-UA"/>
              </w:rPr>
            </w:pPr>
            <w:r w:rsidRPr="00242020">
              <w:rPr>
                <w:b/>
                <w:sz w:val="16"/>
                <w:szCs w:val="16"/>
                <w:lang w:eastAsia="uk-UA"/>
              </w:rPr>
              <w:t>14</w:t>
            </w:r>
          </w:p>
        </w:tc>
        <w:tc>
          <w:tcPr>
            <w:tcW w:w="78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noWrap/>
            <w:vAlign w:val="center"/>
            <w:hideMark/>
          </w:tcPr>
          <w:p w:rsidR="004B2387" w:rsidRPr="00242020" w:rsidRDefault="004B2387" w:rsidP="004B2387">
            <w:pPr>
              <w:widowControl/>
              <w:ind w:firstLine="0"/>
              <w:jc w:val="center"/>
              <w:rPr>
                <w:b/>
                <w:sz w:val="16"/>
                <w:szCs w:val="16"/>
                <w:lang w:eastAsia="uk-UA"/>
              </w:rPr>
            </w:pPr>
            <w:r w:rsidRPr="00242020">
              <w:rPr>
                <w:b/>
                <w:sz w:val="16"/>
                <w:szCs w:val="16"/>
                <w:lang w:eastAsia="uk-UA"/>
              </w:rPr>
              <w:t>15</w:t>
            </w:r>
          </w:p>
        </w:tc>
        <w:tc>
          <w:tcPr>
            <w:tcW w:w="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noWrap/>
            <w:vAlign w:val="center"/>
            <w:hideMark/>
          </w:tcPr>
          <w:p w:rsidR="004B2387" w:rsidRPr="00242020" w:rsidRDefault="004B2387" w:rsidP="004B2387">
            <w:pPr>
              <w:widowControl/>
              <w:ind w:firstLine="0"/>
              <w:jc w:val="center"/>
              <w:rPr>
                <w:b/>
                <w:bCs/>
                <w:sz w:val="16"/>
                <w:szCs w:val="16"/>
                <w:lang w:eastAsia="uk-UA"/>
              </w:rPr>
            </w:pPr>
            <w:r w:rsidRPr="00242020">
              <w:rPr>
                <w:b/>
                <w:bCs/>
                <w:sz w:val="16"/>
                <w:szCs w:val="16"/>
                <w:lang w:eastAsia="uk-UA"/>
              </w:rPr>
              <w:t>16</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noWrap/>
            <w:vAlign w:val="center"/>
            <w:hideMark/>
          </w:tcPr>
          <w:p w:rsidR="004B2387" w:rsidRPr="00242020" w:rsidRDefault="004B2387" w:rsidP="004B2387">
            <w:pPr>
              <w:widowControl/>
              <w:ind w:firstLine="0"/>
              <w:jc w:val="center"/>
              <w:rPr>
                <w:b/>
                <w:bCs/>
                <w:sz w:val="16"/>
                <w:szCs w:val="16"/>
                <w:lang w:eastAsia="uk-UA"/>
              </w:rPr>
            </w:pPr>
            <w:r w:rsidRPr="00242020">
              <w:rPr>
                <w:b/>
                <w:bCs/>
                <w:sz w:val="16"/>
                <w:szCs w:val="16"/>
                <w:lang w:eastAsia="uk-UA"/>
              </w:rPr>
              <w:t>17</w:t>
            </w:r>
          </w:p>
        </w:tc>
      </w:tr>
      <w:tr w:rsidR="004B2387" w:rsidRPr="00242020" w:rsidTr="004B2387">
        <w:trPr>
          <w:trHeight w:val="360"/>
        </w:trPr>
        <w:tc>
          <w:tcPr>
            <w:tcW w:w="2000"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 xml:space="preserve">Рівненській області </w:t>
            </w:r>
          </w:p>
        </w:tc>
        <w:tc>
          <w:tcPr>
            <w:tcW w:w="724"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6</w:t>
            </w:r>
          </w:p>
        </w:tc>
        <w:tc>
          <w:tcPr>
            <w:tcW w:w="893"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1</w:t>
            </w:r>
          </w:p>
        </w:tc>
        <w:tc>
          <w:tcPr>
            <w:tcW w:w="650"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0</w:t>
            </w:r>
          </w:p>
        </w:tc>
        <w:tc>
          <w:tcPr>
            <w:tcW w:w="918"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0</w:t>
            </w:r>
          </w:p>
        </w:tc>
        <w:tc>
          <w:tcPr>
            <w:tcW w:w="937" w:type="dxa"/>
            <w:tcBorders>
              <w:top w:val="nil"/>
              <w:left w:val="single" w:sz="8" w:space="0" w:color="auto"/>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487,00</w:t>
            </w:r>
          </w:p>
        </w:tc>
        <w:tc>
          <w:tcPr>
            <w:tcW w:w="896"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87,00</w:t>
            </w:r>
          </w:p>
        </w:tc>
        <w:tc>
          <w:tcPr>
            <w:tcW w:w="798"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7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896" w:type="dxa"/>
            <w:tcBorders>
              <w:top w:val="nil"/>
              <w:left w:val="nil"/>
              <w:bottom w:val="single" w:sz="4"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2</w:t>
            </w:r>
            <w:r w:rsidR="00085F86">
              <w:rPr>
                <w:b/>
                <w:sz w:val="18"/>
                <w:szCs w:val="18"/>
                <w:lang w:eastAsia="uk-UA"/>
              </w:rPr>
              <w:t> </w:t>
            </w:r>
            <w:r w:rsidRPr="00242020">
              <w:rPr>
                <w:b/>
                <w:sz w:val="18"/>
                <w:szCs w:val="18"/>
                <w:lang w:eastAsia="uk-UA"/>
              </w:rPr>
              <w:t>192,94</w:t>
            </w:r>
          </w:p>
        </w:tc>
        <w:tc>
          <w:tcPr>
            <w:tcW w:w="784" w:type="dxa"/>
            <w:tcBorders>
              <w:top w:val="nil"/>
              <w:left w:val="nil"/>
              <w:bottom w:val="single" w:sz="4"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14,56</w:t>
            </w:r>
          </w:p>
        </w:tc>
        <w:tc>
          <w:tcPr>
            <w:tcW w:w="868" w:type="dxa"/>
            <w:tcBorders>
              <w:top w:val="nil"/>
              <w:left w:val="nil"/>
              <w:bottom w:val="single" w:sz="4"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89" w:type="dxa"/>
            <w:tcBorders>
              <w:top w:val="nil"/>
              <w:left w:val="nil"/>
              <w:bottom w:val="single" w:sz="4"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09"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450,30</w:t>
            </w:r>
          </w:p>
        </w:tc>
        <w:tc>
          <w:tcPr>
            <w:tcW w:w="783"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16,74</w:t>
            </w:r>
          </w:p>
        </w:tc>
        <w:tc>
          <w:tcPr>
            <w:tcW w:w="70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color w:val="FFFFFF"/>
                <w:sz w:val="18"/>
                <w:szCs w:val="18"/>
                <w:lang w:eastAsia="uk-UA"/>
              </w:rPr>
            </w:pPr>
            <w:r w:rsidRPr="00242020">
              <w:rPr>
                <w:bCs/>
                <w:color w:val="FFFFFF"/>
                <w:sz w:val="18"/>
                <w:szCs w:val="18"/>
                <w:lang w:eastAsia="uk-UA"/>
              </w:rPr>
              <w:t>#</w:t>
            </w:r>
            <w:proofErr w:type="spellStart"/>
            <w:r w:rsidRPr="00242020">
              <w:rPr>
                <w:bCs/>
                <w:color w:val="FFFFFF"/>
                <w:sz w:val="18"/>
                <w:szCs w:val="18"/>
                <w:lang w:eastAsia="uk-UA"/>
              </w:rPr>
              <w:t>ДЕЛ</w:t>
            </w:r>
            <w:proofErr w:type="spellEnd"/>
            <w:r w:rsidRPr="00242020">
              <w:rPr>
                <w:bCs/>
                <w:color w:val="FFFFFF"/>
                <w:sz w:val="18"/>
                <w:szCs w:val="18"/>
                <w:lang w:eastAsia="uk-UA"/>
              </w:rPr>
              <w:t>/0!</w:t>
            </w:r>
          </w:p>
        </w:tc>
        <w:tc>
          <w:tcPr>
            <w:tcW w:w="77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color w:val="FFFFFF"/>
                <w:sz w:val="18"/>
                <w:szCs w:val="18"/>
                <w:lang w:eastAsia="uk-UA"/>
              </w:rPr>
            </w:pPr>
            <w:r w:rsidRPr="00242020">
              <w:rPr>
                <w:bCs/>
                <w:color w:val="FFFFFF"/>
                <w:sz w:val="18"/>
                <w:szCs w:val="18"/>
                <w:lang w:eastAsia="uk-UA"/>
              </w:rPr>
              <w:t>#</w:t>
            </w:r>
            <w:proofErr w:type="spellStart"/>
            <w:r w:rsidRPr="00242020">
              <w:rPr>
                <w:bCs/>
                <w:color w:val="FFFFFF"/>
                <w:sz w:val="18"/>
                <w:szCs w:val="18"/>
                <w:lang w:eastAsia="uk-UA"/>
              </w:rPr>
              <w:t>ДЕЛ</w:t>
            </w:r>
            <w:proofErr w:type="spellEnd"/>
            <w:r w:rsidRPr="00242020">
              <w:rPr>
                <w:bCs/>
                <w:color w:val="FFFFFF"/>
                <w:sz w:val="18"/>
                <w:szCs w:val="18"/>
                <w:lang w:eastAsia="uk-UA"/>
              </w:rPr>
              <w:t>/0!</w:t>
            </w:r>
          </w:p>
        </w:tc>
      </w:tr>
      <w:tr w:rsidR="004B2387" w:rsidRPr="00242020" w:rsidTr="004B2387">
        <w:trPr>
          <w:trHeight w:val="360"/>
        </w:trPr>
        <w:tc>
          <w:tcPr>
            <w:tcW w:w="2000"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Сумській області</w:t>
            </w:r>
          </w:p>
        </w:tc>
        <w:tc>
          <w:tcPr>
            <w:tcW w:w="724"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11</w:t>
            </w:r>
          </w:p>
        </w:tc>
        <w:tc>
          <w:tcPr>
            <w:tcW w:w="893"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0</w:t>
            </w:r>
          </w:p>
        </w:tc>
        <w:tc>
          <w:tcPr>
            <w:tcW w:w="650"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0</w:t>
            </w:r>
          </w:p>
        </w:tc>
        <w:tc>
          <w:tcPr>
            <w:tcW w:w="918"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0</w:t>
            </w:r>
          </w:p>
        </w:tc>
        <w:tc>
          <w:tcPr>
            <w:tcW w:w="937" w:type="dxa"/>
            <w:tcBorders>
              <w:top w:val="nil"/>
              <w:left w:val="single" w:sz="8" w:space="0" w:color="auto"/>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1</w:t>
            </w:r>
            <w:r w:rsidR="00085F86">
              <w:rPr>
                <w:b/>
                <w:sz w:val="18"/>
                <w:szCs w:val="18"/>
                <w:lang w:eastAsia="uk-UA"/>
              </w:rPr>
              <w:t> </w:t>
            </w:r>
            <w:r w:rsidRPr="00242020">
              <w:rPr>
                <w:b/>
                <w:sz w:val="18"/>
                <w:szCs w:val="18"/>
                <w:lang w:eastAsia="uk-UA"/>
              </w:rPr>
              <w:t>993,00</w:t>
            </w:r>
          </w:p>
        </w:tc>
        <w:tc>
          <w:tcPr>
            <w:tcW w:w="896"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110,00</w:t>
            </w:r>
          </w:p>
        </w:tc>
        <w:tc>
          <w:tcPr>
            <w:tcW w:w="798"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7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896" w:type="dxa"/>
            <w:tcBorders>
              <w:top w:val="nil"/>
              <w:left w:val="nil"/>
              <w:bottom w:val="single" w:sz="4"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644,73</w:t>
            </w:r>
          </w:p>
        </w:tc>
        <w:tc>
          <w:tcPr>
            <w:tcW w:w="784" w:type="dxa"/>
            <w:tcBorders>
              <w:top w:val="nil"/>
              <w:left w:val="nil"/>
              <w:bottom w:val="single" w:sz="4"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0,00</w:t>
            </w:r>
          </w:p>
        </w:tc>
        <w:tc>
          <w:tcPr>
            <w:tcW w:w="868" w:type="dxa"/>
            <w:tcBorders>
              <w:top w:val="nil"/>
              <w:left w:val="nil"/>
              <w:bottom w:val="single" w:sz="4"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89" w:type="dxa"/>
            <w:tcBorders>
              <w:top w:val="nil"/>
              <w:left w:val="nil"/>
              <w:bottom w:val="single" w:sz="4"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09"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32,35</w:t>
            </w:r>
          </w:p>
        </w:tc>
        <w:tc>
          <w:tcPr>
            <w:tcW w:w="783"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0,00</w:t>
            </w:r>
          </w:p>
        </w:tc>
        <w:tc>
          <w:tcPr>
            <w:tcW w:w="70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color w:val="FFFFFF"/>
                <w:sz w:val="18"/>
                <w:szCs w:val="18"/>
                <w:lang w:eastAsia="uk-UA"/>
              </w:rPr>
            </w:pPr>
            <w:r w:rsidRPr="00242020">
              <w:rPr>
                <w:bCs/>
                <w:color w:val="FFFFFF"/>
                <w:sz w:val="18"/>
                <w:szCs w:val="18"/>
                <w:lang w:eastAsia="uk-UA"/>
              </w:rPr>
              <w:t>#</w:t>
            </w:r>
            <w:proofErr w:type="spellStart"/>
            <w:r w:rsidRPr="00242020">
              <w:rPr>
                <w:bCs/>
                <w:color w:val="FFFFFF"/>
                <w:sz w:val="18"/>
                <w:szCs w:val="18"/>
                <w:lang w:eastAsia="uk-UA"/>
              </w:rPr>
              <w:t>ДЕЛ</w:t>
            </w:r>
            <w:proofErr w:type="spellEnd"/>
            <w:r w:rsidRPr="00242020">
              <w:rPr>
                <w:bCs/>
                <w:color w:val="FFFFFF"/>
                <w:sz w:val="18"/>
                <w:szCs w:val="18"/>
                <w:lang w:eastAsia="uk-UA"/>
              </w:rPr>
              <w:t>/0!</w:t>
            </w:r>
          </w:p>
        </w:tc>
        <w:tc>
          <w:tcPr>
            <w:tcW w:w="77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color w:val="FFFFFF"/>
                <w:sz w:val="18"/>
                <w:szCs w:val="18"/>
                <w:lang w:eastAsia="uk-UA"/>
              </w:rPr>
            </w:pPr>
            <w:r w:rsidRPr="00242020">
              <w:rPr>
                <w:bCs/>
                <w:color w:val="FFFFFF"/>
                <w:sz w:val="18"/>
                <w:szCs w:val="18"/>
                <w:lang w:eastAsia="uk-UA"/>
              </w:rPr>
              <w:t>#</w:t>
            </w:r>
            <w:proofErr w:type="spellStart"/>
            <w:r w:rsidRPr="00242020">
              <w:rPr>
                <w:bCs/>
                <w:color w:val="FFFFFF"/>
                <w:sz w:val="18"/>
                <w:szCs w:val="18"/>
                <w:lang w:eastAsia="uk-UA"/>
              </w:rPr>
              <w:t>ДЕЛ</w:t>
            </w:r>
            <w:proofErr w:type="spellEnd"/>
            <w:r w:rsidRPr="00242020">
              <w:rPr>
                <w:bCs/>
                <w:color w:val="FFFFFF"/>
                <w:sz w:val="18"/>
                <w:szCs w:val="18"/>
                <w:lang w:eastAsia="uk-UA"/>
              </w:rPr>
              <w:t>/0!</w:t>
            </w:r>
          </w:p>
        </w:tc>
      </w:tr>
      <w:tr w:rsidR="004B2387" w:rsidRPr="00242020" w:rsidTr="004B2387">
        <w:trPr>
          <w:trHeight w:val="360"/>
        </w:trPr>
        <w:tc>
          <w:tcPr>
            <w:tcW w:w="2000"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Тернопільській області</w:t>
            </w:r>
          </w:p>
        </w:tc>
        <w:tc>
          <w:tcPr>
            <w:tcW w:w="724"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3</w:t>
            </w:r>
          </w:p>
        </w:tc>
        <w:tc>
          <w:tcPr>
            <w:tcW w:w="893"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1</w:t>
            </w:r>
          </w:p>
        </w:tc>
        <w:tc>
          <w:tcPr>
            <w:tcW w:w="650"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1</w:t>
            </w:r>
          </w:p>
        </w:tc>
        <w:tc>
          <w:tcPr>
            <w:tcW w:w="918"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1</w:t>
            </w:r>
          </w:p>
        </w:tc>
        <w:tc>
          <w:tcPr>
            <w:tcW w:w="937" w:type="dxa"/>
            <w:tcBorders>
              <w:top w:val="nil"/>
              <w:left w:val="single" w:sz="8" w:space="0" w:color="auto"/>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375,00</w:t>
            </w:r>
          </w:p>
        </w:tc>
        <w:tc>
          <w:tcPr>
            <w:tcW w:w="896"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35,00</w:t>
            </w:r>
          </w:p>
        </w:tc>
        <w:tc>
          <w:tcPr>
            <w:tcW w:w="798"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100,00</w:t>
            </w:r>
          </w:p>
        </w:tc>
        <w:tc>
          <w:tcPr>
            <w:tcW w:w="77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20,00</w:t>
            </w:r>
          </w:p>
        </w:tc>
        <w:tc>
          <w:tcPr>
            <w:tcW w:w="896" w:type="dxa"/>
            <w:tcBorders>
              <w:top w:val="nil"/>
              <w:left w:val="nil"/>
              <w:bottom w:val="single" w:sz="4"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2</w:t>
            </w:r>
            <w:r w:rsidR="00085F86">
              <w:rPr>
                <w:b/>
                <w:sz w:val="18"/>
                <w:szCs w:val="18"/>
                <w:lang w:eastAsia="uk-UA"/>
              </w:rPr>
              <w:t> </w:t>
            </w:r>
            <w:r w:rsidRPr="00242020">
              <w:rPr>
                <w:b/>
                <w:sz w:val="18"/>
                <w:szCs w:val="18"/>
                <w:lang w:eastAsia="uk-UA"/>
              </w:rPr>
              <w:t>449,85</w:t>
            </w:r>
          </w:p>
        </w:tc>
        <w:tc>
          <w:tcPr>
            <w:tcW w:w="784" w:type="dxa"/>
            <w:tcBorders>
              <w:top w:val="nil"/>
              <w:left w:val="nil"/>
              <w:bottom w:val="single" w:sz="4"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939,62</w:t>
            </w:r>
          </w:p>
        </w:tc>
        <w:tc>
          <w:tcPr>
            <w:tcW w:w="868" w:type="dxa"/>
            <w:tcBorders>
              <w:top w:val="nil"/>
              <w:left w:val="nil"/>
              <w:bottom w:val="single" w:sz="4"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1</w:t>
            </w:r>
            <w:r w:rsidR="00085F86">
              <w:rPr>
                <w:bCs/>
                <w:sz w:val="18"/>
                <w:szCs w:val="18"/>
                <w:lang w:eastAsia="uk-UA"/>
              </w:rPr>
              <w:t> </w:t>
            </w:r>
            <w:r w:rsidRPr="00242020">
              <w:rPr>
                <w:bCs/>
                <w:sz w:val="18"/>
                <w:szCs w:val="18"/>
                <w:lang w:eastAsia="uk-UA"/>
              </w:rPr>
              <w:t>961,64</w:t>
            </w:r>
          </w:p>
        </w:tc>
        <w:tc>
          <w:tcPr>
            <w:tcW w:w="789" w:type="dxa"/>
            <w:tcBorders>
              <w:top w:val="nil"/>
              <w:left w:val="nil"/>
              <w:bottom w:val="single" w:sz="4"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939,62</w:t>
            </w:r>
          </w:p>
        </w:tc>
        <w:tc>
          <w:tcPr>
            <w:tcW w:w="709"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653,29</w:t>
            </w:r>
          </w:p>
        </w:tc>
        <w:tc>
          <w:tcPr>
            <w:tcW w:w="783"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2</w:t>
            </w:r>
            <w:r w:rsidR="00085F86">
              <w:rPr>
                <w:b/>
                <w:sz w:val="18"/>
                <w:szCs w:val="18"/>
                <w:lang w:eastAsia="uk-UA"/>
              </w:rPr>
              <w:t> </w:t>
            </w:r>
            <w:r w:rsidRPr="00242020">
              <w:rPr>
                <w:b/>
                <w:sz w:val="18"/>
                <w:szCs w:val="18"/>
                <w:lang w:eastAsia="uk-UA"/>
              </w:rPr>
              <w:t>684,63</w:t>
            </w:r>
          </w:p>
        </w:tc>
        <w:tc>
          <w:tcPr>
            <w:tcW w:w="70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1961,64</w:t>
            </w:r>
          </w:p>
        </w:tc>
        <w:tc>
          <w:tcPr>
            <w:tcW w:w="77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4698,10</w:t>
            </w:r>
          </w:p>
        </w:tc>
      </w:tr>
      <w:tr w:rsidR="004B2387" w:rsidRPr="00242020" w:rsidTr="004B2387">
        <w:trPr>
          <w:trHeight w:val="360"/>
        </w:trPr>
        <w:tc>
          <w:tcPr>
            <w:tcW w:w="2000"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Харківській області</w:t>
            </w:r>
          </w:p>
        </w:tc>
        <w:tc>
          <w:tcPr>
            <w:tcW w:w="724"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5</w:t>
            </w:r>
          </w:p>
        </w:tc>
        <w:tc>
          <w:tcPr>
            <w:tcW w:w="893"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1</w:t>
            </w:r>
          </w:p>
        </w:tc>
        <w:tc>
          <w:tcPr>
            <w:tcW w:w="650"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0</w:t>
            </w:r>
          </w:p>
        </w:tc>
        <w:tc>
          <w:tcPr>
            <w:tcW w:w="918"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0</w:t>
            </w:r>
          </w:p>
        </w:tc>
        <w:tc>
          <w:tcPr>
            <w:tcW w:w="937" w:type="dxa"/>
            <w:tcBorders>
              <w:top w:val="nil"/>
              <w:left w:val="single" w:sz="8" w:space="0" w:color="auto"/>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2</w:t>
            </w:r>
            <w:r w:rsidR="00085F86">
              <w:rPr>
                <w:b/>
                <w:sz w:val="18"/>
                <w:szCs w:val="18"/>
                <w:lang w:eastAsia="uk-UA"/>
              </w:rPr>
              <w:t> </w:t>
            </w:r>
            <w:r w:rsidRPr="00242020">
              <w:rPr>
                <w:b/>
                <w:sz w:val="18"/>
                <w:szCs w:val="18"/>
                <w:lang w:eastAsia="uk-UA"/>
              </w:rPr>
              <w:t>200,00</w:t>
            </w:r>
          </w:p>
        </w:tc>
        <w:tc>
          <w:tcPr>
            <w:tcW w:w="896"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520,00</w:t>
            </w:r>
          </w:p>
        </w:tc>
        <w:tc>
          <w:tcPr>
            <w:tcW w:w="798"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1</w:t>
            </w:r>
            <w:r w:rsidR="00085F86">
              <w:rPr>
                <w:bCs/>
                <w:sz w:val="18"/>
                <w:szCs w:val="18"/>
                <w:lang w:eastAsia="uk-UA"/>
              </w:rPr>
              <w:t> </w:t>
            </w:r>
            <w:r w:rsidRPr="00242020">
              <w:rPr>
                <w:bCs/>
                <w:sz w:val="18"/>
                <w:szCs w:val="18"/>
                <w:lang w:eastAsia="uk-UA"/>
              </w:rPr>
              <w:t>500,00</w:t>
            </w:r>
          </w:p>
        </w:tc>
        <w:tc>
          <w:tcPr>
            <w:tcW w:w="77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500,00</w:t>
            </w:r>
          </w:p>
        </w:tc>
        <w:tc>
          <w:tcPr>
            <w:tcW w:w="896" w:type="dxa"/>
            <w:tcBorders>
              <w:top w:val="nil"/>
              <w:left w:val="nil"/>
              <w:bottom w:val="single" w:sz="4"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948,73</w:t>
            </w:r>
          </w:p>
        </w:tc>
        <w:tc>
          <w:tcPr>
            <w:tcW w:w="784" w:type="dxa"/>
            <w:tcBorders>
              <w:top w:val="nil"/>
              <w:left w:val="nil"/>
              <w:bottom w:val="single" w:sz="4"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130,57</w:t>
            </w:r>
          </w:p>
        </w:tc>
        <w:tc>
          <w:tcPr>
            <w:tcW w:w="868" w:type="dxa"/>
            <w:tcBorders>
              <w:top w:val="nil"/>
              <w:left w:val="nil"/>
              <w:bottom w:val="single" w:sz="4"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89" w:type="dxa"/>
            <w:tcBorders>
              <w:top w:val="nil"/>
              <w:left w:val="nil"/>
              <w:bottom w:val="single" w:sz="4"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09"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43,12</w:t>
            </w:r>
          </w:p>
        </w:tc>
        <w:tc>
          <w:tcPr>
            <w:tcW w:w="783"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25,11</w:t>
            </w:r>
          </w:p>
        </w:tc>
        <w:tc>
          <w:tcPr>
            <w:tcW w:w="70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7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r>
      <w:tr w:rsidR="004B2387" w:rsidRPr="00242020" w:rsidTr="004B2387">
        <w:trPr>
          <w:trHeight w:val="360"/>
        </w:trPr>
        <w:tc>
          <w:tcPr>
            <w:tcW w:w="2000"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Херсонській області</w:t>
            </w:r>
          </w:p>
        </w:tc>
        <w:tc>
          <w:tcPr>
            <w:tcW w:w="724"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1</w:t>
            </w:r>
          </w:p>
        </w:tc>
        <w:tc>
          <w:tcPr>
            <w:tcW w:w="893"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0</w:t>
            </w:r>
          </w:p>
        </w:tc>
        <w:tc>
          <w:tcPr>
            <w:tcW w:w="650"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0</w:t>
            </w:r>
          </w:p>
        </w:tc>
        <w:tc>
          <w:tcPr>
            <w:tcW w:w="918"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0</w:t>
            </w:r>
          </w:p>
        </w:tc>
        <w:tc>
          <w:tcPr>
            <w:tcW w:w="937" w:type="dxa"/>
            <w:tcBorders>
              <w:top w:val="nil"/>
              <w:left w:val="single" w:sz="8" w:space="0" w:color="auto"/>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1</w:t>
            </w:r>
            <w:r w:rsidR="00085F86">
              <w:rPr>
                <w:b/>
                <w:sz w:val="18"/>
                <w:szCs w:val="18"/>
                <w:lang w:eastAsia="uk-UA"/>
              </w:rPr>
              <w:t> </w:t>
            </w:r>
            <w:r w:rsidRPr="00242020">
              <w:rPr>
                <w:b/>
                <w:sz w:val="18"/>
                <w:szCs w:val="18"/>
                <w:lang w:eastAsia="uk-UA"/>
              </w:rPr>
              <w:t>370,00</w:t>
            </w:r>
          </w:p>
        </w:tc>
        <w:tc>
          <w:tcPr>
            <w:tcW w:w="896"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0,00</w:t>
            </w:r>
          </w:p>
        </w:tc>
        <w:tc>
          <w:tcPr>
            <w:tcW w:w="798"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7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896"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75,67</w:t>
            </w:r>
          </w:p>
        </w:tc>
        <w:tc>
          <w:tcPr>
            <w:tcW w:w="784"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0,00</w:t>
            </w:r>
          </w:p>
        </w:tc>
        <w:tc>
          <w:tcPr>
            <w:tcW w:w="868"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89"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09"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5,52</w:t>
            </w:r>
          </w:p>
        </w:tc>
        <w:tc>
          <w:tcPr>
            <w:tcW w:w="783"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color w:val="FFFFFF"/>
                <w:sz w:val="18"/>
                <w:szCs w:val="18"/>
                <w:lang w:eastAsia="uk-UA"/>
              </w:rPr>
            </w:pPr>
            <w:r w:rsidRPr="00242020">
              <w:rPr>
                <w:b/>
                <w:color w:val="FFFFFF"/>
                <w:sz w:val="18"/>
                <w:szCs w:val="18"/>
                <w:lang w:eastAsia="uk-UA"/>
              </w:rPr>
              <w:t>#</w:t>
            </w:r>
            <w:proofErr w:type="spellStart"/>
            <w:r w:rsidRPr="00242020">
              <w:rPr>
                <w:b/>
                <w:color w:val="FFFFFF"/>
                <w:sz w:val="18"/>
                <w:szCs w:val="18"/>
                <w:lang w:eastAsia="uk-UA"/>
              </w:rPr>
              <w:t>ДЕЛ</w:t>
            </w:r>
            <w:proofErr w:type="spellEnd"/>
            <w:r w:rsidRPr="00242020">
              <w:rPr>
                <w:b/>
                <w:color w:val="FFFFFF"/>
                <w:sz w:val="18"/>
                <w:szCs w:val="18"/>
                <w:lang w:eastAsia="uk-UA"/>
              </w:rPr>
              <w:t>/0!</w:t>
            </w:r>
          </w:p>
        </w:tc>
        <w:tc>
          <w:tcPr>
            <w:tcW w:w="70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color w:val="FFFFFF"/>
                <w:sz w:val="18"/>
                <w:szCs w:val="18"/>
                <w:lang w:eastAsia="uk-UA"/>
              </w:rPr>
            </w:pPr>
            <w:r w:rsidRPr="00242020">
              <w:rPr>
                <w:bCs/>
                <w:color w:val="FFFFFF"/>
                <w:sz w:val="18"/>
                <w:szCs w:val="18"/>
                <w:lang w:eastAsia="uk-UA"/>
              </w:rPr>
              <w:t>#</w:t>
            </w:r>
            <w:proofErr w:type="spellStart"/>
            <w:r w:rsidRPr="00242020">
              <w:rPr>
                <w:bCs/>
                <w:color w:val="FFFFFF"/>
                <w:sz w:val="18"/>
                <w:szCs w:val="18"/>
                <w:lang w:eastAsia="uk-UA"/>
              </w:rPr>
              <w:t>ДЕЛ</w:t>
            </w:r>
            <w:proofErr w:type="spellEnd"/>
            <w:r w:rsidRPr="00242020">
              <w:rPr>
                <w:bCs/>
                <w:color w:val="FFFFFF"/>
                <w:sz w:val="18"/>
                <w:szCs w:val="18"/>
                <w:lang w:eastAsia="uk-UA"/>
              </w:rPr>
              <w:t>/0!</w:t>
            </w:r>
          </w:p>
        </w:tc>
        <w:tc>
          <w:tcPr>
            <w:tcW w:w="77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color w:val="FFFFFF"/>
                <w:sz w:val="18"/>
                <w:szCs w:val="18"/>
                <w:lang w:eastAsia="uk-UA"/>
              </w:rPr>
            </w:pPr>
            <w:r w:rsidRPr="00242020">
              <w:rPr>
                <w:bCs/>
                <w:color w:val="FFFFFF"/>
                <w:sz w:val="18"/>
                <w:szCs w:val="18"/>
                <w:lang w:eastAsia="uk-UA"/>
              </w:rPr>
              <w:t>#</w:t>
            </w:r>
            <w:proofErr w:type="spellStart"/>
            <w:r w:rsidRPr="00242020">
              <w:rPr>
                <w:bCs/>
                <w:color w:val="FFFFFF"/>
                <w:sz w:val="18"/>
                <w:szCs w:val="18"/>
                <w:lang w:eastAsia="uk-UA"/>
              </w:rPr>
              <w:t>ДЕЛ</w:t>
            </w:r>
            <w:proofErr w:type="spellEnd"/>
            <w:r w:rsidRPr="00242020">
              <w:rPr>
                <w:bCs/>
                <w:color w:val="FFFFFF"/>
                <w:sz w:val="18"/>
                <w:szCs w:val="18"/>
                <w:lang w:eastAsia="uk-UA"/>
              </w:rPr>
              <w:t>/0!</w:t>
            </w:r>
          </w:p>
        </w:tc>
      </w:tr>
      <w:tr w:rsidR="004B2387" w:rsidRPr="00242020" w:rsidTr="004B2387">
        <w:trPr>
          <w:trHeight w:val="360"/>
        </w:trPr>
        <w:tc>
          <w:tcPr>
            <w:tcW w:w="2000"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Хмельницькій області</w:t>
            </w:r>
          </w:p>
        </w:tc>
        <w:tc>
          <w:tcPr>
            <w:tcW w:w="724"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7</w:t>
            </w:r>
          </w:p>
        </w:tc>
        <w:tc>
          <w:tcPr>
            <w:tcW w:w="893"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0</w:t>
            </w:r>
          </w:p>
        </w:tc>
        <w:tc>
          <w:tcPr>
            <w:tcW w:w="650"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0</w:t>
            </w:r>
          </w:p>
        </w:tc>
        <w:tc>
          <w:tcPr>
            <w:tcW w:w="918"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0</w:t>
            </w:r>
          </w:p>
        </w:tc>
        <w:tc>
          <w:tcPr>
            <w:tcW w:w="937" w:type="dxa"/>
            <w:tcBorders>
              <w:top w:val="nil"/>
              <w:left w:val="single" w:sz="8" w:space="0" w:color="auto"/>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533,00</w:t>
            </w:r>
          </w:p>
        </w:tc>
        <w:tc>
          <w:tcPr>
            <w:tcW w:w="896"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110,00</w:t>
            </w:r>
          </w:p>
        </w:tc>
        <w:tc>
          <w:tcPr>
            <w:tcW w:w="798"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7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896"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2</w:t>
            </w:r>
            <w:r w:rsidR="00085F86">
              <w:rPr>
                <w:b/>
                <w:sz w:val="18"/>
                <w:szCs w:val="18"/>
                <w:lang w:eastAsia="uk-UA"/>
              </w:rPr>
              <w:t> </w:t>
            </w:r>
            <w:r w:rsidRPr="00242020">
              <w:rPr>
                <w:b/>
                <w:sz w:val="18"/>
                <w:szCs w:val="18"/>
                <w:lang w:eastAsia="uk-UA"/>
              </w:rPr>
              <w:t>218,06</w:t>
            </w:r>
          </w:p>
        </w:tc>
        <w:tc>
          <w:tcPr>
            <w:tcW w:w="784"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0,00</w:t>
            </w:r>
          </w:p>
        </w:tc>
        <w:tc>
          <w:tcPr>
            <w:tcW w:w="868"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89"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09"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416,15</w:t>
            </w:r>
          </w:p>
        </w:tc>
        <w:tc>
          <w:tcPr>
            <w:tcW w:w="783"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0,00</w:t>
            </w:r>
          </w:p>
        </w:tc>
        <w:tc>
          <w:tcPr>
            <w:tcW w:w="70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color w:val="FFFFFF"/>
                <w:sz w:val="18"/>
                <w:szCs w:val="18"/>
                <w:lang w:eastAsia="uk-UA"/>
              </w:rPr>
            </w:pPr>
            <w:r w:rsidRPr="00242020">
              <w:rPr>
                <w:bCs/>
                <w:color w:val="FFFFFF"/>
                <w:sz w:val="18"/>
                <w:szCs w:val="18"/>
                <w:lang w:eastAsia="uk-UA"/>
              </w:rPr>
              <w:t>#</w:t>
            </w:r>
            <w:proofErr w:type="spellStart"/>
            <w:r w:rsidRPr="00242020">
              <w:rPr>
                <w:bCs/>
                <w:color w:val="FFFFFF"/>
                <w:sz w:val="18"/>
                <w:szCs w:val="18"/>
                <w:lang w:eastAsia="uk-UA"/>
              </w:rPr>
              <w:t>ДЕЛ</w:t>
            </w:r>
            <w:proofErr w:type="spellEnd"/>
            <w:r w:rsidRPr="00242020">
              <w:rPr>
                <w:bCs/>
                <w:color w:val="FFFFFF"/>
                <w:sz w:val="18"/>
                <w:szCs w:val="18"/>
                <w:lang w:eastAsia="uk-UA"/>
              </w:rPr>
              <w:t>/0!</w:t>
            </w:r>
          </w:p>
        </w:tc>
        <w:tc>
          <w:tcPr>
            <w:tcW w:w="77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color w:val="FFFFFF"/>
                <w:sz w:val="18"/>
                <w:szCs w:val="18"/>
                <w:lang w:eastAsia="uk-UA"/>
              </w:rPr>
            </w:pPr>
            <w:r w:rsidRPr="00242020">
              <w:rPr>
                <w:bCs/>
                <w:color w:val="FFFFFF"/>
                <w:sz w:val="18"/>
                <w:szCs w:val="18"/>
                <w:lang w:eastAsia="uk-UA"/>
              </w:rPr>
              <w:t>#</w:t>
            </w:r>
            <w:proofErr w:type="spellStart"/>
            <w:r w:rsidRPr="00242020">
              <w:rPr>
                <w:bCs/>
                <w:color w:val="FFFFFF"/>
                <w:sz w:val="18"/>
                <w:szCs w:val="18"/>
                <w:lang w:eastAsia="uk-UA"/>
              </w:rPr>
              <w:t>ДЕЛ</w:t>
            </w:r>
            <w:proofErr w:type="spellEnd"/>
            <w:r w:rsidRPr="00242020">
              <w:rPr>
                <w:bCs/>
                <w:color w:val="FFFFFF"/>
                <w:sz w:val="18"/>
                <w:szCs w:val="18"/>
                <w:lang w:eastAsia="uk-UA"/>
              </w:rPr>
              <w:t>/0!</w:t>
            </w:r>
          </w:p>
        </w:tc>
      </w:tr>
      <w:tr w:rsidR="004B2387" w:rsidRPr="00242020" w:rsidTr="004B2387">
        <w:trPr>
          <w:trHeight w:val="360"/>
        </w:trPr>
        <w:tc>
          <w:tcPr>
            <w:tcW w:w="2000"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Черкаській області</w:t>
            </w:r>
          </w:p>
        </w:tc>
        <w:tc>
          <w:tcPr>
            <w:tcW w:w="724"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3</w:t>
            </w:r>
          </w:p>
        </w:tc>
        <w:tc>
          <w:tcPr>
            <w:tcW w:w="893"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1</w:t>
            </w:r>
          </w:p>
        </w:tc>
        <w:tc>
          <w:tcPr>
            <w:tcW w:w="650"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1</w:t>
            </w:r>
          </w:p>
        </w:tc>
        <w:tc>
          <w:tcPr>
            <w:tcW w:w="918"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0</w:t>
            </w:r>
          </w:p>
        </w:tc>
        <w:tc>
          <w:tcPr>
            <w:tcW w:w="937" w:type="dxa"/>
            <w:tcBorders>
              <w:top w:val="nil"/>
              <w:left w:val="single" w:sz="8" w:space="0" w:color="auto"/>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1</w:t>
            </w:r>
            <w:r w:rsidR="00085F86">
              <w:rPr>
                <w:b/>
                <w:sz w:val="18"/>
                <w:szCs w:val="18"/>
                <w:lang w:eastAsia="uk-UA"/>
              </w:rPr>
              <w:t> </w:t>
            </w:r>
            <w:r w:rsidRPr="00242020">
              <w:rPr>
                <w:b/>
                <w:sz w:val="18"/>
                <w:szCs w:val="18"/>
                <w:lang w:eastAsia="uk-UA"/>
              </w:rPr>
              <w:t>330,00</w:t>
            </w:r>
          </w:p>
        </w:tc>
        <w:tc>
          <w:tcPr>
            <w:tcW w:w="896"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165,00</w:t>
            </w:r>
          </w:p>
        </w:tc>
        <w:tc>
          <w:tcPr>
            <w:tcW w:w="798"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650,00</w:t>
            </w:r>
          </w:p>
        </w:tc>
        <w:tc>
          <w:tcPr>
            <w:tcW w:w="77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896"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1</w:t>
            </w:r>
            <w:r w:rsidR="00085F86">
              <w:rPr>
                <w:b/>
                <w:sz w:val="18"/>
                <w:szCs w:val="18"/>
                <w:lang w:eastAsia="uk-UA"/>
              </w:rPr>
              <w:t> </w:t>
            </w:r>
            <w:r w:rsidRPr="00242020">
              <w:rPr>
                <w:b/>
                <w:sz w:val="18"/>
                <w:szCs w:val="18"/>
                <w:lang w:eastAsia="uk-UA"/>
              </w:rPr>
              <w:t>748,18</w:t>
            </w:r>
          </w:p>
        </w:tc>
        <w:tc>
          <w:tcPr>
            <w:tcW w:w="784"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1</w:t>
            </w:r>
            <w:r w:rsidR="00085F86">
              <w:rPr>
                <w:b/>
                <w:sz w:val="18"/>
                <w:szCs w:val="18"/>
                <w:lang w:eastAsia="uk-UA"/>
              </w:rPr>
              <w:t> </w:t>
            </w:r>
            <w:r w:rsidRPr="00242020">
              <w:rPr>
                <w:b/>
                <w:sz w:val="18"/>
                <w:szCs w:val="18"/>
                <w:lang w:eastAsia="uk-UA"/>
              </w:rPr>
              <w:t>027,40</w:t>
            </w:r>
          </w:p>
        </w:tc>
        <w:tc>
          <w:tcPr>
            <w:tcW w:w="868"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556,71</w:t>
            </w:r>
          </w:p>
        </w:tc>
        <w:tc>
          <w:tcPr>
            <w:tcW w:w="789"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09"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131,44</w:t>
            </w:r>
          </w:p>
        </w:tc>
        <w:tc>
          <w:tcPr>
            <w:tcW w:w="783"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622,67</w:t>
            </w:r>
          </w:p>
        </w:tc>
        <w:tc>
          <w:tcPr>
            <w:tcW w:w="70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85,65</w:t>
            </w:r>
          </w:p>
        </w:tc>
        <w:tc>
          <w:tcPr>
            <w:tcW w:w="77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color w:val="FFFFFF"/>
                <w:sz w:val="18"/>
                <w:szCs w:val="18"/>
                <w:lang w:eastAsia="uk-UA"/>
              </w:rPr>
            </w:pPr>
            <w:r w:rsidRPr="00242020">
              <w:rPr>
                <w:bCs/>
                <w:color w:val="FFFFFF"/>
                <w:sz w:val="18"/>
                <w:szCs w:val="18"/>
                <w:lang w:eastAsia="uk-UA"/>
              </w:rPr>
              <w:t>#</w:t>
            </w:r>
            <w:proofErr w:type="spellStart"/>
            <w:r w:rsidRPr="00242020">
              <w:rPr>
                <w:bCs/>
                <w:color w:val="FFFFFF"/>
                <w:sz w:val="18"/>
                <w:szCs w:val="18"/>
                <w:lang w:eastAsia="uk-UA"/>
              </w:rPr>
              <w:t>ДЕЛ</w:t>
            </w:r>
            <w:proofErr w:type="spellEnd"/>
            <w:r w:rsidRPr="00242020">
              <w:rPr>
                <w:bCs/>
                <w:color w:val="FFFFFF"/>
                <w:sz w:val="18"/>
                <w:szCs w:val="18"/>
                <w:lang w:eastAsia="uk-UA"/>
              </w:rPr>
              <w:t>/0!</w:t>
            </w:r>
          </w:p>
        </w:tc>
      </w:tr>
      <w:tr w:rsidR="004B2387" w:rsidRPr="00242020" w:rsidTr="004B2387">
        <w:trPr>
          <w:trHeight w:val="360"/>
        </w:trPr>
        <w:tc>
          <w:tcPr>
            <w:tcW w:w="2000"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Чернівецькій області</w:t>
            </w:r>
          </w:p>
        </w:tc>
        <w:tc>
          <w:tcPr>
            <w:tcW w:w="724"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1</w:t>
            </w:r>
          </w:p>
        </w:tc>
        <w:tc>
          <w:tcPr>
            <w:tcW w:w="893"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0</w:t>
            </w:r>
          </w:p>
        </w:tc>
        <w:tc>
          <w:tcPr>
            <w:tcW w:w="650"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0</w:t>
            </w:r>
          </w:p>
        </w:tc>
        <w:tc>
          <w:tcPr>
            <w:tcW w:w="918"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0</w:t>
            </w:r>
          </w:p>
        </w:tc>
        <w:tc>
          <w:tcPr>
            <w:tcW w:w="937" w:type="dxa"/>
            <w:tcBorders>
              <w:top w:val="nil"/>
              <w:left w:val="single" w:sz="8" w:space="0" w:color="auto"/>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709,00</w:t>
            </w:r>
          </w:p>
        </w:tc>
        <w:tc>
          <w:tcPr>
            <w:tcW w:w="896"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5,00</w:t>
            </w:r>
          </w:p>
        </w:tc>
        <w:tc>
          <w:tcPr>
            <w:tcW w:w="798"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350,00</w:t>
            </w:r>
          </w:p>
        </w:tc>
        <w:tc>
          <w:tcPr>
            <w:tcW w:w="77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896"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399,76</w:t>
            </w:r>
          </w:p>
        </w:tc>
        <w:tc>
          <w:tcPr>
            <w:tcW w:w="784"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0,00</w:t>
            </w:r>
          </w:p>
        </w:tc>
        <w:tc>
          <w:tcPr>
            <w:tcW w:w="868"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89"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09"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56,38</w:t>
            </w:r>
          </w:p>
        </w:tc>
        <w:tc>
          <w:tcPr>
            <w:tcW w:w="783"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0,00</w:t>
            </w:r>
          </w:p>
        </w:tc>
        <w:tc>
          <w:tcPr>
            <w:tcW w:w="70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7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color w:val="FFFFFF"/>
                <w:sz w:val="18"/>
                <w:szCs w:val="18"/>
                <w:lang w:eastAsia="uk-UA"/>
              </w:rPr>
            </w:pPr>
            <w:r w:rsidRPr="00242020">
              <w:rPr>
                <w:bCs/>
                <w:color w:val="FFFFFF"/>
                <w:sz w:val="18"/>
                <w:szCs w:val="18"/>
                <w:lang w:eastAsia="uk-UA"/>
              </w:rPr>
              <w:t>#</w:t>
            </w:r>
            <w:proofErr w:type="spellStart"/>
            <w:r w:rsidRPr="00242020">
              <w:rPr>
                <w:bCs/>
                <w:color w:val="FFFFFF"/>
                <w:sz w:val="18"/>
                <w:szCs w:val="18"/>
                <w:lang w:eastAsia="uk-UA"/>
              </w:rPr>
              <w:t>ДЕЛ</w:t>
            </w:r>
            <w:proofErr w:type="spellEnd"/>
            <w:r w:rsidRPr="00242020">
              <w:rPr>
                <w:bCs/>
                <w:color w:val="FFFFFF"/>
                <w:sz w:val="18"/>
                <w:szCs w:val="18"/>
                <w:lang w:eastAsia="uk-UA"/>
              </w:rPr>
              <w:t>/0!</w:t>
            </w:r>
          </w:p>
        </w:tc>
      </w:tr>
      <w:tr w:rsidR="004B2387" w:rsidRPr="00242020" w:rsidTr="004B2387">
        <w:trPr>
          <w:trHeight w:val="360"/>
        </w:trPr>
        <w:tc>
          <w:tcPr>
            <w:tcW w:w="2000"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Чернігівській області</w:t>
            </w:r>
          </w:p>
        </w:tc>
        <w:tc>
          <w:tcPr>
            <w:tcW w:w="724"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11</w:t>
            </w:r>
          </w:p>
        </w:tc>
        <w:tc>
          <w:tcPr>
            <w:tcW w:w="893"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3</w:t>
            </w:r>
          </w:p>
        </w:tc>
        <w:tc>
          <w:tcPr>
            <w:tcW w:w="650"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0</w:t>
            </w:r>
          </w:p>
        </w:tc>
        <w:tc>
          <w:tcPr>
            <w:tcW w:w="918"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0</w:t>
            </w:r>
          </w:p>
        </w:tc>
        <w:tc>
          <w:tcPr>
            <w:tcW w:w="937" w:type="dxa"/>
            <w:tcBorders>
              <w:top w:val="nil"/>
              <w:left w:val="single" w:sz="8" w:space="0" w:color="auto"/>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1</w:t>
            </w:r>
            <w:r w:rsidR="00085F86">
              <w:rPr>
                <w:b/>
                <w:sz w:val="18"/>
                <w:szCs w:val="18"/>
                <w:lang w:eastAsia="uk-UA"/>
              </w:rPr>
              <w:t> </w:t>
            </w:r>
            <w:r w:rsidRPr="00242020">
              <w:rPr>
                <w:b/>
                <w:sz w:val="18"/>
                <w:szCs w:val="18"/>
                <w:lang w:eastAsia="uk-UA"/>
              </w:rPr>
              <w:t>965,00</w:t>
            </w:r>
          </w:p>
        </w:tc>
        <w:tc>
          <w:tcPr>
            <w:tcW w:w="896"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690,00</w:t>
            </w:r>
          </w:p>
        </w:tc>
        <w:tc>
          <w:tcPr>
            <w:tcW w:w="798"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7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896"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1</w:t>
            </w:r>
            <w:r w:rsidR="00085F86">
              <w:rPr>
                <w:b/>
                <w:sz w:val="18"/>
                <w:szCs w:val="18"/>
                <w:lang w:eastAsia="uk-UA"/>
              </w:rPr>
              <w:t> </w:t>
            </w:r>
            <w:r w:rsidRPr="00242020">
              <w:rPr>
                <w:b/>
                <w:sz w:val="18"/>
                <w:szCs w:val="18"/>
                <w:lang w:eastAsia="uk-UA"/>
              </w:rPr>
              <w:t>130,43</w:t>
            </w:r>
          </w:p>
        </w:tc>
        <w:tc>
          <w:tcPr>
            <w:tcW w:w="784"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311,03</w:t>
            </w:r>
          </w:p>
        </w:tc>
        <w:tc>
          <w:tcPr>
            <w:tcW w:w="868"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89"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09"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57,53</w:t>
            </w:r>
          </w:p>
        </w:tc>
        <w:tc>
          <w:tcPr>
            <w:tcW w:w="783"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45,08</w:t>
            </w:r>
          </w:p>
        </w:tc>
        <w:tc>
          <w:tcPr>
            <w:tcW w:w="70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color w:val="FFFFFF"/>
                <w:sz w:val="18"/>
                <w:szCs w:val="18"/>
                <w:lang w:eastAsia="uk-UA"/>
              </w:rPr>
            </w:pPr>
            <w:r w:rsidRPr="00242020">
              <w:rPr>
                <w:bCs/>
                <w:color w:val="FFFFFF"/>
                <w:sz w:val="18"/>
                <w:szCs w:val="18"/>
                <w:lang w:eastAsia="uk-UA"/>
              </w:rPr>
              <w:t>#</w:t>
            </w:r>
            <w:proofErr w:type="spellStart"/>
            <w:r w:rsidRPr="00242020">
              <w:rPr>
                <w:bCs/>
                <w:color w:val="FFFFFF"/>
                <w:sz w:val="18"/>
                <w:szCs w:val="18"/>
                <w:lang w:eastAsia="uk-UA"/>
              </w:rPr>
              <w:t>ДЕЛ</w:t>
            </w:r>
            <w:proofErr w:type="spellEnd"/>
            <w:r w:rsidRPr="00242020">
              <w:rPr>
                <w:bCs/>
                <w:color w:val="FFFFFF"/>
                <w:sz w:val="18"/>
                <w:szCs w:val="18"/>
                <w:lang w:eastAsia="uk-UA"/>
              </w:rPr>
              <w:t>/0!</w:t>
            </w:r>
          </w:p>
        </w:tc>
        <w:tc>
          <w:tcPr>
            <w:tcW w:w="77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color w:val="FFFFFF"/>
                <w:sz w:val="18"/>
                <w:szCs w:val="18"/>
                <w:lang w:eastAsia="uk-UA"/>
              </w:rPr>
            </w:pPr>
            <w:r w:rsidRPr="00242020">
              <w:rPr>
                <w:bCs/>
                <w:color w:val="FFFFFF"/>
                <w:sz w:val="18"/>
                <w:szCs w:val="18"/>
                <w:lang w:eastAsia="uk-UA"/>
              </w:rPr>
              <w:t>#</w:t>
            </w:r>
            <w:proofErr w:type="spellStart"/>
            <w:r w:rsidRPr="00242020">
              <w:rPr>
                <w:bCs/>
                <w:color w:val="FFFFFF"/>
                <w:sz w:val="18"/>
                <w:szCs w:val="18"/>
                <w:lang w:eastAsia="uk-UA"/>
              </w:rPr>
              <w:t>ДЕЛ</w:t>
            </w:r>
            <w:proofErr w:type="spellEnd"/>
            <w:r w:rsidRPr="00242020">
              <w:rPr>
                <w:bCs/>
                <w:color w:val="FFFFFF"/>
                <w:sz w:val="18"/>
                <w:szCs w:val="18"/>
                <w:lang w:eastAsia="uk-UA"/>
              </w:rPr>
              <w:t>/0!</w:t>
            </w:r>
          </w:p>
        </w:tc>
      </w:tr>
      <w:tr w:rsidR="004B2387" w:rsidRPr="00242020" w:rsidTr="004B2387">
        <w:trPr>
          <w:trHeight w:val="360"/>
        </w:trPr>
        <w:tc>
          <w:tcPr>
            <w:tcW w:w="2000" w:type="dxa"/>
            <w:tcBorders>
              <w:top w:val="nil"/>
              <w:left w:val="single" w:sz="8" w:space="0" w:color="auto"/>
              <w:bottom w:val="nil"/>
              <w:right w:val="nil"/>
            </w:tcBorders>
            <w:shd w:val="clear" w:color="auto" w:fill="auto"/>
            <w:vAlign w:val="center"/>
            <w:hideMark/>
          </w:tcPr>
          <w:p w:rsidR="004B2387" w:rsidRPr="00242020" w:rsidRDefault="004B2387" w:rsidP="004B2387">
            <w:pPr>
              <w:widowControl/>
              <w:ind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у м. Києві</w:t>
            </w:r>
          </w:p>
        </w:tc>
        <w:tc>
          <w:tcPr>
            <w:tcW w:w="724" w:type="dxa"/>
            <w:tcBorders>
              <w:top w:val="nil"/>
              <w:left w:val="single" w:sz="8" w:space="0" w:color="auto"/>
              <w:bottom w:val="nil"/>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1</w:t>
            </w:r>
          </w:p>
        </w:tc>
        <w:tc>
          <w:tcPr>
            <w:tcW w:w="893"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0</w:t>
            </w:r>
          </w:p>
        </w:tc>
        <w:tc>
          <w:tcPr>
            <w:tcW w:w="650" w:type="dxa"/>
            <w:tcBorders>
              <w:top w:val="nil"/>
              <w:left w:val="single" w:sz="8" w:space="0" w:color="auto"/>
              <w:bottom w:val="single" w:sz="4"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0</w:t>
            </w:r>
          </w:p>
        </w:tc>
        <w:tc>
          <w:tcPr>
            <w:tcW w:w="918" w:type="dxa"/>
            <w:tcBorders>
              <w:top w:val="nil"/>
              <w:left w:val="single" w:sz="8" w:space="0" w:color="auto"/>
              <w:bottom w:val="nil"/>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0</w:t>
            </w:r>
          </w:p>
        </w:tc>
        <w:tc>
          <w:tcPr>
            <w:tcW w:w="937" w:type="dxa"/>
            <w:tcBorders>
              <w:top w:val="nil"/>
              <w:left w:val="single" w:sz="8" w:space="0" w:color="auto"/>
              <w:bottom w:val="nil"/>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750,00</w:t>
            </w:r>
          </w:p>
        </w:tc>
        <w:tc>
          <w:tcPr>
            <w:tcW w:w="896" w:type="dxa"/>
            <w:tcBorders>
              <w:top w:val="nil"/>
              <w:left w:val="nil"/>
              <w:bottom w:val="single" w:sz="8"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0,00</w:t>
            </w:r>
          </w:p>
        </w:tc>
        <w:tc>
          <w:tcPr>
            <w:tcW w:w="798" w:type="dxa"/>
            <w:tcBorders>
              <w:top w:val="nil"/>
              <w:left w:val="nil"/>
              <w:bottom w:val="single" w:sz="8"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500,00</w:t>
            </w:r>
          </w:p>
        </w:tc>
        <w:tc>
          <w:tcPr>
            <w:tcW w:w="770" w:type="dxa"/>
            <w:tcBorders>
              <w:top w:val="nil"/>
              <w:left w:val="nil"/>
              <w:bottom w:val="single" w:sz="8"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896" w:type="dxa"/>
            <w:tcBorders>
              <w:top w:val="nil"/>
              <w:left w:val="nil"/>
              <w:bottom w:val="single" w:sz="8"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2</w:t>
            </w:r>
            <w:r w:rsidR="00085F86">
              <w:rPr>
                <w:b/>
                <w:sz w:val="18"/>
                <w:szCs w:val="18"/>
                <w:lang w:eastAsia="uk-UA"/>
              </w:rPr>
              <w:t> </w:t>
            </w:r>
            <w:r w:rsidRPr="00242020">
              <w:rPr>
                <w:b/>
                <w:sz w:val="18"/>
                <w:szCs w:val="18"/>
                <w:lang w:eastAsia="uk-UA"/>
              </w:rPr>
              <w:t>763,54</w:t>
            </w:r>
          </w:p>
        </w:tc>
        <w:tc>
          <w:tcPr>
            <w:tcW w:w="784" w:type="dxa"/>
            <w:tcBorders>
              <w:top w:val="nil"/>
              <w:left w:val="nil"/>
              <w:bottom w:val="single" w:sz="8"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0,00</w:t>
            </w:r>
          </w:p>
        </w:tc>
        <w:tc>
          <w:tcPr>
            <w:tcW w:w="868" w:type="dxa"/>
            <w:tcBorders>
              <w:top w:val="nil"/>
              <w:left w:val="nil"/>
              <w:bottom w:val="single" w:sz="8"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89" w:type="dxa"/>
            <w:tcBorders>
              <w:top w:val="nil"/>
              <w:left w:val="nil"/>
              <w:bottom w:val="nil"/>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09"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368,47</w:t>
            </w:r>
          </w:p>
        </w:tc>
        <w:tc>
          <w:tcPr>
            <w:tcW w:w="783"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color w:val="FFFFFF"/>
                <w:sz w:val="18"/>
                <w:szCs w:val="18"/>
                <w:lang w:eastAsia="uk-UA"/>
              </w:rPr>
            </w:pPr>
            <w:r w:rsidRPr="00242020">
              <w:rPr>
                <w:b/>
                <w:color w:val="FFFFFF"/>
                <w:sz w:val="18"/>
                <w:szCs w:val="18"/>
                <w:lang w:eastAsia="uk-UA"/>
              </w:rPr>
              <w:t>#</w:t>
            </w:r>
            <w:proofErr w:type="spellStart"/>
            <w:r w:rsidRPr="00242020">
              <w:rPr>
                <w:b/>
                <w:color w:val="FFFFFF"/>
                <w:sz w:val="18"/>
                <w:szCs w:val="18"/>
                <w:lang w:eastAsia="uk-UA"/>
              </w:rPr>
              <w:t>ДЕЛ</w:t>
            </w:r>
            <w:proofErr w:type="spellEnd"/>
            <w:r w:rsidRPr="00242020">
              <w:rPr>
                <w:b/>
                <w:color w:val="FFFFFF"/>
                <w:sz w:val="18"/>
                <w:szCs w:val="18"/>
                <w:lang w:eastAsia="uk-UA"/>
              </w:rPr>
              <w:t>/0!</w:t>
            </w:r>
          </w:p>
        </w:tc>
        <w:tc>
          <w:tcPr>
            <w:tcW w:w="70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70" w:type="dxa"/>
            <w:tcBorders>
              <w:top w:val="nil"/>
              <w:left w:val="nil"/>
              <w:bottom w:val="single" w:sz="4"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color w:val="FFFFFF"/>
                <w:sz w:val="18"/>
                <w:szCs w:val="18"/>
                <w:lang w:eastAsia="uk-UA"/>
              </w:rPr>
            </w:pPr>
            <w:r w:rsidRPr="00242020">
              <w:rPr>
                <w:bCs/>
                <w:color w:val="FFFFFF"/>
                <w:sz w:val="18"/>
                <w:szCs w:val="18"/>
                <w:lang w:eastAsia="uk-UA"/>
              </w:rPr>
              <w:t>#</w:t>
            </w:r>
            <w:proofErr w:type="spellStart"/>
            <w:r w:rsidRPr="00242020">
              <w:rPr>
                <w:bCs/>
                <w:color w:val="FFFFFF"/>
                <w:sz w:val="18"/>
                <w:szCs w:val="18"/>
                <w:lang w:eastAsia="uk-UA"/>
              </w:rPr>
              <w:t>ДЕЛ</w:t>
            </w:r>
            <w:proofErr w:type="spellEnd"/>
            <w:r w:rsidRPr="00242020">
              <w:rPr>
                <w:bCs/>
                <w:color w:val="FFFFFF"/>
                <w:sz w:val="18"/>
                <w:szCs w:val="18"/>
                <w:lang w:eastAsia="uk-UA"/>
              </w:rPr>
              <w:t>/0!</w:t>
            </w:r>
          </w:p>
        </w:tc>
      </w:tr>
      <w:tr w:rsidR="004B2387" w:rsidRPr="00242020" w:rsidTr="004B2387">
        <w:trPr>
          <w:trHeight w:val="279"/>
        </w:trPr>
        <w:tc>
          <w:tcPr>
            <w:tcW w:w="2000" w:type="dxa"/>
            <w:tcBorders>
              <w:top w:val="single" w:sz="8" w:space="0" w:color="auto"/>
              <w:left w:val="single" w:sz="8" w:space="0" w:color="auto"/>
              <w:bottom w:val="nil"/>
              <w:right w:val="nil"/>
            </w:tcBorders>
            <w:shd w:val="clear" w:color="000000" w:fill="FFFF99"/>
            <w:vAlign w:val="center"/>
            <w:hideMark/>
          </w:tcPr>
          <w:p w:rsidR="004B2387" w:rsidRPr="00242020" w:rsidRDefault="004B2387" w:rsidP="004B2387">
            <w:pPr>
              <w:widowControl/>
              <w:ind w:firstLine="0"/>
              <w:jc w:val="center"/>
              <w:rPr>
                <w:rFonts w:ascii="Times New Roman Cyr" w:hAnsi="Times New Roman Cyr"/>
                <w:b/>
                <w:i/>
                <w:iCs/>
                <w:sz w:val="18"/>
                <w:szCs w:val="18"/>
                <w:lang w:eastAsia="uk-UA"/>
              </w:rPr>
            </w:pPr>
            <w:r w:rsidRPr="00242020">
              <w:rPr>
                <w:rFonts w:ascii="Times New Roman Cyr" w:hAnsi="Times New Roman Cyr"/>
                <w:b/>
                <w:i/>
                <w:iCs/>
                <w:sz w:val="18"/>
                <w:szCs w:val="18"/>
                <w:lang w:eastAsia="uk-UA"/>
              </w:rPr>
              <w:t xml:space="preserve">УСЬОГО по </w:t>
            </w:r>
            <w:proofErr w:type="spellStart"/>
            <w:r w:rsidRPr="00242020">
              <w:rPr>
                <w:rFonts w:ascii="Times New Roman Cyr" w:hAnsi="Times New Roman Cyr"/>
                <w:b/>
                <w:i/>
                <w:iCs/>
                <w:sz w:val="18"/>
                <w:szCs w:val="18"/>
                <w:lang w:eastAsia="uk-UA"/>
              </w:rPr>
              <w:t>РВ</w:t>
            </w:r>
            <w:proofErr w:type="spellEnd"/>
          </w:p>
        </w:tc>
        <w:tc>
          <w:tcPr>
            <w:tcW w:w="724" w:type="dxa"/>
            <w:tcBorders>
              <w:top w:val="single" w:sz="8" w:space="0" w:color="auto"/>
              <w:left w:val="single" w:sz="8" w:space="0" w:color="auto"/>
              <w:bottom w:val="single" w:sz="8" w:space="0" w:color="auto"/>
              <w:right w:val="nil"/>
            </w:tcBorders>
            <w:shd w:val="clear" w:color="000000" w:fill="FFFF99"/>
            <w:vAlign w:val="center"/>
            <w:hideMark/>
          </w:tcPr>
          <w:p w:rsidR="004B2387" w:rsidRPr="00242020" w:rsidRDefault="004B2387" w:rsidP="004B2387">
            <w:pPr>
              <w:widowControl/>
              <w:ind w:left="-87" w:right="-77" w:firstLine="0"/>
              <w:jc w:val="center"/>
              <w:rPr>
                <w:rFonts w:ascii="Times New Roman Cyr" w:hAnsi="Times New Roman Cyr"/>
                <w:b/>
                <w:i/>
                <w:iCs/>
                <w:sz w:val="18"/>
                <w:szCs w:val="18"/>
                <w:lang w:eastAsia="uk-UA"/>
              </w:rPr>
            </w:pPr>
            <w:r w:rsidRPr="00242020">
              <w:rPr>
                <w:rFonts w:ascii="Times New Roman Cyr" w:hAnsi="Times New Roman Cyr"/>
                <w:b/>
                <w:i/>
                <w:iCs/>
                <w:sz w:val="18"/>
                <w:szCs w:val="18"/>
                <w:lang w:eastAsia="uk-UA"/>
              </w:rPr>
              <w:t>132</w:t>
            </w:r>
          </w:p>
        </w:tc>
        <w:tc>
          <w:tcPr>
            <w:tcW w:w="893" w:type="dxa"/>
            <w:tcBorders>
              <w:top w:val="single" w:sz="8" w:space="0" w:color="auto"/>
              <w:left w:val="single" w:sz="8" w:space="0" w:color="auto"/>
              <w:bottom w:val="single" w:sz="8" w:space="0" w:color="auto"/>
              <w:right w:val="nil"/>
            </w:tcBorders>
            <w:shd w:val="clear" w:color="000000" w:fill="FFFF99"/>
            <w:vAlign w:val="center"/>
            <w:hideMark/>
          </w:tcPr>
          <w:p w:rsidR="004B2387" w:rsidRPr="00242020" w:rsidRDefault="004B2387" w:rsidP="004B2387">
            <w:pPr>
              <w:widowControl/>
              <w:ind w:left="-87" w:right="-77" w:firstLine="0"/>
              <w:jc w:val="center"/>
              <w:rPr>
                <w:rFonts w:ascii="Times New Roman Cyr" w:hAnsi="Times New Roman Cyr"/>
                <w:b/>
                <w:i/>
                <w:iCs/>
                <w:sz w:val="18"/>
                <w:szCs w:val="18"/>
                <w:lang w:eastAsia="uk-UA"/>
              </w:rPr>
            </w:pPr>
            <w:r w:rsidRPr="00242020">
              <w:rPr>
                <w:rFonts w:ascii="Times New Roman Cyr" w:hAnsi="Times New Roman Cyr"/>
                <w:b/>
                <w:i/>
                <w:iCs/>
                <w:sz w:val="18"/>
                <w:szCs w:val="18"/>
                <w:lang w:eastAsia="uk-UA"/>
              </w:rPr>
              <w:t>16</w:t>
            </w:r>
          </w:p>
        </w:tc>
        <w:tc>
          <w:tcPr>
            <w:tcW w:w="650" w:type="dxa"/>
            <w:tcBorders>
              <w:top w:val="single" w:sz="8" w:space="0" w:color="auto"/>
              <w:left w:val="single" w:sz="8" w:space="0" w:color="auto"/>
              <w:bottom w:val="single" w:sz="8" w:space="0" w:color="auto"/>
              <w:right w:val="nil"/>
            </w:tcBorders>
            <w:shd w:val="clear" w:color="000000" w:fill="FFFF99"/>
            <w:vAlign w:val="center"/>
            <w:hideMark/>
          </w:tcPr>
          <w:p w:rsidR="004B2387" w:rsidRPr="00242020" w:rsidRDefault="004B2387" w:rsidP="004B2387">
            <w:pPr>
              <w:widowControl/>
              <w:ind w:left="-87" w:right="-77" w:firstLine="0"/>
              <w:jc w:val="center"/>
              <w:rPr>
                <w:rFonts w:ascii="Times New Roman Cyr" w:hAnsi="Times New Roman Cyr"/>
                <w:bCs/>
                <w:i/>
                <w:iCs/>
                <w:sz w:val="18"/>
                <w:szCs w:val="18"/>
                <w:lang w:eastAsia="uk-UA"/>
              </w:rPr>
            </w:pPr>
            <w:r w:rsidRPr="00242020">
              <w:rPr>
                <w:rFonts w:ascii="Times New Roman Cyr" w:hAnsi="Times New Roman Cyr"/>
                <w:bCs/>
                <w:i/>
                <w:iCs/>
                <w:sz w:val="18"/>
                <w:szCs w:val="18"/>
                <w:lang w:eastAsia="uk-UA"/>
              </w:rPr>
              <w:t>5</w:t>
            </w:r>
          </w:p>
        </w:tc>
        <w:tc>
          <w:tcPr>
            <w:tcW w:w="918" w:type="dxa"/>
            <w:tcBorders>
              <w:top w:val="single" w:sz="8" w:space="0" w:color="auto"/>
              <w:left w:val="single" w:sz="8" w:space="0" w:color="auto"/>
              <w:bottom w:val="single" w:sz="8" w:space="0" w:color="auto"/>
              <w:right w:val="nil"/>
            </w:tcBorders>
            <w:shd w:val="clear" w:color="000000" w:fill="FFFF99"/>
            <w:vAlign w:val="center"/>
            <w:hideMark/>
          </w:tcPr>
          <w:p w:rsidR="004B2387" w:rsidRPr="00242020" w:rsidRDefault="004B2387" w:rsidP="004B2387">
            <w:pPr>
              <w:widowControl/>
              <w:ind w:left="-87" w:right="-77" w:firstLine="0"/>
              <w:jc w:val="center"/>
              <w:rPr>
                <w:rFonts w:ascii="Times New Roman Cyr" w:hAnsi="Times New Roman Cyr"/>
                <w:bCs/>
                <w:i/>
                <w:iCs/>
                <w:sz w:val="18"/>
                <w:szCs w:val="18"/>
                <w:lang w:eastAsia="uk-UA"/>
              </w:rPr>
            </w:pPr>
            <w:r w:rsidRPr="00242020">
              <w:rPr>
                <w:rFonts w:ascii="Times New Roman Cyr" w:hAnsi="Times New Roman Cyr"/>
                <w:bCs/>
                <w:i/>
                <w:iCs/>
                <w:sz w:val="18"/>
                <w:szCs w:val="18"/>
                <w:lang w:eastAsia="uk-UA"/>
              </w:rPr>
              <w:t>1</w:t>
            </w:r>
          </w:p>
        </w:tc>
        <w:tc>
          <w:tcPr>
            <w:tcW w:w="937" w:type="dxa"/>
            <w:tcBorders>
              <w:top w:val="single" w:sz="8" w:space="0" w:color="auto"/>
              <w:left w:val="single" w:sz="8" w:space="0" w:color="auto"/>
              <w:bottom w:val="single" w:sz="8" w:space="0" w:color="auto"/>
              <w:right w:val="nil"/>
            </w:tcBorders>
            <w:shd w:val="clear" w:color="000000" w:fill="FFFF99"/>
            <w:noWrap/>
            <w:vAlign w:val="center"/>
            <w:hideMark/>
          </w:tcPr>
          <w:p w:rsidR="004B2387" w:rsidRPr="00242020" w:rsidRDefault="004B2387" w:rsidP="004B2387">
            <w:pPr>
              <w:widowControl/>
              <w:ind w:left="-87" w:right="-77" w:firstLine="0"/>
              <w:jc w:val="center"/>
              <w:rPr>
                <w:b/>
                <w:i/>
                <w:iCs/>
                <w:sz w:val="18"/>
                <w:szCs w:val="18"/>
                <w:lang w:eastAsia="uk-UA"/>
              </w:rPr>
            </w:pPr>
            <w:r w:rsidRPr="00242020">
              <w:rPr>
                <w:b/>
                <w:i/>
                <w:iCs/>
                <w:sz w:val="18"/>
                <w:szCs w:val="18"/>
                <w:lang w:eastAsia="uk-UA"/>
              </w:rPr>
              <w:t>78</w:t>
            </w:r>
            <w:r w:rsidR="00085F86">
              <w:rPr>
                <w:b/>
                <w:i/>
                <w:iCs/>
                <w:sz w:val="18"/>
                <w:szCs w:val="18"/>
                <w:lang w:eastAsia="uk-UA"/>
              </w:rPr>
              <w:t> </w:t>
            </w:r>
            <w:r w:rsidRPr="00242020">
              <w:rPr>
                <w:b/>
                <w:i/>
                <w:iCs/>
                <w:sz w:val="18"/>
                <w:szCs w:val="18"/>
                <w:lang w:eastAsia="uk-UA"/>
              </w:rPr>
              <w:t>922,30</w:t>
            </w:r>
          </w:p>
        </w:tc>
        <w:tc>
          <w:tcPr>
            <w:tcW w:w="896" w:type="dxa"/>
            <w:tcBorders>
              <w:top w:val="nil"/>
              <w:left w:val="single" w:sz="8" w:space="0" w:color="auto"/>
              <w:bottom w:val="single" w:sz="8" w:space="0" w:color="auto"/>
              <w:right w:val="single" w:sz="8" w:space="0" w:color="auto"/>
            </w:tcBorders>
            <w:shd w:val="clear" w:color="000000" w:fill="FFFF99"/>
            <w:noWrap/>
            <w:vAlign w:val="center"/>
            <w:hideMark/>
          </w:tcPr>
          <w:p w:rsidR="004B2387" w:rsidRPr="00242020" w:rsidRDefault="004B2387" w:rsidP="004B2387">
            <w:pPr>
              <w:widowControl/>
              <w:ind w:left="-87" w:right="-77" w:firstLine="0"/>
              <w:jc w:val="center"/>
              <w:rPr>
                <w:b/>
                <w:i/>
                <w:iCs/>
                <w:sz w:val="18"/>
                <w:szCs w:val="18"/>
                <w:lang w:eastAsia="uk-UA"/>
              </w:rPr>
            </w:pPr>
            <w:r w:rsidRPr="00242020">
              <w:rPr>
                <w:b/>
                <w:i/>
                <w:iCs/>
                <w:sz w:val="18"/>
                <w:szCs w:val="18"/>
                <w:lang w:eastAsia="uk-UA"/>
              </w:rPr>
              <w:t>9</w:t>
            </w:r>
            <w:r w:rsidR="00085F86">
              <w:rPr>
                <w:b/>
                <w:i/>
                <w:iCs/>
                <w:sz w:val="18"/>
                <w:szCs w:val="18"/>
                <w:lang w:eastAsia="uk-UA"/>
              </w:rPr>
              <w:t> </w:t>
            </w:r>
            <w:r w:rsidRPr="00242020">
              <w:rPr>
                <w:b/>
                <w:i/>
                <w:iCs/>
                <w:sz w:val="18"/>
                <w:szCs w:val="18"/>
                <w:lang w:eastAsia="uk-UA"/>
              </w:rPr>
              <w:t>977,25</w:t>
            </w:r>
          </w:p>
        </w:tc>
        <w:tc>
          <w:tcPr>
            <w:tcW w:w="798" w:type="dxa"/>
            <w:tcBorders>
              <w:top w:val="nil"/>
              <w:left w:val="nil"/>
              <w:bottom w:val="single" w:sz="8" w:space="0" w:color="auto"/>
              <w:right w:val="single" w:sz="8" w:space="0" w:color="auto"/>
            </w:tcBorders>
            <w:shd w:val="clear" w:color="000000" w:fill="FFFF99"/>
            <w:noWrap/>
            <w:vAlign w:val="center"/>
            <w:hideMark/>
          </w:tcPr>
          <w:p w:rsidR="004B2387" w:rsidRPr="00242020" w:rsidRDefault="004B2387" w:rsidP="004B2387">
            <w:pPr>
              <w:widowControl/>
              <w:ind w:left="-87" w:right="-77" w:firstLine="0"/>
              <w:jc w:val="center"/>
              <w:rPr>
                <w:bCs/>
                <w:i/>
                <w:iCs/>
                <w:sz w:val="18"/>
                <w:szCs w:val="18"/>
                <w:lang w:eastAsia="uk-UA"/>
              </w:rPr>
            </w:pPr>
            <w:r w:rsidRPr="00242020">
              <w:rPr>
                <w:bCs/>
                <w:i/>
                <w:iCs/>
                <w:sz w:val="18"/>
                <w:szCs w:val="18"/>
                <w:lang w:eastAsia="uk-UA"/>
              </w:rPr>
              <w:t>32</w:t>
            </w:r>
            <w:r w:rsidR="00085F86">
              <w:rPr>
                <w:bCs/>
                <w:i/>
                <w:iCs/>
                <w:sz w:val="18"/>
                <w:szCs w:val="18"/>
                <w:lang w:eastAsia="uk-UA"/>
              </w:rPr>
              <w:t> </w:t>
            </w:r>
            <w:r w:rsidRPr="00242020">
              <w:rPr>
                <w:bCs/>
                <w:i/>
                <w:iCs/>
                <w:sz w:val="18"/>
                <w:szCs w:val="18"/>
                <w:lang w:eastAsia="uk-UA"/>
              </w:rPr>
              <w:t>753,30</w:t>
            </w:r>
          </w:p>
        </w:tc>
        <w:tc>
          <w:tcPr>
            <w:tcW w:w="770" w:type="dxa"/>
            <w:tcBorders>
              <w:top w:val="nil"/>
              <w:left w:val="nil"/>
              <w:bottom w:val="single" w:sz="8" w:space="0" w:color="auto"/>
              <w:right w:val="single" w:sz="8" w:space="0" w:color="auto"/>
            </w:tcBorders>
            <w:shd w:val="clear" w:color="000000" w:fill="FFFF99"/>
            <w:noWrap/>
            <w:vAlign w:val="center"/>
            <w:hideMark/>
          </w:tcPr>
          <w:p w:rsidR="004B2387" w:rsidRPr="00242020" w:rsidRDefault="004B2387" w:rsidP="004B2387">
            <w:pPr>
              <w:widowControl/>
              <w:ind w:left="-87" w:right="-77" w:firstLine="0"/>
              <w:jc w:val="center"/>
              <w:rPr>
                <w:bCs/>
                <w:i/>
                <w:iCs/>
                <w:sz w:val="18"/>
                <w:szCs w:val="18"/>
                <w:lang w:eastAsia="uk-UA"/>
              </w:rPr>
            </w:pPr>
            <w:r w:rsidRPr="00242020">
              <w:rPr>
                <w:bCs/>
                <w:i/>
                <w:iCs/>
                <w:sz w:val="18"/>
                <w:szCs w:val="18"/>
                <w:lang w:eastAsia="uk-UA"/>
              </w:rPr>
              <w:t>6</w:t>
            </w:r>
            <w:r w:rsidR="00085F86">
              <w:rPr>
                <w:bCs/>
                <w:i/>
                <w:iCs/>
                <w:sz w:val="18"/>
                <w:szCs w:val="18"/>
                <w:lang w:eastAsia="uk-UA"/>
              </w:rPr>
              <w:t> </w:t>
            </w:r>
            <w:r w:rsidRPr="00242020">
              <w:rPr>
                <w:bCs/>
                <w:i/>
                <w:iCs/>
                <w:sz w:val="18"/>
                <w:szCs w:val="18"/>
                <w:lang w:eastAsia="uk-UA"/>
              </w:rPr>
              <w:t>858,25</w:t>
            </w:r>
          </w:p>
        </w:tc>
        <w:tc>
          <w:tcPr>
            <w:tcW w:w="896" w:type="dxa"/>
            <w:tcBorders>
              <w:top w:val="nil"/>
              <w:left w:val="nil"/>
              <w:bottom w:val="single" w:sz="8" w:space="0" w:color="auto"/>
              <w:right w:val="single" w:sz="8" w:space="0" w:color="auto"/>
            </w:tcBorders>
            <w:shd w:val="clear" w:color="000000" w:fill="FFFF99"/>
            <w:noWrap/>
            <w:vAlign w:val="center"/>
            <w:hideMark/>
          </w:tcPr>
          <w:p w:rsidR="004B2387" w:rsidRPr="00242020" w:rsidRDefault="004B2387" w:rsidP="004B2387">
            <w:pPr>
              <w:widowControl/>
              <w:ind w:left="-87" w:right="-77" w:firstLine="0"/>
              <w:jc w:val="center"/>
              <w:rPr>
                <w:b/>
                <w:i/>
                <w:iCs/>
                <w:sz w:val="18"/>
                <w:szCs w:val="18"/>
                <w:lang w:eastAsia="uk-UA"/>
              </w:rPr>
            </w:pPr>
            <w:r w:rsidRPr="00242020">
              <w:rPr>
                <w:b/>
                <w:i/>
                <w:iCs/>
                <w:sz w:val="18"/>
                <w:szCs w:val="18"/>
                <w:lang w:eastAsia="uk-UA"/>
              </w:rPr>
              <w:t>66</w:t>
            </w:r>
            <w:r w:rsidR="00085F86">
              <w:rPr>
                <w:b/>
                <w:i/>
                <w:iCs/>
                <w:sz w:val="18"/>
                <w:szCs w:val="18"/>
                <w:lang w:eastAsia="uk-UA"/>
              </w:rPr>
              <w:t> </w:t>
            </w:r>
            <w:r w:rsidRPr="00242020">
              <w:rPr>
                <w:b/>
                <w:i/>
                <w:iCs/>
                <w:sz w:val="18"/>
                <w:szCs w:val="18"/>
                <w:lang w:eastAsia="uk-UA"/>
              </w:rPr>
              <w:t>496,55</w:t>
            </w:r>
          </w:p>
        </w:tc>
        <w:tc>
          <w:tcPr>
            <w:tcW w:w="784" w:type="dxa"/>
            <w:tcBorders>
              <w:top w:val="nil"/>
              <w:left w:val="nil"/>
              <w:bottom w:val="single" w:sz="8" w:space="0" w:color="auto"/>
              <w:right w:val="single" w:sz="8" w:space="0" w:color="auto"/>
            </w:tcBorders>
            <w:shd w:val="clear" w:color="000000" w:fill="FFFF99"/>
            <w:noWrap/>
            <w:vAlign w:val="center"/>
            <w:hideMark/>
          </w:tcPr>
          <w:p w:rsidR="004B2387" w:rsidRPr="00242020" w:rsidRDefault="004B2387" w:rsidP="004B2387">
            <w:pPr>
              <w:widowControl/>
              <w:ind w:left="-87" w:right="-77" w:firstLine="0"/>
              <w:jc w:val="center"/>
              <w:rPr>
                <w:b/>
                <w:i/>
                <w:iCs/>
                <w:sz w:val="18"/>
                <w:szCs w:val="18"/>
                <w:lang w:eastAsia="uk-UA"/>
              </w:rPr>
            </w:pPr>
            <w:r w:rsidRPr="00242020">
              <w:rPr>
                <w:b/>
                <w:i/>
                <w:iCs/>
                <w:sz w:val="18"/>
                <w:szCs w:val="18"/>
                <w:lang w:eastAsia="uk-UA"/>
              </w:rPr>
              <w:t>3</w:t>
            </w:r>
            <w:r w:rsidR="00085F86">
              <w:rPr>
                <w:b/>
                <w:i/>
                <w:iCs/>
                <w:sz w:val="18"/>
                <w:szCs w:val="18"/>
                <w:lang w:eastAsia="uk-UA"/>
              </w:rPr>
              <w:t> </w:t>
            </w:r>
            <w:r w:rsidRPr="00242020">
              <w:rPr>
                <w:b/>
                <w:i/>
                <w:iCs/>
                <w:sz w:val="18"/>
                <w:szCs w:val="18"/>
                <w:lang w:eastAsia="uk-UA"/>
              </w:rPr>
              <w:t>548,72</w:t>
            </w:r>
          </w:p>
        </w:tc>
        <w:tc>
          <w:tcPr>
            <w:tcW w:w="868" w:type="dxa"/>
            <w:tcBorders>
              <w:top w:val="nil"/>
              <w:left w:val="nil"/>
              <w:bottom w:val="single" w:sz="8" w:space="0" w:color="auto"/>
              <w:right w:val="single" w:sz="8" w:space="0" w:color="auto"/>
            </w:tcBorders>
            <w:shd w:val="clear" w:color="000000" w:fill="FFFF99"/>
            <w:noWrap/>
            <w:vAlign w:val="center"/>
            <w:hideMark/>
          </w:tcPr>
          <w:p w:rsidR="004B2387" w:rsidRPr="00242020" w:rsidRDefault="004B2387" w:rsidP="004B2387">
            <w:pPr>
              <w:widowControl/>
              <w:ind w:left="-87" w:right="-77" w:firstLine="0"/>
              <w:jc w:val="center"/>
              <w:rPr>
                <w:bCs/>
                <w:i/>
                <w:iCs/>
                <w:sz w:val="18"/>
                <w:szCs w:val="18"/>
                <w:lang w:eastAsia="uk-UA"/>
              </w:rPr>
            </w:pPr>
            <w:r w:rsidRPr="00242020">
              <w:rPr>
                <w:bCs/>
                <w:i/>
                <w:iCs/>
                <w:sz w:val="18"/>
                <w:szCs w:val="18"/>
                <w:lang w:eastAsia="uk-UA"/>
              </w:rPr>
              <w:t>19</w:t>
            </w:r>
            <w:r w:rsidR="00085F86">
              <w:rPr>
                <w:bCs/>
                <w:i/>
                <w:iCs/>
                <w:sz w:val="18"/>
                <w:szCs w:val="18"/>
                <w:lang w:eastAsia="uk-UA"/>
              </w:rPr>
              <w:t> </w:t>
            </w:r>
            <w:r w:rsidRPr="00242020">
              <w:rPr>
                <w:bCs/>
                <w:i/>
                <w:iCs/>
                <w:sz w:val="18"/>
                <w:szCs w:val="18"/>
                <w:lang w:eastAsia="uk-UA"/>
              </w:rPr>
              <w:t>198,36</w:t>
            </w:r>
          </w:p>
        </w:tc>
        <w:tc>
          <w:tcPr>
            <w:tcW w:w="789" w:type="dxa"/>
            <w:tcBorders>
              <w:top w:val="single" w:sz="8" w:space="0" w:color="auto"/>
              <w:left w:val="nil"/>
              <w:bottom w:val="single" w:sz="8" w:space="0" w:color="auto"/>
              <w:right w:val="single" w:sz="8" w:space="0" w:color="auto"/>
            </w:tcBorders>
            <w:shd w:val="clear" w:color="000000" w:fill="FFFF99"/>
            <w:noWrap/>
            <w:vAlign w:val="center"/>
            <w:hideMark/>
          </w:tcPr>
          <w:p w:rsidR="004B2387" w:rsidRPr="00242020" w:rsidRDefault="004B2387" w:rsidP="004B2387">
            <w:pPr>
              <w:widowControl/>
              <w:ind w:left="-87" w:right="-77" w:firstLine="0"/>
              <w:jc w:val="center"/>
              <w:rPr>
                <w:bCs/>
                <w:i/>
                <w:iCs/>
                <w:sz w:val="18"/>
                <w:szCs w:val="18"/>
                <w:lang w:eastAsia="uk-UA"/>
              </w:rPr>
            </w:pPr>
            <w:r w:rsidRPr="00242020">
              <w:rPr>
                <w:bCs/>
                <w:i/>
                <w:iCs/>
                <w:sz w:val="18"/>
                <w:szCs w:val="18"/>
                <w:lang w:eastAsia="uk-UA"/>
              </w:rPr>
              <w:t>939,62</w:t>
            </w:r>
          </w:p>
        </w:tc>
        <w:tc>
          <w:tcPr>
            <w:tcW w:w="709" w:type="dxa"/>
            <w:tcBorders>
              <w:top w:val="single" w:sz="8" w:space="0" w:color="auto"/>
              <w:left w:val="nil"/>
              <w:bottom w:val="single" w:sz="8" w:space="0" w:color="auto"/>
              <w:right w:val="single" w:sz="8" w:space="0" w:color="auto"/>
            </w:tcBorders>
            <w:shd w:val="clear" w:color="000000" w:fill="FFFF99"/>
            <w:noWrap/>
            <w:vAlign w:val="center"/>
            <w:hideMark/>
          </w:tcPr>
          <w:p w:rsidR="004B2387" w:rsidRPr="00242020" w:rsidRDefault="004B2387" w:rsidP="004B2387">
            <w:pPr>
              <w:widowControl/>
              <w:ind w:left="-87" w:right="-77" w:firstLine="0"/>
              <w:jc w:val="center"/>
              <w:rPr>
                <w:b/>
                <w:i/>
                <w:iCs/>
                <w:sz w:val="18"/>
                <w:szCs w:val="18"/>
                <w:lang w:eastAsia="uk-UA"/>
              </w:rPr>
            </w:pPr>
            <w:r w:rsidRPr="00242020">
              <w:rPr>
                <w:b/>
                <w:i/>
                <w:iCs/>
                <w:sz w:val="18"/>
                <w:szCs w:val="18"/>
                <w:lang w:eastAsia="uk-UA"/>
              </w:rPr>
              <w:t>84,26</w:t>
            </w:r>
          </w:p>
        </w:tc>
        <w:tc>
          <w:tcPr>
            <w:tcW w:w="783" w:type="dxa"/>
            <w:tcBorders>
              <w:top w:val="single" w:sz="8" w:space="0" w:color="auto"/>
              <w:left w:val="nil"/>
              <w:bottom w:val="single" w:sz="8" w:space="0" w:color="auto"/>
              <w:right w:val="single" w:sz="8" w:space="0" w:color="auto"/>
            </w:tcBorders>
            <w:shd w:val="clear" w:color="000000" w:fill="FFFF99"/>
            <w:noWrap/>
            <w:vAlign w:val="center"/>
            <w:hideMark/>
          </w:tcPr>
          <w:p w:rsidR="004B2387" w:rsidRPr="00242020" w:rsidRDefault="004B2387" w:rsidP="004B2387">
            <w:pPr>
              <w:widowControl/>
              <w:ind w:left="-87" w:right="-77" w:firstLine="0"/>
              <w:jc w:val="center"/>
              <w:rPr>
                <w:b/>
                <w:i/>
                <w:iCs/>
                <w:sz w:val="18"/>
                <w:szCs w:val="18"/>
                <w:lang w:eastAsia="uk-UA"/>
              </w:rPr>
            </w:pPr>
            <w:r w:rsidRPr="00242020">
              <w:rPr>
                <w:b/>
                <w:i/>
                <w:iCs/>
                <w:sz w:val="18"/>
                <w:szCs w:val="18"/>
                <w:lang w:eastAsia="uk-UA"/>
              </w:rPr>
              <w:t>35,57</w:t>
            </w:r>
          </w:p>
        </w:tc>
        <w:tc>
          <w:tcPr>
            <w:tcW w:w="700" w:type="dxa"/>
            <w:tcBorders>
              <w:top w:val="single" w:sz="8" w:space="0" w:color="auto"/>
              <w:left w:val="nil"/>
              <w:bottom w:val="single" w:sz="8" w:space="0" w:color="auto"/>
              <w:right w:val="single" w:sz="8" w:space="0" w:color="auto"/>
            </w:tcBorders>
            <w:shd w:val="clear" w:color="000000" w:fill="FFFF99"/>
            <w:noWrap/>
            <w:vAlign w:val="center"/>
            <w:hideMark/>
          </w:tcPr>
          <w:p w:rsidR="004B2387" w:rsidRPr="00242020" w:rsidRDefault="004B2387" w:rsidP="004B2387">
            <w:pPr>
              <w:widowControl/>
              <w:ind w:left="-87" w:right="-77" w:firstLine="0"/>
              <w:jc w:val="center"/>
              <w:rPr>
                <w:bCs/>
                <w:i/>
                <w:iCs/>
                <w:sz w:val="18"/>
                <w:szCs w:val="18"/>
                <w:lang w:eastAsia="uk-UA"/>
              </w:rPr>
            </w:pPr>
            <w:r w:rsidRPr="00242020">
              <w:rPr>
                <w:bCs/>
                <w:i/>
                <w:iCs/>
                <w:sz w:val="18"/>
                <w:szCs w:val="18"/>
                <w:lang w:eastAsia="uk-UA"/>
              </w:rPr>
              <w:t>58,62</w:t>
            </w:r>
          </w:p>
        </w:tc>
        <w:tc>
          <w:tcPr>
            <w:tcW w:w="770" w:type="dxa"/>
            <w:tcBorders>
              <w:top w:val="single" w:sz="8" w:space="0" w:color="auto"/>
              <w:left w:val="nil"/>
              <w:bottom w:val="single" w:sz="8" w:space="0" w:color="auto"/>
              <w:right w:val="single" w:sz="8" w:space="0" w:color="auto"/>
            </w:tcBorders>
            <w:shd w:val="clear" w:color="000000" w:fill="FFFF99"/>
            <w:noWrap/>
            <w:vAlign w:val="center"/>
            <w:hideMark/>
          </w:tcPr>
          <w:p w:rsidR="004B2387" w:rsidRPr="00242020" w:rsidRDefault="004B2387" w:rsidP="004B2387">
            <w:pPr>
              <w:widowControl/>
              <w:ind w:left="-87" w:right="-77" w:firstLine="0"/>
              <w:jc w:val="center"/>
              <w:rPr>
                <w:bCs/>
                <w:i/>
                <w:iCs/>
                <w:sz w:val="18"/>
                <w:szCs w:val="18"/>
                <w:lang w:eastAsia="uk-UA"/>
              </w:rPr>
            </w:pPr>
            <w:r w:rsidRPr="00242020">
              <w:rPr>
                <w:bCs/>
                <w:i/>
                <w:iCs/>
                <w:sz w:val="18"/>
                <w:szCs w:val="18"/>
                <w:lang w:eastAsia="uk-UA"/>
              </w:rPr>
              <w:t>13,70</w:t>
            </w:r>
          </w:p>
        </w:tc>
      </w:tr>
      <w:tr w:rsidR="004B2387" w:rsidRPr="00242020" w:rsidTr="004B2387">
        <w:trPr>
          <w:trHeight w:val="268"/>
        </w:trPr>
        <w:tc>
          <w:tcPr>
            <w:tcW w:w="20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2387" w:rsidRPr="00242020" w:rsidRDefault="00085F86" w:rsidP="00085F86">
            <w:pPr>
              <w:widowControl/>
              <w:ind w:firstLine="0"/>
              <w:jc w:val="center"/>
              <w:rPr>
                <w:rFonts w:ascii="Times New Roman Cyr" w:hAnsi="Times New Roman Cyr"/>
                <w:b/>
                <w:sz w:val="18"/>
                <w:szCs w:val="18"/>
                <w:lang w:eastAsia="uk-UA"/>
              </w:rPr>
            </w:pPr>
            <w:r>
              <w:rPr>
                <w:rFonts w:ascii="Times New Roman Cyr" w:hAnsi="Times New Roman Cyr"/>
                <w:b/>
                <w:sz w:val="18"/>
                <w:szCs w:val="18"/>
                <w:lang w:eastAsia="uk-UA"/>
              </w:rPr>
              <w:t>апарат</w:t>
            </w:r>
            <w:r w:rsidR="004B2387" w:rsidRPr="00242020">
              <w:rPr>
                <w:rFonts w:ascii="Times New Roman Cyr" w:hAnsi="Times New Roman Cyr"/>
                <w:b/>
                <w:sz w:val="18"/>
                <w:szCs w:val="18"/>
                <w:lang w:eastAsia="uk-UA"/>
              </w:rPr>
              <w:t xml:space="preserve"> Ф</w:t>
            </w:r>
            <w:r>
              <w:rPr>
                <w:rFonts w:ascii="Times New Roman Cyr" w:hAnsi="Times New Roman Cyr"/>
                <w:b/>
                <w:sz w:val="18"/>
                <w:szCs w:val="18"/>
                <w:lang w:eastAsia="uk-UA"/>
              </w:rPr>
              <w:t>онду</w:t>
            </w:r>
          </w:p>
        </w:tc>
        <w:tc>
          <w:tcPr>
            <w:tcW w:w="724" w:type="dxa"/>
            <w:tcBorders>
              <w:top w:val="nil"/>
              <w:left w:val="nil"/>
              <w:bottom w:val="single" w:sz="8" w:space="0" w:color="auto"/>
              <w:right w:val="single" w:sz="8" w:space="0" w:color="auto"/>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3</w:t>
            </w:r>
          </w:p>
        </w:tc>
        <w:tc>
          <w:tcPr>
            <w:tcW w:w="893" w:type="dxa"/>
            <w:tcBorders>
              <w:top w:val="nil"/>
              <w:left w:val="nil"/>
              <w:bottom w:val="single" w:sz="8"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0</w:t>
            </w:r>
          </w:p>
        </w:tc>
        <w:tc>
          <w:tcPr>
            <w:tcW w:w="650" w:type="dxa"/>
            <w:tcBorders>
              <w:top w:val="nil"/>
              <w:left w:val="single" w:sz="8" w:space="0" w:color="auto"/>
              <w:bottom w:val="single" w:sz="8"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2</w:t>
            </w:r>
          </w:p>
        </w:tc>
        <w:tc>
          <w:tcPr>
            <w:tcW w:w="918" w:type="dxa"/>
            <w:tcBorders>
              <w:top w:val="nil"/>
              <w:left w:val="single" w:sz="8" w:space="0" w:color="auto"/>
              <w:bottom w:val="single" w:sz="8"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0</w:t>
            </w:r>
          </w:p>
        </w:tc>
        <w:tc>
          <w:tcPr>
            <w:tcW w:w="937" w:type="dxa"/>
            <w:tcBorders>
              <w:top w:val="nil"/>
              <w:left w:val="single" w:sz="8" w:space="0" w:color="auto"/>
              <w:bottom w:val="single" w:sz="8" w:space="0" w:color="auto"/>
              <w:right w:val="nil"/>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22</w:t>
            </w:r>
            <w:r w:rsidR="00085F86">
              <w:rPr>
                <w:b/>
                <w:sz w:val="18"/>
                <w:szCs w:val="18"/>
                <w:lang w:eastAsia="uk-UA"/>
              </w:rPr>
              <w:t> </w:t>
            </w:r>
            <w:r w:rsidRPr="00242020">
              <w:rPr>
                <w:b/>
                <w:sz w:val="18"/>
                <w:szCs w:val="18"/>
                <w:lang w:eastAsia="uk-UA"/>
              </w:rPr>
              <w:t>154,17</w:t>
            </w:r>
          </w:p>
        </w:tc>
        <w:tc>
          <w:tcPr>
            <w:tcW w:w="896" w:type="dxa"/>
            <w:tcBorders>
              <w:top w:val="nil"/>
              <w:left w:val="single" w:sz="8" w:space="0" w:color="auto"/>
              <w:bottom w:val="nil"/>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0,00</w:t>
            </w:r>
          </w:p>
        </w:tc>
        <w:tc>
          <w:tcPr>
            <w:tcW w:w="798" w:type="dxa"/>
            <w:tcBorders>
              <w:top w:val="nil"/>
              <w:left w:val="nil"/>
              <w:bottom w:val="nil"/>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14</w:t>
            </w:r>
            <w:r w:rsidR="00085F86">
              <w:rPr>
                <w:bCs/>
                <w:sz w:val="18"/>
                <w:szCs w:val="18"/>
                <w:lang w:eastAsia="uk-UA"/>
              </w:rPr>
              <w:t> </w:t>
            </w:r>
            <w:r w:rsidRPr="00242020">
              <w:rPr>
                <w:bCs/>
                <w:sz w:val="18"/>
                <w:szCs w:val="18"/>
                <w:lang w:eastAsia="uk-UA"/>
              </w:rPr>
              <w:t>280,00</w:t>
            </w:r>
          </w:p>
        </w:tc>
        <w:tc>
          <w:tcPr>
            <w:tcW w:w="770" w:type="dxa"/>
            <w:tcBorders>
              <w:top w:val="nil"/>
              <w:left w:val="nil"/>
              <w:bottom w:val="nil"/>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896" w:type="dxa"/>
            <w:tcBorders>
              <w:top w:val="nil"/>
              <w:left w:val="nil"/>
              <w:bottom w:val="nil"/>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104</w:t>
            </w:r>
            <w:r w:rsidR="00085F86">
              <w:rPr>
                <w:b/>
                <w:sz w:val="18"/>
                <w:szCs w:val="18"/>
                <w:lang w:eastAsia="uk-UA"/>
              </w:rPr>
              <w:t> </w:t>
            </w:r>
            <w:r w:rsidRPr="00242020">
              <w:rPr>
                <w:b/>
                <w:sz w:val="18"/>
                <w:szCs w:val="18"/>
                <w:lang w:eastAsia="uk-UA"/>
              </w:rPr>
              <w:t>966,66</w:t>
            </w:r>
          </w:p>
        </w:tc>
        <w:tc>
          <w:tcPr>
            <w:tcW w:w="784" w:type="dxa"/>
            <w:tcBorders>
              <w:top w:val="nil"/>
              <w:left w:val="nil"/>
              <w:bottom w:val="nil"/>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0,00</w:t>
            </w:r>
          </w:p>
        </w:tc>
        <w:tc>
          <w:tcPr>
            <w:tcW w:w="868" w:type="dxa"/>
            <w:tcBorders>
              <w:top w:val="nil"/>
              <w:left w:val="nil"/>
              <w:bottom w:val="nil"/>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97</w:t>
            </w:r>
            <w:r w:rsidR="00085F86">
              <w:rPr>
                <w:bCs/>
                <w:sz w:val="18"/>
                <w:szCs w:val="18"/>
                <w:lang w:eastAsia="uk-UA"/>
              </w:rPr>
              <w:t> </w:t>
            </w:r>
            <w:r w:rsidRPr="00242020">
              <w:rPr>
                <w:bCs/>
                <w:sz w:val="18"/>
                <w:szCs w:val="18"/>
                <w:lang w:eastAsia="uk-UA"/>
              </w:rPr>
              <w:t>083,33</w:t>
            </w:r>
          </w:p>
        </w:tc>
        <w:tc>
          <w:tcPr>
            <w:tcW w:w="789" w:type="dxa"/>
            <w:tcBorders>
              <w:top w:val="nil"/>
              <w:left w:val="nil"/>
              <w:bottom w:val="nil"/>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0,00</w:t>
            </w:r>
          </w:p>
        </w:tc>
        <w:tc>
          <w:tcPr>
            <w:tcW w:w="709" w:type="dxa"/>
            <w:tcBorders>
              <w:top w:val="nil"/>
              <w:left w:val="nil"/>
              <w:bottom w:val="single" w:sz="8"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473,80</w:t>
            </w:r>
          </w:p>
        </w:tc>
        <w:tc>
          <w:tcPr>
            <w:tcW w:w="783" w:type="dxa"/>
            <w:tcBorders>
              <w:top w:val="nil"/>
              <w:left w:val="nil"/>
              <w:bottom w:val="single" w:sz="8"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color w:val="FFFFFF"/>
                <w:sz w:val="18"/>
                <w:szCs w:val="18"/>
                <w:lang w:eastAsia="uk-UA"/>
              </w:rPr>
            </w:pPr>
            <w:r w:rsidRPr="00242020">
              <w:rPr>
                <w:b/>
                <w:color w:val="FFFFFF"/>
                <w:sz w:val="18"/>
                <w:szCs w:val="18"/>
                <w:lang w:eastAsia="uk-UA"/>
              </w:rPr>
              <w:t>#</w:t>
            </w:r>
            <w:proofErr w:type="spellStart"/>
            <w:r w:rsidRPr="00242020">
              <w:rPr>
                <w:b/>
                <w:color w:val="FFFFFF"/>
                <w:sz w:val="18"/>
                <w:szCs w:val="18"/>
                <w:lang w:eastAsia="uk-UA"/>
              </w:rPr>
              <w:t>ДЕЛ</w:t>
            </w:r>
            <w:proofErr w:type="spellEnd"/>
            <w:r w:rsidRPr="00242020">
              <w:rPr>
                <w:b/>
                <w:color w:val="FFFFFF"/>
                <w:sz w:val="18"/>
                <w:szCs w:val="18"/>
                <w:lang w:eastAsia="uk-UA"/>
              </w:rPr>
              <w:t>/0!</w:t>
            </w:r>
          </w:p>
        </w:tc>
        <w:tc>
          <w:tcPr>
            <w:tcW w:w="700" w:type="dxa"/>
            <w:tcBorders>
              <w:top w:val="nil"/>
              <w:left w:val="nil"/>
              <w:bottom w:val="single" w:sz="8"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679,86</w:t>
            </w:r>
          </w:p>
        </w:tc>
        <w:tc>
          <w:tcPr>
            <w:tcW w:w="770" w:type="dxa"/>
            <w:tcBorders>
              <w:top w:val="nil"/>
              <w:left w:val="nil"/>
              <w:bottom w:val="single" w:sz="8"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color w:val="FFFFFF"/>
                <w:sz w:val="18"/>
                <w:szCs w:val="18"/>
                <w:lang w:eastAsia="uk-UA"/>
              </w:rPr>
            </w:pPr>
            <w:r w:rsidRPr="00242020">
              <w:rPr>
                <w:bCs/>
                <w:color w:val="FFFFFF"/>
                <w:sz w:val="18"/>
                <w:szCs w:val="18"/>
                <w:lang w:eastAsia="uk-UA"/>
              </w:rPr>
              <w:t>#</w:t>
            </w:r>
            <w:proofErr w:type="spellStart"/>
            <w:r w:rsidRPr="00242020">
              <w:rPr>
                <w:bCs/>
                <w:color w:val="FFFFFF"/>
                <w:sz w:val="18"/>
                <w:szCs w:val="18"/>
                <w:lang w:eastAsia="uk-UA"/>
              </w:rPr>
              <w:t>ДЕЛ</w:t>
            </w:r>
            <w:proofErr w:type="spellEnd"/>
            <w:r w:rsidRPr="00242020">
              <w:rPr>
                <w:bCs/>
                <w:color w:val="FFFFFF"/>
                <w:sz w:val="18"/>
                <w:szCs w:val="18"/>
                <w:lang w:eastAsia="uk-UA"/>
              </w:rPr>
              <w:t>/0!</w:t>
            </w:r>
          </w:p>
        </w:tc>
      </w:tr>
      <w:tr w:rsidR="004B2387" w:rsidRPr="00242020" w:rsidTr="004B2387">
        <w:trPr>
          <w:trHeight w:val="405"/>
        </w:trPr>
        <w:tc>
          <w:tcPr>
            <w:tcW w:w="2000" w:type="dxa"/>
            <w:tcBorders>
              <w:top w:val="nil"/>
              <w:left w:val="single" w:sz="8" w:space="0" w:color="auto"/>
              <w:bottom w:val="single" w:sz="8" w:space="0" w:color="auto"/>
              <w:right w:val="single" w:sz="8" w:space="0" w:color="auto"/>
            </w:tcBorders>
            <w:shd w:val="clear" w:color="000000" w:fill="FFFF99"/>
            <w:vAlign w:val="center"/>
            <w:hideMark/>
          </w:tcPr>
          <w:p w:rsidR="004B2387" w:rsidRPr="00242020" w:rsidRDefault="004B2387" w:rsidP="00085F86">
            <w:pPr>
              <w:widowControl/>
              <w:ind w:firstLine="0"/>
              <w:jc w:val="center"/>
              <w:rPr>
                <w:b/>
                <w:i/>
                <w:iCs/>
                <w:sz w:val="18"/>
                <w:szCs w:val="18"/>
                <w:lang w:eastAsia="uk-UA"/>
              </w:rPr>
            </w:pPr>
            <w:r w:rsidRPr="00242020">
              <w:rPr>
                <w:b/>
                <w:i/>
                <w:iCs/>
                <w:sz w:val="18"/>
                <w:szCs w:val="18"/>
                <w:lang w:eastAsia="uk-UA"/>
              </w:rPr>
              <w:t xml:space="preserve">УСЬОГО по </w:t>
            </w:r>
            <w:proofErr w:type="spellStart"/>
            <w:r w:rsidRPr="00242020">
              <w:rPr>
                <w:b/>
                <w:i/>
                <w:iCs/>
                <w:sz w:val="18"/>
                <w:szCs w:val="18"/>
                <w:lang w:eastAsia="uk-UA"/>
              </w:rPr>
              <w:t>РВ</w:t>
            </w:r>
            <w:proofErr w:type="spellEnd"/>
            <w:r w:rsidRPr="00242020">
              <w:rPr>
                <w:b/>
                <w:i/>
                <w:iCs/>
                <w:sz w:val="18"/>
                <w:szCs w:val="18"/>
                <w:lang w:eastAsia="uk-UA"/>
              </w:rPr>
              <w:t xml:space="preserve"> та </w:t>
            </w:r>
            <w:r w:rsidR="00085F86">
              <w:rPr>
                <w:b/>
                <w:i/>
                <w:iCs/>
                <w:sz w:val="18"/>
                <w:szCs w:val="18"/>
                <w:lang w:eastAsia="uk-UA"/>
              </w:rPr>
              <w:t>апарат Фонду</w:t>
            </w:r>
          </w:p>
        </w:tc>
        <w:tc>
          <w:tcPr>
            <w:tcW w:w="724" w:type="dxa"/>
            <w:tcBorders>
              <w:top w:val="nil"/>
              <w:left w:val="nil"/>
              <w:bottom w:val="single" w:sz="8" w:space="0" w:color="auto"/>
              <w:right w:val="single" w:sz="8" w:space="0" w:color="auto"/>
            </w:tcBorders>
            <w:shd w:val="clear" w:color="000000" w:fill="FFFF99"/>
            <w:vAlign w:val="center"/>
            <w:hideMark/>
          </w:tcPr>
          <w:p w:rsidR="004B2387" w:rsidRPr="00242020" w:rsidRDefault="004B2387" w:rsidP="004B2387">
            <w:pPr>
              <w:widowControl/>
              <w:ind w:left="-87" w:right="-77" w:firstLine="0"/>
              <w:jc w:val="center"/>
              <w:rPr>
                <w:rFonts w:ascii="Times New Roman Cyr" w:hAnsi="Times New Roman Cyr"/>
                <w:b/>
                <w:i/>
                <w:iCs/>
                <w:sz w:val="18"/>
                <w:szCs w:val="18"/>
                <w:lang w:eastAsia="uk-UA"/>
              </w:rPr>
            </w:pPr>
            <w:r w:rsidRPr="00242020">
              <w:rPr>
                <w:rFonts w:ascii="Times New Roman Cyr" w:hAnsi="Times New Roman Cyr"/>
                <w:b/>
                <w:i/>
                <w:iCs/>
                <w:sz w:val="18"/>
                <w:szCs w:val="18"/>
                <w:lang w:eastAsia="uk-UA"/>
              </w:rPr>
              <w:t>135</w:t>
            </w:r>
          </w:p>
        </w:tc>
        <w:tc>
          <w:tcPr>
            <w:tcW w:w="893" w:type="dxa"/>
            <w:tcBorders>
              <w:top w:val="nil"/>
              <w:left w:val="nil"/>
              <w:bottom w:val="single" w:sz="8" w:space="0" w:color="auto"/>
              <w:right w:val="single" w:sz="8" w:space="0" w:color="auto"/>
            </w:tcBorders>
            <w:shd w:val="clear" w:color="000000" w:fill="FFFF99"/>
            <w:vAlign w:val="center"/>
            <w:hideMark/>
          </w:tcPr>
          <w:p w:rsidR="004B2387" w:rsidRPr="00242020" w:rsidRDefault="004B2387" w:rsidP="004B2387">
            <w:pPr>
              <w:widowControl/>
              <w:ind w:left="-87" w:right="-77" w:firstLine="0"/>
              <w:jc w:val="center"/>
              <w:rPr>
                <w:rFonts w:ascii="Times New Roman Cyr" w:hAnsi="Times New Roman Cyr"/>
                <w:b/>
                <w:i/>
                <w:iCs/>
                <w:sz w:val="18"/>
                <w:szCs w:val="18"/>
                <w:lang w:eastAsia="uk-UA"/>
              </w:rPr>
            </w:pPr>
            <w:r w:rsidRPr="00242020">
              <w:rPr>
                <w:rFonts w:ascii="Times New Roman Cyr" w:hAnsi="Times New Roman Cyr"/>
                <w:b/>
                <w:i/>
                <w:iCs/>
                <w:sz w:val="18"/>
                <w:szCs w:val="18"/>
                <w:lang w:eastAsia="uk-UA"/>
              </w:rPr>
              <w:t>16</w:t>
            </w:r>
          </w:p>
        </w:tc>
        <w:tc>
          <w:tcPr>
            <w:tcW w:w="650" w:type="dxa"/>
            <w:tcBorders>
              <w:top w:val="nil"/>
              <w:left w:val="nil"/>
              <w:bottom w:val="single" w:sz="8" w:space="0" w:color="auto"/>
              <w:right w:val="single" w:sz="8" w:space="0" w:color="auto"/>
            </w:tcBorders>
            <w:shd w:val="clear" w:color="000000" w:fill="FFFF99"/>
            <w:vAlign w:val="center"/>
            <w:hideMark/>
          </w:tcPr>
          <w:p w:rsidR="004B2387" w:rsidRPr="00242020" w:rsidRDefault="004B2387" w:rsidP="004B2387">
            <w:pPr>
              <w:widowControl/>
              <w:ind w:left="-87" w:right="-77" w:firstLine="0"/>
              <w:jc w:val="center"/>
              <w:rPr>
                <w:rFonts w:ascii="Times New Roman Cyr" w:hAnsi="Times New Roman Cyr"/>
                <w:bCs/>
                <w:i/>
                <w:iCs/>
                <w:sz w:val="18"/>
                <w:szCs w:val="18"/>
                <w:lang w:eastAsia="uk-UA"/>
              </w:rPr>
            </w:pPr>
            <w:r w:rsidRPr="00242020">
              <w:rPr>
                <w:rFonts w:ascii="Times New Roman Cyr" w:hAnsi="Times New Roman Cyr"/>
                <w:bCs/>
                <w:i/>
                <w:iCs/>
                <w:sz w:val="18"/>
                <w:szCs w:val="18"/>
                <w:lang w:eastAsia="uk-UA"/>
              </w:rPr>
              <w:t>7</w:t>
            </w:r>
          </w:p>
        </w:tc>
        <w:tc>
          <w:tcPr>
            <w:tcW w:w="918" w:type="dxa"/>
            <w:tcBorders>
              <w:top w:val="nil"/>
              <w:left w:val="nil"/>
              <w:bottom w:val="single" w:sz="8" w:space="0" w:color="auto"/>
              <w:right w:val="single" w:sz="8" w:space="0" w:color="auto"/>
            </w:tcBorders>
            <w:shd w:val="clear" w:color="000000" w:fill="FFFF99"/>
            <w:vAlign w:val="center"/>
            <w:hideMark/>
          </w:tcPr>
          <w:p w:rsidR="004B2387" w:rsidRPr="00242020" w:rsidRDefault="004B2387" w:rsidP="004B2387">
            <w:pPr>
              <w:widowControl/>
              <w:ind w:left="-87" w:right="-77" w:firstLine="0"/>
              <w:jc w:val="center"/>
              <w:rPr>
                <w:rFonts w:ascii="Times New Roman Cyr" w:hAnsi="Times New Roman Cyr"/>
                <w:bCs/>
                <w:i/>
                <w:iCs/>
                <w:sz w:val="18"/>
                <w:szCs w:val="18"/>
                <w:lang w:eastAsia="uk-UA"/>
              </w:rPr>
            </w:pPr>
            <w:r w:rsidRPr="00242020">
              <w:rPr>
                <w:rFonts w:ascii="Times New Roman Cyr" w:hAnsi="Times New Roman Cyr"/>
                <w:bCs/>
                <w:i/>
                <w:iCs/>
                <w:sz w:val="18"/>
                <w:szCs w:val="18"/>
                <w:lang w:eastAsia="uk-UA"/>
              </w:rPr>
              <w:t>1</w:t>
            </w:r>
          </w:p>
        </w:tc>
        <w:tc>
          <w:tcPr>
            <w:tcW w:w="937" w:type="dxa"/>
            <w:tcBorders>
              <w:top w:val="nil"/>
              <w:left w:val="nil"/>
              <w:bottom w:val="single" w:sz="8" w:space="0" w:color="auto"/>
              <w:right w:val="single" w:sz="8" w:space="0" w:color="auto"/>
            </w:tcBorders>
            <w:shd w:val="clear" w:color="000000" w:fill="FFFF99"/>
            <w:vAlign w:val="center"/>
            <w:hideMark/>
          </w:tcPr>
          <w:p w:rsidR="004B2387" w:rsidRPr="00242020" w:rsidRDefault="004B2387" w:rsidP="004B2387">
            <w:pPr>
              <w:widowControl/>
              <w:ind w:left="-87" w:right="-77" w:firstLine="0"/>
              <w:jc w:val="center"/>
              <w:rPr>
                <w:rFonts w:ascii="Times New Roman Cyr" w:hAnsi="Times New Roman Cyr"/>
                <w:b/>
                <w:i/>
                <w:iCs/>
                <w:sz w:val="18"/>
                <w:szCs w:val="18"/>
                <w:lang w:eastAsia="uk-UA"/>
              </w:rPr>
            </w:pPr>
            <w:r w:rsidRPr="00242020">
              <w:rPr>
                <w:rFonts w:ascii="Times New Roman Cyr" w:hAnsi="Times New Roman Cyr"/>
                <w:b/>
                <w:i/>
                <w:iCs/>
                <w:sz w:val="18"/>
                <w:szCs w:val="18"/>
                <w:lang w:eastAsia="uk-UA"/>
              </w:rPr>
              <w:t>101</w:t>
            </w:r>
            <w:r w:rsidR="00085F86">
              <w:rPr>
                <w:rFonts w:ascii="Times New Roman Cyr" w:hAnsi="Times New Roman Cyr"/>
                <w:b/>
                <w:i/>
                <w:iCs/>
                <w:sz w:val="18"/>
                <w:szCs w:val="18"/>
                <w:lang w:eastAsia="uk-UA"/>
              </w:rPr>
              <w:t> </w:t>
            </w:r>
            <w:r w:rsidRPr="00242020">
              <w:rPr>
                <w:rFonts w:ascii="Times New Roman Cyr" w:hAnsi="Times New Roman Cyr"/>
                <w:b/>
                <w:i/>
                <w:iCs/>
                <w:sz w:val="18"/>
                <w:szCs w:val="18"/>
                <w:lang w:eastAsia="uk-UA"/>
              </w:rPr>
              <w:t>076,47</w:t>
            </w:r>
          </w:p>
        </w:tc>
        <w:tc>
          <w:tcPr>
            <w:tcW w:w="896" w:type="dxa"/>
            <w:tcBorders>
              <w:top w:val="single" w:sz="8" w:space="0" w:color="auto"/>
              <w:left w:val="nil"/>
              <w:bottom w:val="single" w:sz="8" w:space="0" w:color="auto"/>
              <w:right w:val="single" w:sz="8" w:space="0" w:color="auto"/>
            </w:tcBorders>
            <w:shd w:val="clear" w:color="000000" w:fill="FFFF99"/>
            <w:vAlign w:val="center"/>
            <w:hideMark/>
          </w:tcPr>
          <w:p w:rsidR="004B2387" w:rsidRPr="00242020" w:rsidRDefault="004B2387" w:rsidP="004B2387">
            <w:pPr>
              <w:widowControl/>
              <w:ind w:left="-87" w:right="-77" w:firstLine="0"/>
              <w:jc w:val="center"/>
              <w:rPr>
                <w:rFonts w:ascii="Times New Roman Cyr" w:hAnsi="Times New Roman Cyr"/>
                <w:b/>
                <w:i/>
                <w:iCs/>
                <w:sz w:val="18"/>
                <w:szCs w:val="18"/>
                <w:lang w:eastAsia="uk-UA"/>
              </w:rPr>
            </w:pPr>
            <w:r w:rsidRPr="00242020">
              <w:rPr>
                <w:rFonts w:ascii="Times New Roman Cyr" w:hAnsi="Times New Roman Cyr"/>
                <w:b/>
                <w:i/>
                <w:iCs/>
                <w:sz w:val="18"/>
                <w:szCs w:val="18"/>
                <w:lang w:eastAsia="uk-UA"/>
              </w:rPr>
              <w:t>9</w:t>
            </w:r>
            <w:r w:rsidR="00085F86">
              <w:rPr>
                <w:rFonts w:ascii="Times New Roman Cyr" w:hAnsi="Times New Roman Cyr"/>
                <w:b/>
                <w:i/>
                <w:iCs/>
                <w:sz w:val="18"/>
                <w:szCs w:val="18"/>
                <w:lang w:eastAsia="uk-UA"/>
              </w:rPr>
              <w:t> </w:t>
            </w:r>
            <w:r w:rsidRPr="00242020">
              <w:rPr>
                <w:rFonts w:ascii="Times New Roman Cyr" w:hAnsi="Times New Roman Cyr"/>
                <w:b/>
                <w:i/>
                <w:iCs/>
                <w:sz w:val="18"/>
                <w:szCs w:val="18"/>
                <w:lang w:eastAsia="uk-UA"/>
              </w:rPr>
              <w:t>977,25</w:t>
            </w:r>
          </w:p>
        </w:tc>
        <w:tc>
          <w:tcPr>
            <w:tcW w:w="798" w:type="dxa"/>
            <w:tcBorders>
              <w:top w:val="single" w:sz="8" w:space="0" w:color="auto"/>
              <w:left w:val="nil"/>
              <w:bottom w:val="single" w:sz="8" w:space="0" w:color="auto"/>
              <w:right w:val="single" w:sz="8" w:space="0" w:color="auto"/>
            </w:tcBorders>
            <w:shd w:val="clear" w:color="000000" w:fill="FFFF99"/>
            <w:vAlign w:val="center"/>
            <w:hideMark/>
          </w:tcPr>
          <w:p w:rsidR="004B2387" w:rsidRPr="00242020" w:rsidRDefault="004B2387" w:rsidP="004B2387">
            <w:pPr>
              <w:widowControl/>
              <w:ind w:left="-87" w:right="-77" w:firstLine="0"/>
              <w:jc w:val="center"/>
              <w:rPr>
                <w:rFonts w:ascii="Times New Roman Cyr" w:hAnsi="Times New Roman Cyr"/>
                <w:bCs/>
                <w:i/>
                <w:iCs/>
                <w:sz w:val="18"/>
                <w:szCs w:val="18"/>
                <w:lang w:eastAsia="uk-UA"/>
              </w:rPr>
            </w:pPr>
            <w:r w:rsidRPr="00242020">
              <w:rPr>
                <w:rFonts w:ascii="Times New Roman Cyr" w:hAnsi="Times New Roman Cyr"/>
                <w:bCs/>
                <w:i/>
                <w:iCs/>
                <w:sz w:val="18"/>
                <w:szCs w:val="18"/>
                <w:lang w:eastAsia="uk-UA"/>
              </w:rPr>
              <w:t>47</w:t>
            </w:r>
            <w:r w:rsidR="00085F86">
              <w:rPr>
                <w:rFonts w:ascii="Times New Roman Cyr" w:hAnsi="Times New Roman Cyr"/>
                <w:bCs/>
                <w:i/>
                <w:iCs/>
                <w:sz w:val="18"/>
                <w:szCs w:val="18"/>
                <w:lang w:eastAsia="uk-UA"/>
              </w:rPr>
              <w:t> </w:t>
            </w:r>
            <w:r w:rsidRPr="00242020">
              <w:rPr>
                <w:rFonts w:ascii="Times New Roman Cyr" w:hAnsi="Times New Roman Cyr"/>
                <w:bCs/>
                <w:i/>
                <w:iCs/>
                <w:sz w:val="18"/>
                <w:szCs w:val="18"/>
                <w:lang w:eastAsia="uk-UA"/>
              </w:rPr>
              <w:t>033,30</w:t>
            </w:r>
          </w:p>
        </w:tc>
        <w:tc>
          <w:tcPr>
            <w:tcW w:w="770" w:type="dxa"/>
            <w:tcBorders>
              <w:top w:val="single" w:sz="8" w:space="0" w:color="auto"/>
              <w:left w:val="nil"/>
              <w:bottom w:val="single" w:sz="8" w:space="0" w:color="auto"/>
              <w:right w:val="single" w:sz="8" w:space="0" w:color="auto"/>
            </w:tcBorders>
            <w:shd w:val="clear" w:color="000000" w:fill="FFFF99"/>
            <w:vAlign w:val="center"/>
            <w:hideMark/>
          </w:tcPr>
          <w:p w:rsidR="004B2387" w:rsidRPr="00242020" w:rsidRDefault="004B2387" w:rsidP="004B2387">
            <w:pPr>
              <w:widowControl/>
              <w:ind w:left="-87" w:right="-77" w:firstLine="0"/>
              <w:jc w:val="center"/>
              <w:rPr>
                <w:rFonts w:ascii="Times New Roman Cyr" w:hAnsi="Times New Roman Cyr"/>
                <w:bCs/>
                <w:i/>
                <w:iCs/>
                <w:sz w:val="18"/>
                <w:szCs w:val="18"/>
                <w:lang w:eastAsia="uk-UA"/>
              </w:rPr>
            </w:pPr>
            <w:r w:rsidRPr="00242020">
              <w:rPr>
                <w:rFonts w:ascii="Times New Roman Cyr" w:hAnsi="Times New Roman Cyr"/>
                <w:bCs/>
                <w:i/>
                <w:iCs/>
                <w:sz w:val="18"/>
                <w:szCs w:val="18"/>
                <w:lang w:eastAsia="uk-UA"/>
              </w:rPr>
              <w:t>6</w:t>
            </w:r>
            <w:r w:rsidR="00085F86">
              <w:rPr>
                <w:rFonts w:ascii="Times New Roman Cyr" w:hAnsi="Times New Roman Cyr"/>
                <w:bCs/>
                <w:i/>
                <w:iCs/>
                <w:sz w:val="18"/>
                <w:szCs w:val="18"/>
                <w:lang w:eastAsia="uk-UA"/>
              </w:rPr>
              <w:t> </w:t>
            </w:r>
            <w:r w:rsidRPr="00242020">
              <w:rPr>
                <w:rFonts w:ascii="Times New Roman Cyr" w:hAnsi="Times New Roman Cyr"/>
                <w:bCs/>
                <w:i/>
                <w:iCs/>
                <w:sz w:val="18"/>
                <w:szCs w:val="18"/>
                <w:lang w:eastAsia="uk-UA"/>
              </w:rPr>
              <w:t>858,25</w:t>
            </w:r>
          </w:p>
        </w:tc>
        <w:tc>
          <w:tcPr>
            <w:tcW w:w="896" w:type="dxa"/>
            <w:tcBorders>
              <w:top w:val="single" w:sz="8" w:space="0" w:color="auto"/>
              <w:left w:val="nil"/>
              <w:bottom w:val="single" w:sz="8" w:space="0" w:color="auto"/>
              <w:right w:val="single" w:sz="8" w:space="0" w:color="auto"/>
            </w:tcBorders>
            <w:shd w:val="clear" w:color="000000" w:fill="FFFF99"/>
            <w:vAlign w:val="center"/>
            <w:hideMark/>
          </w:tcPr>
          <w:p w:rsidR="004B2387" w:rsidRPr="00242020" w:rsidRDefault="004B2387" w:rsidP="004B2387">
            <w:pPr>
              <w:widowControl/>
              <w:ind w:left="-87" w:right="-77" w:firstLine="0"/>
              <w:jc w:val="center"/>
              <w:rPr>
                <w:rFonts w:ascii="Times New Roman Cyr" w:hAnsi="Times New Roman Cyr"/>
                <w:b/>
                <w:i/>
                <w:iCs/>
                <w:sz w:val="18"/>
                <w:szCs w:val="18"/>
                <w:lang w:eastAsia="uk-UA"/>
              </w:rPr>
            </w:pPr>
            <w:r w:rsidRPr="00242020">
              <w:rPr>
                <w:rFonts w:ascii="Times New Roman Cyr" w:hAnsi="Times New Roman Cyr"/>
                <w:b/>
                <w:i/>
                <w:iCs/>
                <w:sz w:val="18"/>
                <w:szCs w:val="18"/>
                <w:lang w:eastAsia="uk-UA"/>
              </w:rPr>
              <w:t>171</w:t>
            </w:r>
            <w:r w:rsidR="00085F86">
              <w:rPr>
                <w:rFonts w:ascii="Times New Roman Cyr" w:hAnsi="Times New Roman Cyr"/>
                <w:b/>
                <w:i/>
                <w:iCs/>
                <w:sz w:val="18"/>
                <w:szCs w:val="18"/>
                <w:lang w:eastAsia="uk-UA"/>
              </w:rPr>
              <w:t> </w:t>
            </w:r>
            <w:r w:rsidRPr="00242020">
              <w:rPr>
                <w:rFonts w:ascii="Times New Roman Cyr" w:hAnsi="Times New Roman Cyr"/>
                <w:b/>
                <w:i/>
                <w:iCs/>
                <w:sz w:val="18"/>
                <w:szCs w:val="18"/>
                <w:lang w:eastAsia="uk-UA"/>
              </w:rPr>
              <w:t>463,21</w:t>
            </w:r>
          </w:p>
        </w:tc>
        <w:tc>
          <w:tcPr>
            <w:tcW w:w="784" w:type="dxa"/>
            <w:tcBorders>
              <w:top w:val="single" w:sz="8" w:space="0" w:color="auto"/>
              <w:left w:val="nil"/>
              <w:bottom w:val="single" w:sz="8" w:space="0" w:color="auto"/>
              <w:right w:val="single" w:sz="8" w:space="0" w:color="auto"/>
            </w:tcBorders>
            <w:shd w:val="clear" w:color="000000" w:fill="FFFF99"/>
            <w:vAlign w:val="center"/>
            <w:hideMark/>
          </w:tcPr>
          <w:p w:rsidR="004B2387" w:rsidRPr="00242020" w:rsidRDefault="004B2387" w:rsidP="004B2387">
            <w:pPr>
              <w:widowControl/>
              <w:ind w:left="-87" w:right="-77" w:firstLine="0"/>
              <w:jc w:val="center"/>
              <w:rPr>
                <w:rFonts w:ascii="Times New Roman Cyr" w:hAnsi="Times New Roman Cyr"/>
                <w:b/>
                <w:i/>
                <w:iCs/>
                <w:sz w:val="18"/>
                <w:szCs w:val="18"/>
                <w:lang w:eastAsia="uk-UA"/>
              </w:rPr>
            </w:pPr>
            <w:r w:rsidRPr="00242020">
              <w:rPr>
                <w:rFonts w:ascii="Times New Roman Cyr" w:hAnsi="Times New Roman Cyr"/>
                <w:b/>
                <w:i/>
                <w:iCs/>
                <w:sz w:val="18"/>
                <w:szCs w:val="18"/>
                <w:lang w:eastAsia="uk-UA"/>
              </w:rPr>
              <w:t>3</w:t>
            </w:r>
            <w:r w:rsidR="00085F86">
              <w:rPr>
                <w:rFonts w:ascii="Times New Roman Cyr" w:hAnsi="Times New Roman Cyr"/>
                <w:b/>
                <w:i/>
                <w:iCs/>
                <w:sz w:val="18"/>
                <w:szCs w:val="18"/>
                <w:lang w:eastAsia="uk-UA"/>
              </w:rPr>
              <w:t> </w:t>
            </w:r>
            <w:r w:rsidRPr="00242020">
              <w:rPr>
                <w:rFonts w:ascii="Times New Roman Cyr" w:hAnsi="Times New Roman Cyr"/>
                <w:b/>
                <w:i/>
                <w:iCs/>
                <w:sz w:val="18"/>
                <w:szCs w:val="18"/>
                <w:lang w:eastAsia="uk-UA"/>
              </w:rPr>
              <w:t>548,72</w:t>
            </w:r>
          </w:p>
        </w:tc>
        <w:tc>
          <w:tcPr>
            <w:tcW w:w="868" w:type="dxa"/>
            <w:tcBorders>
              <w:top w:val="single" w:sz="8" w:space="0" w:color="auto"/>
              <w:left w:val="nil"/>
              <w:bottom w:val="single" w:sz="8" w:space="0" w:color="auto"/>
              <w:right w:val="single" w:sz="8" w:space="0" w:color="auto"/>
            </w:tcBorders>
            <w:shd w:val="clear" w:color="000000" w:fill="FFFF99"/>
            <w:vAlign w:val="center"/>
            <w:hideMark/>
          </w:tcPr>
          <w:p w:rsidR="004B2387" w:rsidRPr="00242020" w:rsidRDefault="004B2387" w:rsidP="00085F86">
            <w:pPr>
              <w:widowControl/>
              <w:ind w:left="-87" w:right="-77" w:firstLine="0"/>
              <w:jc w:val="center"/>
              <w:rPr>
                <w:rFonts w:ascii="Times New Roman Cyr" w:hAnsi="Times New Roman Cyr"/>
                <w:bCs/>
                <w:i/>
                <w:iCs/>
                <w:sz w:val="18"/>
                <w:szCs w:val="18"/>
                <w:lang w:eastAsia="uk-UA"/>
              </w:rPr>
            </w:pPr>
            <w:r w:rsidRPr="00242020">
              <w:rPr>
                <w:rFonts w:ascii="Times New Roman Cyr" w:hAnsi="Times New Roman Cyr"/>
                <w:bCs/>
                <w:i/>
                <w:iCs/>
                <w:sz w:val="18"/>
                <w:szCs w:val="18"/>
                <w:lang w:eastAsia="uk-UA"/>
              </w:rPr>
              <w:t>116</w:t>
            </w:r>
            <w:r w:rsidR="00085F86">
              <w:rPr>
                <w:rFonts w:ascii="Times New Roman Cyr" w:hAnsi="Times New Roman Cyr"/>
                <w:bCs/>
                <w:i/>
                <w:iCs/>
                <w:sz w:val="18"/>
                <w:szCs w:val="18"/>
                <w:lang w:eastAsia="uk-UA"/>
              </w:rPr>
              <w:t> </w:t>
            </w:r>
            <w:r w:rsidRPr="00242020">
              <w:rPr>
                <w:rFonts w:ascii="Times New Roman Cyr" w:hAnsi="Times New Roman Cyr"/>
                <w:bCs/>
                <w:i/>
                <w:iCs/>
                <w:sz w:val="18"/>
                <w:szCs w:val="18"/>
                <w:lang w:eastAsia="uk-UA"/>
              </w:rPr>
              <w:t>281,69</w:t>
            </w:r>
          </w:p>
        </w:tc>
        <w:tc>
          <w:tcPr>
            <w:tcW w:w="789" w:type="dxa"/>
            <w:tcBorders>
              <w:top w:val="single" w:sz="8" w:space="0" w:color="auto"/>
              <w:left w:val="nil"/>
              <w:bottom w:val="single" w:sz="8" w:space="0" w:color="auto"/>
              <w:right w:val="single" w:sz="8" w:space="0" w:color="auto"/>
            </w:tcBorders>
            <w:shd w:val="clear" w:color="000000" w:fill="FFFF99"/>
            <w:vAlign w:val="center"/>
            <w:hideMark/>
          </w:tcPr>
          <w:p w:rsidR="004B2387" w:rsidRPr="00242020" w:rsidRDefault="004B2387" w:rsidP="004B2387">
            <w:pPr>
              <w:widowControl/>
              <w:ind w:left="-87" w:right="-77" w:firstLine="0"/>
              <w:jc w:val="center"/>
              <w:rPr>
                <w:rFonts w:ascii="Times New Roman Cyr" w:hAnsi="Times New Roman Cyr"/>
                <w:bCs/>
                <w:i/>
                <w:iCs/>
                <w:sz w:val="18"/>
                <w:szCs w:val="18"/>
                <w:lang w:eastAsia="uk-UA"/>
              </w:rPr>
            </w:pPr>
            <w:r w:rsidRPr="00242020">
              <w:rPr>
                <w:rFonts w:ascii="Times New Roman Cyr" w:hAnsi="Times New Roman Cyr"/>
                <w:bCs/>
                <w:i/>
                <w:iCs/>
                <w:sz w:val="18"/>
                <w:szCs w:val="18"/>
                <w:lang w:eastAsia="uk-UA"/>
              </w:rPr>
              <w:t>939,62</w:t>
            </w:r>
          </w:p>
        </w:tc>
        <w:tc>
          <w:tcPr>
            <w:tcW w:w="709" w:type="dxa"/>
            <w:tcBorders>
              <w:top w:val="nil"/>
              <w:left w:val="nil"/>
              <w:bottom w:val="single" w:sz="8" w:space="0" w:color="auto"/>
              <w:right w:val="single" w:sz="8" w:space="0" w:color="auto"/>
            </w:tcBorders>
            <w:shd w:val="clear" w:color="000000" w:fill="FFFF99"/>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169,64</w:t>
            </w:r>
          </w:p>
        </w:tc>
        <w:tc>
          <w:tcPr>
            <w:tcW w:w="783" w:type="dxa"/>
            <w:tcBorders>
              <w:top w:val="nil"/>
              <w:left w:val="nil"/>
              <w:bottom w:val="single" w:sz="8" w:space="0" w:color="auto"/>
              <w:right w:val="single" w:sz="8" w:space="0" w:color="auto"/>
            </w:tcBorders>
            <w:shd w:val="clear" w:color="000000" w:fill="FFFF99"/>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35,57</w:t>
            </w:r>
          </w:p>
        </w:tc>
        <w:tc>
          <w:tcPr>
            <w:tcW w:w="700" w:type="dxa"/>
            <w:tcBorders>
              <w:top w:val="nil"/>
              <w:left w:val="nil"/>
              <w:bottom w:val="single" w:sz="8" w:space="0" w:color="auto"/>
              <w:right w:val="single" w:sz="8" w:space="0" w:color="auto"/>
            </w:tcBorders>
            <w:shd w:val="clear" w:color="000000" w:fill="FFFF99"/>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247,23</w:t>
            </w:r>
          </w:p>
        </w:tc>
        <w:tc>
          <w:tcPr>
            <w:tcW w:w="770" w:type="dxa"/>
            <w:tcBorders>
              <w:top w:val="nil"/>
              <w:left w:val="nil"/>
              <w:bottom w:val="single" w:sz="8" w:space="0" w:color="auto"/>
              <w:right w:val="single" w:sz="8" w:space="0" w:color="auto"/>
            </w:tcBorders>
            <w:shd w:val="clear" w:color="000000" w:fill="FFFF99"/>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13,70</w:t>
            </w:r>
          </w:p>
        </w:tc>
      </w:tr>
      <w:tr w:rsidR="004B2387" w:rsidRPr="00242020" w:rsidTr="004B2387">
        <w:trPr>
          <w:trHeight w:val="251"/>
        </w:trPr>
        <w:tc>
          <w:tcPr>
            <w:tcW w:w="2000" w:type="dxa"/>
            <w:tcBorders>
              <w:top w:val="nil"/>
              <w:left w:val="single" w:sz="8" w:space="0" w:color="auto"/>
              <w:bottom w:val="single" w:sz="8" w:space="0" w:color="auto"/>
              <w:right w:val="single" w:sz="8" w:space="0" w:color="auto"/>
            </w:tcBorders>
            <w:shd w:val="clear" w:color="auto" w:fill="auto"/>
            <w:vAlign w:val="center"/>
            <w:hideMark/>
          </w:tcPr>
          <w:p w:rsidR="004B2387" w:rsidRPr="00242020" w:rsidRDefault="004B2387" w:rsidP="004B2387">
            <w:pPr>
              <w:widowControl/>
              <w:ind w:firstLine="0"/>
              <w:jc w:val="center"/>
              <w:rPr>
                <w:b/>
                <w:sz w:val="18"/>
                <w:szCs w:val="18"/>
                <w:lang w:eastAsia="uk-UA"/>
              </w:rPr>
            </w:pPr>
            <w:r w:rsidRPr="00242020">
              <w:rPr>
                <w:b/>
                <w:sz w:val="18"/>
                <w:szCs w:val="18"/>
                <w:lang w:eastAsia="uk-UA"/>
              </w:rPr>
              <w:t>група А:</w:t>
            </w:r>
          </w:p>
        </w:tc>
        <w:tc>
          <w:tcPr>
            <w:tcW w:w="724" w:type="dxa"/>
            <w:tcBorders>
              <w:top w:val="nil"/>
              <w:left w:val="nil"/>
              <w:bottom w:val="single" w:sz="8" w:space="0" w:color="auto"/>
              <w:right w:val="single" w:sz="8" w:space="0" w:color="auto"/>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114</w:t>
            </w:r>
          </w:p>
        </w:tc>
        <w:tc>
          <w:tcPr>
            <w:tcW w:w="893" w:type="dxa"/>
            <w:tcBorders>
              <w:top w:val="nil"/>
              <w:left w:val="nil"/>
              <w:bottom w:val="single" w:sz="8" w:space="0" w:color="auto"/>
              <w:right w:val="single" w:sz="8" w:space="0" w:color="auto"/>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7</w:t>
            </w:r>
          </w:p>
        </w:tc>
        <w:tc>
          <w:tcPr>
            <w:tcW w:w="650" w:type="dxa"/>
            <w:tcBorders>
              <w:top w:val="nil"/>
              <w:left w:val="nil"/>
              <w:bottom w:val="single" w:sz="8" w:space="0" w:color="auto"/>
              <w:right w:val="single" w:sz="8" w:space="0" w:color="auto"/>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 </w:t>
            </w:r>
          </w:p>
        </w:tc>
        <w:tc>
          <w:tcPr>
            <w:tcW w:w="918" w:type="dxa"/>
            <w:tcBorders>
              <w:top w:val="nil"/>
              <w:left w:val="nil"/>
              <w:bottom w:val="single" w:sz="8" w:space="0" w:color="auto"/>
              <w:right w:val="single" w:sz="8" w:space="0" w:color="auto"/>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 </w:t>
            </w:r>
          </w:p>
        </w:tc>
        <w:tc>
          <w:tcPr>
            <w:tcW w:w="937" w:type="dxa"/>
            <w:tcBorders>
              <w:top w:val="nil"/>
              <w:left w:val="nil"/>
              <w:bottom w:val="single" w:sz="8" w:space="0" w:color="auto"/>
              <w:right w:val="single" w:sz="8" w:space="0" w:color="auto"/>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76</w:t>
            </w:r>
            <w:r w:rsidR="00085F86">
              <w:rPr>
                <w:rFonts w:ascii="Times New Roman Cyr" w:hAnsi="Times New Roman Cyr"/>
                <w:b/>
                <w:sz w:val="18"/>
                <w:szCs w:val="18"/>
                <w:lang w:eastAsia="uk-UA"/>
              </w:rPr>
              <w:t> </w:t>
            </w:r>
            <w:r w:rsidRPr="00242020">
              <w:rPr>
                <w:rFonts w:ascii="Times New Roman Cyr" w:hAnsi="Times New Roman Cyr"/>
                <w:b/>
                <w:sz w:val="18"/>
                <w:szCs w:val="18"/>
                <w:lang w:eastAsia="uk-UA"/>
              </w:rPr>
              <w:t>312,47</w:t>
            </w:r>
          </w:p>
        </w:tc>
        <w:tc>
          <w:tcPr>
            <w:tcW w:w="896" w:type="dxa"/>
            <w:tcBorders>
              <w:top w:val="nil"/>
              <w:left w:val="nil"/>
              <w:bottom w:val="nil"/>
              <w:right w:val="single" w:sz="8" w:space="0" w:color="auto"/>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7</w:t>
            </w:r>
            <w:r w:rsidR="00085F86">
              <w:rPr>
                <w:rFonts w:ascii="Times New Roman Cyr" w:hAnsi="Times New Roman Cyr"/>
                <w:b/>
                <w:sz w:val="18"/>
                <w:szCs w:val="18"/>
                <w:lang w:eastAsia="uk-UA"/>
              </w:rPr>
              <w:t> </w:t>
            </w:r>
            <w:r w:rsidRPr="00242020">
              <w:rPr>
                <w:rFonts w:ascii="Times New Roman Cyr" w:hAnsi="Times New Roman Cyr"/>
                <w:b/>
                <w:sz w:val="18"/>
                <w:szCs w:val="18"/>
                <w:lang w:eastAsia="uk-UA"/>
              </w:rPr>
              <w:t>721,25</w:t>
            </w:r>
          </w:p>
        </w:tc>
        <w:tc>
          <w:tcPr>
            <w:tcW w:w="798" w:type="dxa"/>
            <w:tcBorders>
              <w:top w:val="nil"/>
              <w:left w:val="nil"/>
              <w:bottom w:val="nil"/>
              <w:right w:val="single" w:sz="8" w:space="0" w:color="auto"/>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 </w:t>
            </w:r>
          </w:p>
        </w:tc>
        <w:tc>
          <w:tcPr>
            <w:tcW w:w="770" w:type="dxa"/>
            <w:tcBorders>
              <w:top w:val="nil"/>
              <w:left w:val="nil"/>
              <w:bottom w:val="nil"/>
              <w:right w:val="single" w:sz="8" w:space="0" w:color="auto"/>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 </w:t>
            </w:r>
          </w:p>
        </w:tc>
        <w:tc>
          <w:tcPr>
            <w:tcW w:w="896" w:type="dxa"/>
            <w:tcBorders>
              <w:top w:val="nil"/>
              <w:left w:val="nil"/>
              <w:bottom w:val="nil"/>
              <w:right w:val="single" w:sz="8" w:space="0" w:color="auto"/>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159</w:t>
            </w:r>
            <w:r w:rsidR="00085F86">
              <w:rPr>
                <w:rFonts w:ascii="Times New Roman Cyr" w:hAnsi="Times New Roman Cyr"/>
                <w:b/>
                <w:sz w:val="18"/>
                <w:szCs w:val="18"/>
                <w:lang w:eastAsia="uk-UA"/>
              </w:rPr>
              <w:t> </w:t>
            </w:r>
            <w:r w:rsidRPr="00242020">
              <w:rPr>
                <w:rFonts w:ascii="Times New Roman Cyr" w:hAnsi="Times New Roman Cyr"/>
                <w:b/>
                <w:sz w:val="18"/>
                <w:szCs w:val="18"/>
                <w:lang w:eastAsia="uk-UA"/>
              </w:rPr>
              <w:t>681,9</w:t>
            </w:r>
          </w:p>
        </w:tc>
        <w:tc>
          <w:tcPr>
            <w:tcW w:w="784" w:type="dxa"/>
            <w:tcBorders>
              <w:top w:val="nil"/>
              <w:left w:val="nil"/>
              <w:bottom w:val="nil"/>
              <w:right w:val="single" w:sz="8" w:space="0" w:color="auto"/>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1</w:t>
            </w:r>
            <w:r w:rsidR="00085F86">
              <w:rPr>
                <w:rFonts w:ascii="Times New Roman Cyr" w:hAnsi="Times New Roman Cyr"/>
                <w:b/>
                <w:sz w:val="18"/>
                <w:szCs w:val="18"/>
                <w:lang w:eastAsia="uk-UA"/>
              </w:rPr>
              <w:t> </w:t>
            </w:r>
            <w:r w:rsidRPr="00242020">
              <w:rPr>
                <w:rFonts w:ascii="Times New Roman Cyr" w:hAnsi="Times New Roman Cyr"/>
                <w:b/>
                <w:sz w:val="18"/>
                <w:szCs w:val="18"/>
                <w:lang w:eastAsia="uk-UA"/>
              </w:rPr>
              <w:t>396,31</w:t>
            </w:r>
          </w:p>
        </w:tc>
        <w:tc>
          <w:tcPr>
            <w:tcW w:w="868" w:type="dxa"/>
            <w:tcBorders>
              <w:top w:val="nil"/>
              <w:left w:val="nil"/>
              <w:bottom w:val="nil"/>
              <w:right w:val="single" w:sz="8" w:space="0" w:color="auto"/>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 </w:t>
            </w:r>
          </w:p>
        </w:tc>
        <w:tc>
          <w:tcPr>
            <w:tcW w:w="789" w:type="dxa"/>
            <w:tcBorders>
              <w:top w:val="nil"/>
              <w:left w:val="nil"/>
              <w:bottom w:val="single" w:sz="8"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 </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209,25</w:t>
            </w:r>
          </w:p>
        </w:tc>
        <w:tc>
          <w:tcPr>
            <w:tcW w:w="783" w:type="dxa"/>
            <w:tcBorders>
              <w:top w:val="nil"/>
              <w:left w:val="nil"/>
              <w:bottom w:val="single" w:sz="8"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18,08</w:t>
            </w:r>
          </w:p>
        </w:tc>
        <w:tc>
          <w:tcPr>
            <w:tcW w:w="700" w:type="dxa"/>
            <w:tcBorders>
              <w:top w:val="nil"/>
              <w:left w:val="nil"/>
              <w:bottom w:val="single" w:sz="8"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color w:val="FFFFFF"/>
                <w:sz w:val="18"/>
                <w:szCs w:val="18"/>
                <w:lang w:eastAsia="uk-UA"/>
              </w:rPr>
            </w:pPr>
            <w:r w:rsidRPr="00242020">
              <w:rPr>
                <w:bCs/>
                <w:color w:val="FFFFFF"/>
                <w:sz w:val="18"/>
                <w:szCs w:val="18"/>
                <w:lang w:eastAsia="uk-UA"/>
              </w:rPr>
              <w:t>#</w:t>
            </w:r>
            <w:proofErr w:type="spellStart"/>
            <w:r w:rsidRPr="00242020">
              <w:rPr>
                <w:bCs/>
                <w:color w:val="FFFFFF"/>
                <w:sz w:val="18"/>
                <w:szCs w:val="18"/>
                <w:lang w:eastAsia="uk-UA"/>
              </w:rPr>
              <w:t>ДЕЛ</w:t>
            </w:r>
            <w:proofErr w:type="spellEnd"/>
            <w:r w:rsidRPr="00242020">
              <w:rPr>
                <w:bCs/>
                <w:color w:val="FFFFFF"/>
                <w:sz w:val="18"/>
                <w:szCs w:val="18"/>
                <w:lang w:eastAsia="uk-UA"/>
              </w:rPr>
              <w:t>/0!</w:t>
            </w:r>
          </w:p>
        </w:tc>
        <w:tc>
          <w:tcPr>
            <w:tcW w:w="770" w:type="dxa"/>
            <w:tcBorders>
              <w:top w:val="nil"/>
              <w:left w:val="nil"/>
              <w:bottom w:val="single" w:sz="8"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color w:val="FFFFFF"/>
                <w:sz w:val="18"/>
                <w:szCs w:val="18"/>
                <w:lang w:eastAsia="uk-UA"/>
              </w:rPr>
            </w:pPr>
            <w:r w:rsidRPr="00242020">
              <w:rPr>
                <w:bCs/>
                <w:color w:val="FFFFFF"/>
                <w:sz w:val="18"/>
                <w:szCs w:val="18"/>
                <w:lang w:eastAsia="uk-UA"/>
              </w:rPr>
              <w:t>#</w:t>
            </w:r>
            <w:proofErr w:type="spellStart"/>
            <w:r w:rsidRPr="00242020">
              <w:rPr>
                <w:bCs/>
                <w:color w:val="FFFFFF"/>
                <w:sz w:val="18"/>
                <w:szCs w:val="18"/>
                <w:lang w:eastAsia="uk-UA"/>
              </w:rPr>
              <w:t>ДЕЛ</w:t>
            </w:r>
            <w:proofErr w:type="spellEnd"/>
            <w:r w:rsidRPr="00242020">
              <w:rPr>
                <w:bCs/>
                <w:color w:val="FFFFFF"/>
                <w:sz w:val="18"/>
                <w:szCs w:val="18"/>
                <w:lang w:eastAsia="uk-UA"/>
              </w:rPr>
              <w:t>/0!</w:t>
            </w:r>
          </w:p>
        </w:tc>
      </w:tr>
      <w:tr w:rsidR="004B2387" w:rsidRPr="00242020" w:rsidTr="004B2387">
        <w:trPr>
          <w:trHeight w:val="269"/>
        </w:trPr>
        <w:tc>
          <w:tcPr>
            <w:tcW w:w="2000" w:type="dxa"/>
            <w:tcBorders>
              <w:top w:val="nil"/>
              <w:left w:val="single" w:sz="8" w:space="0" w:color="auto"/>
              <w:bottom w:val="single" w:sz="8" w:space="0" w:color="auto"/>
              <w:right w:val="single" w:sz="8" w:space="0" w:color="auto"/>
            </w:tcBorders>
            <w:shd w:val="clear" w:color="auto" w:fill="auto"/>
            <w:vAlign w:val="center"/>
            <w:hideMark/>
          </w:tcPr>
          <w:p w:rsidR="004B2387" w:rsidRPr="00242020" w:rsidRDefault="004B2387" w:rsidP="004B2387">
            <w:pPr>
              <w:widowControl/>
              <w:ind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група А (</w:t>
            </w:r>
            <w:proofErr w:type="spellStart"/>
            <w:r w:rsidRPr="00242020">
              <w:rPr>
                <w:rFonts w:ascii="Times New Roman Cyr" w:hAnsi="Times New Roman Cyr"/>
                <w:bCs/>
                <w:sz w:val="18"/>
                <w:szCs w:val="18"/>
                <w:lang w:eastAsia="uk-UA"/>
              </w:rPr>
              <w:t>ОІВМ</w:t>
            </w:r>
            <w:proofErr w:type="spellEnd"/>
            <w:r w:rsidRPr="00242020">
              <w:rPr>
                <w:rFonts w:ascii="Times New Roman Cyr" w:hAnsi="Times New Roman Cyr"/>
                <w:bCs/>
                <w:sz w:val="18"/>
                <w:szCs w:val="18"/>
                <w:lang w:eastAsia="uk-UA"/>
              </w:rPr>
              <w:t>)</w:t>
            </w:r>
          </w:p>
        </w:tc>
        <w:tc>
          <w:tcPr>
            <w:tcW w:w="724" w:type="dxa"/>
            <w:tcBorders>
              <w:top w:val="nil"/>
              <w:left w:val="nil"/>
              <w:bottom w:val="nil"/>
              <w:right w:val="single" w:sz="8" w:space="0" w:color="auto"/>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107</w:t>
            </w:r>
          </w:p>
        </w:tc>
        <w:tc>
          <w:tcPr>
            <w:tcW w:w="893" w:type="dxa"/>
            <w:tcBorders>
              <w:top w:val="nil"/>
              <w:left w:val="nil"/>
              <w:bottom w:val="single" w:sz="8"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7</w:t>
            </w:r>
          </w:p>
        </w:tc>
        <w:tc>
          <w:tcPr>
            <w:tcW w:w="650" w:type="dxa"/>
            <w:tcBorders>
              <w:top w:val="nil"/>
              <w:left w:val="single" w:sz="8" w:space="0" w:color="auto"/>
              <w:bottom w:val="single" w:sz="8"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 </w:t>
            </w:r>
          </w:p>
        </w:tc>
        <w:tc>
          <w:tcPr>
            <w:tcW w:w="918" w:type="dxa"/>
            <w:tcBorders>
              <w:top w:val="nil"/>
              <w:left w:val="single" w:sz="8" w:space="0" w:color="auto"/>
              <w:bottom w:val="single" w:sz="8"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 </w:t>
            </w:r>
          </w:p>
        </w:tc>
        <w:tc>
          <w:tcPr>
            <w:tcW w:w="937" w:type="dxa"/>
            <w:tcBorders>
              <w:top w:val="nil"/>
              <w:left w:val="single" w:sz="8" w:space="0" w:color="auto"/>
              <w:bottom w:val="single" w:sz="8"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29</w:t>
            </w:r>
            <w:r w:rsidR="00085F86">
              <w:rPr>
                <w:bCs/>
                <w:sz w:val="18"/>
                <w:szCs w:val="18"/>
                <w:lang w:eastAsia="uk-UA"/>
              </w:rPr>
              <w:t> </w:t>
            </w:r>
            <w:r w:rsidRPr="00242020">
              <w:rPr>
                <w:bCs/>
                <w:sz w:val="18"/>
                <w:szCs w:val="18"/>
                <w:lang w:eastAsia="uk-UA"/>
              </w:rPr>
              <w:t>279,17</w:t>
            </w:r>
          </w:p>
        </w:tc>
        <w:tc>
          <w:tcPr>
            <w:tcW w:w="896" w:type="dxa"/>
            <w:tcBorders>
              <w:top w:val="single" w:sz="8" w:space="0" w:color="auto"/>
              <w:left w:val="nil"/>
              <w:bottom w:val="single" w:sz="8"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863,00</w:t>
            </w:r>
          </w:p>
        </w:tc>
        <w:tc>
          <w:tcPr>
            <w:tcW w:w="798" w:type="dxa"/>
            <w:tcBorders>
              <w:top w:val="single" w:sz="8" w:space="0" w:color="auto"/>
              <w:left w:val="nil"/>
              <w:bottom w:val="single" w:sz="8"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 </w:t>
            </w:r>
          </w:p>
        </w:tc>
        <w:tc>
          <w:tcPr>
            <w:tcW w:w="770" w:type="dxa"/>
            <w:tcBorders>
              <w:top w:val="single" w:sz="8" w:space="0" w:color="auto"/>
              <w:left w:val="nil"/>
              <w:bottom w:val="single" w:sz="8"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 </w:t>
            </w:r>
          </w:p>
        </w:tc>
        <w:tc>
          <w:tcPr>
            <w:tcW w:w="896" w:type="dxa"/>
            <w:tcBorders>
              <w:top w:val="single" w:sz="8" w:space="0" w:color="auto"/>
              <w:left w:val="nil"/>
              <w:bottom w:val="single" w:sz="8"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43</w:t>
            </w:r>
            <w:r w:rsidR="00085F86">
              <w:rPr>
                <w:bCs/>
                <w:sz w:val="18"/>
                <w:szCs w:val="18"/>
                <w:lang w:eastAsia="uk-UA"/>
              </w:rPr>
              <w:t> </w:t>
            </w:r>
            <w:r w:rsidRPr="00242020">
              <w:rPr>
                <w:bCs/>
                <w:sz w:val="18"/>
                <w:szCs w:val="18"/>
                <w:lang w:eastAsia="uk-UA"/>
              </w:rPr>
              <w:t>400,17</w:t>
            </w:r>
          </w:p>
        </w:tc>
        <w:tc>
          <w:tcPr>
            <w:tcW w:w="784" w:type="dxa"/>
            <w:tcBorders>
              <w:top w:val="single" w:sz="8" w:space="0" w:color="auto"/>
              <w:left w:val="nil"/>
              <w:bottom w:val="single" w:sz="8"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456,69</w:t>
            </w:r>
          </w:p>
        </w:tc>
        <w:tc>
          <w:tcPr>
            <w:tcW w:w="868" w:type="dxa"/>
            <w:tcBorders>
              <w:top w:val="single" w:sz="8" w:space="0" w:color="auto"/>
              <w:left w:val="nil"/>
              <w:bottom w:val="single" w:sz="8"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 </w:t>
            </w:r>
          </w:p>
        </w:tc>
        <w:tc>
          <w:tcPr>
            <w:tcW w:w="789" w:type="dxa"/>
            <w:tcBorders>
              <w:top w:val="nil"/>
              <w:left w:val="nil"/>
              <w:bottom w:val="single" w:sz="8"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 </w:t>
            </w:r>
          </w:p>
        </w:tc>
        <w:tc>
          <w:tcPr>
            <w:tcW w:w="709" w:type="dxa"/>
            <w:tcBorders>
              <w:top w:val="nil"/>
              <w:left w:val="nil"/>
              <w:bottom w:val="single" w:sz="8"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148,23</w:t>
            </w:r>
          </w:p>
        </w:tc>
        <w:tc>
          <w:tcPr>
            <w:tcW w:w="783" w:type="dxa"/>
            <w:tcBorders>
              <w:top w:val="nil"/>
              <w:left w:val="nil"/>
              <w:bottom w:val="single" w:sz="8"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52,92</w:t>
            </w:r>
          </w:p>
        </w:tc>
        <w:tc>
          <w:tcPr>
            <w:tcW w:w="700" w:type="dxa"/>
            <w:tcBorders>
              <w:top w:val="nil"/>
              <w:left w:val="nil"/>
              <w:bottom w:val="single" w:sz="8"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color w:val="FFFFFF"/>
                <w:sz w:val="18"/>
                <w:szCs w:val="18"/>
                <w:lang w:eastAsia="uk-UA"/>
              </w:rPr>
            </w:pPr>
            <w:r w:rsidRPr="00242020">
              <w:rPr>
                <w:bCs/>
                <w:color w:val="FFFFFF"/>
                <w:sz w:val="18"/>
                <w:szCs w:val="18"/>
                <w:lang w:eastAsia="uk-UA"/>
              </w:rPr>
              <w:t>#</w:t>
            </w:r>
            <w:proofErr w:type="spellStart"/>
            <w:r w:rsidRPr="00242020">
              <w:rPr>
                <w:bCs/>
                <w:color w:val="FFFFFF"/>
                <w:sz w:val="18"/>
                <w:szCs w:val="18"/>
                <w:lang w:eastAsia="uk-UA"/>
              </w:rPr>
              <w:t>ДЕЛ</w:t>
            </w:r>
            <w:proofErr w:type="spellEnd"/>
            <w:r w:rsidRPr="00242020">
              <w:rPr>
                <w:bCs/>
                <w:color w:val="FFFFFF"/>
                <w:sz w:val="18"/>
                <w:szCs w:val="18"/>
                <w:lang w:eastAsia="uk-UA"/>
              </w:rPr>
              <w:t>/0!</w:t>
            </w:r>
          </w:p>
        </w:tc>
        <w:tc>
          <w:tcPr>
            <w:tcW w:w="770" w:type="dxa"/>
            <w:tcBorders>
              <w:top w:val="nil"/>
              <w:left w:val="nil"/>
              <w:bottom w:val="single" w:sz="8"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color w:val="FFFFFF"/>
                <w:sz w:val="18"/>
                <w:szCs w:val="18"/>
                <w:lang w:eastAsia="uk-UA"/>
              </w:rPr>
            </w:pPr>
            <w:r w:rsidRPr="00242020">
              <w:rPr>
                <w:bCs/>
                <w:color w:val="FFFFFF"/>
                <w:sz w:val="18"/>
                <w:szCs w:val="18"/>
                <w:lang w:eastAsia="uk-UA"/>
              </w:rPr>
              <w:t>#</w:t>
            </w:r>
            <w:proofErr w:type="spellStart"/>
            <w:r w:rsidRPr="00242020">
              <w:rPr>
                <w:bCs/>
                <w:color w:val="FFFFFF"/>
                <w:sz w:val="18"/>
                <w:szCs w:val="18"/>
                <w:lang w:eastAsia="uk-UA"/>
              </w:rPr>
              <w:t>ДЕЛ</w:t>
            </w:r>
            <w:proofErr w:type="spellEnd"/>
            <w:r w:rsidRPr="00242020">
              <w:rPr>
                <w:bCs/>
                <w:color w:val="FFFFFF"/>
                <w:sz w:val="18"/>
                <w:szCs w:val="18"/>
                <w:lang w:eastAsia="uk-UA"/>
              </w:rPr>
              <w:t>/0!</w:t>
            </w:r>
          </w:p>
        </w:tc>
      </w:tr>
      <w:tr w:rsidR="004B2387" w:rsidRPr="00242020" w:rsidTr="004B2387">
        <w:trPr>
          <w:trHeight w:val="259"/>
        </w:trPr>
        <w:tc>
          <w:tcPr>
            <w:tcW w:w="2000" w:type="dxa"/>
            <w:tcBorders>
              <w:top w:val="nil"/>
              <w:left w:val="single" w:sz="8" w:space="0" w:color="auto"/>
              <w:bottom w:val="single" w:sz="8" w:space="0" w:color="auto"/>
              <w:right w:val="single" w:sz="8" w:space="0" w:color="auto"/>
            </w:tcBorders>
            <w:shd w:val="clear" w:color="auto" w:fill="auto"/>
            <w:vAlign w:val="center"/>
            <w:hideMark/>
          </w:tcPr>
          <w:p w:rsidR="004B2387" w:rsidRPr="00242020" w:rsidRDefault="004B2387" w:rsidP="004B2387">
            <w:pPr>
              <w:widowControl/>
              <w:ind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група А (</w:t>
            </w:r>
            <w:proofErr w:type="spellStart"/>
            <w:r w:rsidRPr="00242020">
              <w:rPr>
                <w:rFonts w:ascii="Times New Roman Cyr" w:hAnsi="Times New Roman Cyr"/>
                <w:bCs/>
                <w:sz w:val="18"/>
                <w:szCs w:val="18"/>
                <w:lang w:eastAsia="uk-UA"/>
              </w:rPr>
              <w:t>ЄМК</w:t>
            </w:r>
            <w:proofErr w:type="spellEnd"/>
            <w:r w:rsidRPr="00242020">
              <w:rPr>
                <w:rFonts w:ascii="Times New Roman Cyr" w:hAnsi="Times New Roman Cyr"/>
                <w:bCs/>
                <w:sz w:val="18"/>
                <w:szCs w:val="18"/>
                <w:lang w:eastAsia="uk-UA"/>
              </w:rPr>
              <w:t xml:space="preserve">) </w:t>
            </w:r>
          </w:p>
        </w:tc>
        <w:tc>
          <w:tcPr>
            <w:tcW w:w="724" w:type="dxa"/>
            <w:tcBorders>
              <w:top w:val="single" w:sz="8" w:space="0" w:color="auto"/>
              <w:left w:val="nil"/>
              <w:bottom w:val="single" w:sz="8" w:space="0" w:color="auto"/>
              <w:right w:val="single" w:sz="8" w:space="0" w:color="auto"/>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7</w:t>
            </w:r>
          </w:p>
        </w:tc>
        <w:tc>
          <w:tcPr>
            <w:tcW w:w="893" w:type="dxa"/>
            <w:tcBorders>
              <w:top w:val="nil"/>
              <w:left w:val="nil"/>
              <w:bottom w:val="single" w:sz="8"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1</w:t>
            </w:r>
          </w:p>
        </w:tc>
        <w:tc>
          <w:tcPr>
            <w:tcW w:w="650" w:type="dxa"/>
            <w:tcBorders>
              <w:top w:val="nil"/>
              <w:left w:val="single" w:sz="8" w:space="0" w:color="auto"/>
              <w:bottom w:val="single" w:sz="8" w:space="0" w:color="auto"/>
              <w:right w:val="single" w:sz="8" w:space="0" w:color="auto"/>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7</w:t>
            </w:r>
          </w:p>
        </w:tc>
        <w:tc>
          <w:tcPr>
            <w:tcW w:w="918" w:type="dxa"/>
            <w:tcBorders>
              <w:top w:val="nil"/>
              <w:left w:val="nil"/>
              <w:bottom w:val="single" w:sz="8"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1</w:t>
            </w:r>
          </w:p>
        </w:tc>
        <w:tc>
          <w:tcPr>
            <w:tcW w:w="937" w:type="dxa"/>
            <w:tcBorders>
              <w:top w:val="nil"/>
              <w:left w:val="single" w:sz="8" w:space="0" w:color="auto"/>
              <w:bottom w:val="single" w:sz="8" w:space="0" w:color="auto"/>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47</w:t>
            </w:r>
            <w:r w:rsidR="00085F86">
              <w:rPr>
                <w:bCs/>
                <w:sz w:val="18"/>
                <w:szCs w:val="18"/>
                <w:lang w:eastAsia="uk-UA"/>
              </w:rPr>
              <w:t> </w:t>
            </w:r>
            <w:r w:rsidRPr="00242020">
              <w:rPr>
                <w:bCs/>
                <w:sz w:val="18"/>
                <w:szCs w:val="18"/>
                <w:lang w:eastAsia="uk-UA"/>
              </w:rPr>
              <w:t>033,30</w:t>
            </w:r>
          </w:p>
        </w:tc>
        <w:tc>
          <w:tcPr>
            <w:tcW w:w="896" w:type="dxa"/>
            <w:tcBorders>
              <w:top w:val="nil"/>
              <w:left w:val="nil"/>
              <w:bottom w:val="nil"/>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6</w:t>
            </w:r>
            <w:r w:rsidR="00085F86">
              <w:rPr>
                <w:bCs/>
                <w:sz w:val="18"/>
                <w:szCs w:val="18"/>
                <w:lang w:eastAsia="uk-UA"/>
              </w:rPr>
              <w:t> </w:t>
            </w:r>
            <w:r w:rsidRPr="00242020">
              <w:rPr>
                <w:bCs/>
                <w:sz w:val="18"/>
                <w:szCs w:val="18"/>
                <w:lang w:eastAsia="uk-UA"/>
              </w:rPr>
              <w:t>858,25</w:t>
            </w:r>
          </w:p>
        </w:tc>
        <w:tc>
          <w:tcPr>
            <w:tcW w:w="798" w:type="dxa"/>
            <w:tcBorders>
              <w:top w:val="nil"/>
              <w:left w:val="nil"/>
              <w:bottom w:val="nil"/>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47</w:t>
            </w:r>
            <w:r w:rsidR="00085F86">
              <w:rPr>
                <w:bCs/>
                <w:sz w:val="18"/>
                <w:szCs w:val="18"/>
                <w:lang w:eastAsia="uk-UA"/>
              </w:rPr>
              <w:t> </w:t>
            </w:r>
            <w:r w:rsidRPr="00242020">
              <w:rPr>
                <w:bCs/>
                <w:sz w:val="18"/>
                <w:szCs w:val="18"/>
                <w:lang w:eastAsia="uk-UA"/>
              </w:rPr>
              <w:t>033,30</w:t>
            </w:r>
          </w:p>
        </w:tc>
        <w:tc>
          <w:tcPr>
            <w:tcW w:w="770" w:type="dxa"/>
            <w:tcBorders>
              <w:top w:val="nil"/>
              <w:left w:val="nil"/>
              <w:bottom w:val="nil"/>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6</w:t>
            </w:r>
            <w:r w:rsidR="00085F86">
              <w:rPr>
                <w:bCs/>
                <w:sz w:val="18"/>
                <w:szCs w:val="18"/>
                <w:lang w:eastAsia="uk-UA"/>
              </w:rPr>
              <w:t> </w:t>
            </w:r>
            <w:r w:rsidRPr="00242020">
              <w:rPr>
                <w:bCs/>
                <w:sz w:val="18"/>
                <w:szCs w:val="18"/>
                <w:lang w:eastAsia="uk-UA"/>
              </w:rPr>
              <w:t>858,25</w:t>
            </w:r>
          </w:p>
        </w:tc>
        <w:tc>
          <w:tcPr>
            <w:tcW w:w="896" w:type="dxa"/>
            <w:tcBorders>
              <w:top w:val="nil"/>
              <w:left w:val="nil"/>
              <w:bottom w:val="nil"/>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116</w:t>
            </w:r>
            <w:r w:rsidR="00085F86">
              <w:rPr>
                <w:bCs/>
                <w:sz w:val="18"/>
                <w:szCs w:val="18"/>
                <w:lang w:eastAsia="uk-UA"/>
              </w:rPr>
              <w:t> </w:t>
            </w:r>
            <w:r w:rsidRPr="00242020">
              <w:rPr>
                <w:bCs/>
                <w:sz w:val="18"/>
                <w:szCs w:val="18"/>
                <w:lang w:eastAsia="uk-UA"/>
              </w:rPr>
              <w:t>281,69</w:t>
            </w:r>
          </w:p>
        </w:tc>
        <w:tc>
          <w:tcPr>
            <w:tcW w:w="784" w:type="dxa"/>
            <w:tcBorders>
              <w:top w:val="nil"/>
              <w:left w:val="nil"/>
              <w:bottom w:val="nil"/>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939,62</w:t>
            </w:r>
          </w:p>
        </w:tc>
        <w:tc>
          <w:tcPr>
            <w:tcW w:w="868" w:type="dxa"/>
            <w:tcBorders>
              <w:top w:val="nil"/>
              <w:left w:val="nil"/>
              <w:bottom w:val="nil"/>
              <w:right w:val="single" w:sz="8" w:space="0" w:color="auto"/>
            </w:tcBorders>
            <w:shd w:val="clear" w:color="000000" w:fill="FFFFFF"/>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116</w:t>
            </w:r>
            <w:r w:rsidR="00085F86">
              <w:rPr>
                <w:bCs/>
                <w:sz w:val="18"/>
                <w:szCs w:val="18"/>
                <w:lang w:eastAsia="uk-UA"/>
              </w:rPr>
              <w:t> </w:t>
            </w:r>
            <w:r w:rsidRPr="00242020">
              <w:rPr>
                <w:bCs/>
                <w:sz w:val="18"/>
                <w:szCs w:val="18"/>
                <w:lang w:eastAsia="uk-UA"/>
              </w:rPr>
              <w:t>281,69</w:t>
            </w:r>
          </w:p>
        </w:tc>
        <w:tc>
          <w:tcPr>
            <w:tcW w:w="789" w:type="dxa"/>
            <w:tcBorders>
              <w:top w:val="nil"/>
              <w:left w:val="nil"/>
              <w:bottom w:val="single" w:sz="8"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939,62</w:t>
            </w:r>
          </w:p>
        </w:tc>
        <w:tc>
          <w:tcPr>
            <w:tcW w:w="709" w:type="dxa"/>
            <w:tcBorders>
              <w:top w:val="nil"/>
              <w:left w:val="nil"/>
              <w:bottom w:val="single" w:sz="8"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247,23</w:t>
            </w:r>
          </w:p>
        </w:tc>
        <w:tc>
          <w:tcPr>
            <w:tcW w:w="783" w:type="dxa"/>
            <w:tcBorders>
              <w:top w:val="nil"/>
              <w:left w:val="nil"/>
              <w:bottom w:val="single" w:sz="8"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13,70</w:t>
            </w:r>
          </w:p>
        </w:tc>
        <w:tc>
          <w:tcPr>
            <w:tcW w:w="700" w:type="dxa"/>
            <w:tcBorders>
              <w:top w:val="nil"/>
              <w:left w:val="nil"/>
              <w:bottom w:val="single" w:sz="8"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247,23</w:t>
            </w:r>
          </w:p>
        </w:tc>
        <w:tc>
          <w:tcPr>
            <w:tcW w:w="770" w:type="dxa"/>
            <w:tcBorders>
              <w:top w:val="nil"/>
              <w:left w:val="nil"/>
              <w:bottom w:val="single" w:sz="8"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13,70</w:t>
            </w:r>
          </w:p>
        </w:tc>
      </w:tr>
      <w:tr w:rsidR="004B2387" w:rsidRPr="00242020" w:rsidTr="004B2387">
        <w:trPr>
          <w:trHeight w:val="263"/>
        </w:trPr>
        <w:tc>
          <w:tcPr>
            <w:tcW w:w="2000" w:type="dxa"/>
            <w:tcBorders>
              <w:top w:val="nil"/>
              <w:left w:val="single" w:sz="8" w:space="0" w:color="auto"/>
              <w:bottom w:val="single" w:sz="8" w:space="0" w:color="auto"/>
              <w:right w:val="single" w:sz="8" w:space="0" w:color="auto"/>
            </w:tcBorders>
            <w:shd w:val="clear" w:color="auto" w:fill="auto"/>
            <w:vAlign w:val="center"/>
            <w:hideMark/>
          </w:tcPr>
          <w:p w:rsidR="004B2387" w:rsidRPr="00242020" w:rsidRDefault="004B2387" w:rsidP="004B2387">
            <w:pPr>
              <w:widowControl/>
              <w:ind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група Д</w:t>
            </w:r>
          </w:p>
        </w:tc>
        <w:tc>
          <w:tcPr>
            <w:tcW w:w="724" w:type="dxa"/>
            <w:tcBorders>
              <w:top w:val="nil"/>
              <w:left w:val="nil"/>
              <w:bottom w:val="nil"/>
              <w:right w:val="single" w:sz="8" w:space="0" w:color="auto"/>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18</w:t>
            </w:r>
          </w:p>
        </w:tc>
        <w:tc>
          <w:tcPr>
            <w:tcW w:w="893" w:type="dxa"/>
            <w:tcBorders>
              <w:top w:val="nil"/>
              <w:left w:val="nil"/>
              <w:bottom w:val="single" w:sz="8"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8</w:t>
            </w:r>
          </w:p>
        </w:tc>
        <w:tc>
          <w:tcPr>
            <w:tcW w:w="650" w:type="dxa"/>
            <w:tcBorders>
              <w:top w:val="nil"/>
              <w:left w:val="single" w:sz="8" w:space="0" w:color="auto"/>
              <w:bottom w:val="single" w:sz="8"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 </w:t>
            </w:r>
          </w:p>
        </w:tc>
        <w:tc>
          <w:tcPr>
            <w:tcW w:w="918" w:type="dxa"/>
            <w:tcBorders>
              <w:top w:val="nil"/>
              <w:left w:val="single" w:sz="8" w:space="0" w:color="auto"/>
              <w:bottom w:val="single" w:sz="8"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 </w:t>
            </w:r>
          </w:p>
        </w:tc>
        <w:tc>
          <w:tcPr>
            <w:tcW w:w="937" w:type="dxa"/>
            <w:tcBorders>
              <w:top w:val="nil"/>
              <w:left w:val="single" w:sz="8" w:space="0" w:color="auto"/>
              <w:bottom w:val="single" w:sz="8"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13</w:t>
            </w:r>
            <w:r w:rsidR="00085F86">
              <w:rPr>
                <w:b/>
                <w:sz w:val="18"/>
                <w:szCs w:val="18"/>
                <w:lang w:eastAsia="uk-UA"/>
              </w:rPr>
              <w:t> </w:t>
            </w:r>
            <w:r w:rsidRPr="00242020">
              <w:rPr>
                <w:b/>
                <w:sz w:val="18"/>
                <w:szCs w:val="18"/>
                <w:lang w:eastAsia="uk-UA"/>
              </w:rPr>
              <w:t>846,00</w:t>
            </w:r>
          </w:p>
        </w:tc>
        <w:tc>
          <w:tcPr>
            <w:tcW w:w="896" w:type="dxa"/>
            <w:tcBorders>
              <w:top w:val="single" w:sz="8" w:space="0" w:color="auto"/>
              <w:left w:val="nil"/>
              <w:bottom w:val="single" w:sz="8"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2</w:t>
            </w:r>
            <w:r w:rsidR="00085F86">
              <w:rPr>
                <w:b/>
                <w:sz w:val="18"/>
                <w:szCs w:val="18"/>
                <w:lang w:eastAsia="uk-UA"/>
              </w:rPr>
              <w:t> </w:t>
            </w:r>
            <w:r w:rsidRPr="00242020">
              <w:rPr>
                <w:b/>
                <w:sz w:val="18"/>
                <w:szCs w:val="18"/>
                <w:lang w:eastAsia="uk-UA"/>
              </w:rPr>
              <w:t>236,00</w:t>
            </w:r>
          </w:p>
        </w:tc>
        <w:tc>
          <w:tcPr>
            <w:tcW w:w="798" w:type="dxa"/>
            <w:tcBorders>
              <w:top w:val="single" w:sz="8" w:space="0" w:color="auto"/>
              <w:left w:val="nil"/>
              <w:bottom w:val="single" w:sz="8"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 </w:t>
            </w:r>
          </w:p>
        </w:tc>
        <w:tc>
          <w:tcPr>
            <w:tcW w:w="770" w:type="dxa"/>
            <w:tcBorders>
              <w:top w:val="single" w:sz="8" w:space="0" w:color="auto"/>
              <w:left w:val="nil"/>
              <w:bottom w:val="single" w:sz="8"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 </w:t>
            </w:r>
          </w:p>
        </w:tc>
        <w:tc>
          <w:tcPr>
            <w:tcW w:w="896" w:type="dxa"/>
            <w:tcBorders>
              <w:top w:val="single" w:sz="8" w:space="0" w:color="auto"/>
              <w:left w:val="nil"/>
              <w:bottom w:val="single" w:sz="8"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10</w:t>
            </w:r>
            <w:r w:rsidR="00085F86">
              <w:rPr>
                <w:b/>
                <w:sz w:val="18"/>
                <w:szCs w:val="18"/>
                <w:lang w:eastAsia="uk-UA"/>
              </w:rPr>
              <w:t> </w:t>
            </w:r>
            <w:r w:rsidRPr="00242020">
              <w:rPr>
                <w:b/>
                <w:sz w:val="18"/>
                <w:szCs w:val="18"/>
                <w:lang w:eastAsia="uk-UA"/>
              </w:rPr>
              <w:t>943,48</w:t>
            </w:r>
          </w:p>
        </w:tc>
        <w:tc>
          <w:tcPr>
            <w:tcW w:w="784" w:type="dxa"/>
            <w:tcBorders>
              <w:top w:val="single" w:sz="8" w:space="0" w:color="auto"/>
              <w:left w:val="nil"/>
              <w:bottom w:val="single" w:sz="8"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2</w:t>
            </w:r>
            <w:r w:rsidR="00085F86">
              <w:rPr>
                <w:b/>
                <w:sz w:val="18"/>
                <w:szCs w:val="18"/>
                <w:lang w:eastAsia="uk-UA"/>
              </w:rPr>
              <w:t> </w:t>
            </w:r>
            <w:r w:rsidRPr="00242020">
              <w:rPr>
                <w:b/>
                <w:sz w:val="18"/>
                <w:szCs w:val="18"/>
                <w:lang w:eastAsia="uk-UA"/>
              </w:rPr>
              <w:t>152,41</w:t>
            </w:r>
          </w:p>
        </w:tc>
        <w:tc>
          <w:tcPr>
            <w:tcW w:w="868" w:type="dxa"/>
            <w:tcBorders>
              <w:top w:val="single" w:sz="8" w:space="0" w:color="auto"/>
              <w:left w:val="nil"/>
              <w:bottom w:val="single" w:sz="8"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 </w:t>
            </w:r>
          </w:p>
        </w:tc>
        <w:tc>
          <w:tcPr>
            <w:tcW w:w="789" w:type="dxa"/>
            <w:tcBorders>
              <w:top w:val="nil"/>
              <w:left w:val="nil"/>
              <w:bottom w:val="single" w:sz="8"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 </w:t>
            </w:r>
          </w:p>
        </w:tc>
        <w:tc>
          <w:tcPr>
            <w:tcW w:w="709" w:type="dxa"/>
            <w:tcBorders>
              <w:top w:val="nil"/>
              <w:left w:val="nil"/>
              <w:bottom w:val="single" w:sz="8"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79,04</w:t>
            </w:r>
          </w:p>
        </w:tc>
        <w:tc>
          <w:tcPr>
            <w:tcW w:w="783" w:type="dxa"/>
            <w:tcBorders>
              <w:top w:val="nil"/>
              <w:left w:val="nil"/>
              <w:bottom w:val="single" w:sz="8"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96,26</w:t>
            </w:r>
          </w:p>
        </w:tc>
        <w:tc>
          <w:tcPr>
            <w:tcW w:w="700" w:type="dxa"/>
            <w:tcBorders>
              <w:top w:val="nil"/>
              <w:left w:val="nil"/>
              <w:bottom w:val="single" w:sz="8"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color w:val="FFFFFF"/>
                <w:sz w:val="18"/>
                <w:szCs w:val="18"/>
                <w:lang w:eastAsia="uk-UA"/>
              </w:rPr>
            </w:pPr>
            <w:r w:rsidRPr="00242020">
              <w:rPr>
                <w:bCs/>
                <w:color w:val="FFFFFF"/>
                <w:sz w:val="18"/>
                <w:szCs w:val="18"/>
                <w:lang w:eastAsia="uk-UA"/>
              </w:rPr>
              <w:t>#</w:t>
            </w:r>
            <w:proofErr w:type="spellStart"/>
            <w:r w:rsidRPr="00242020">
              <w:rPr>
                <w:bCs/>
                <w:color w:val="FFFFFF"/>
                <w:sz w:val="18"/>
                <w:szCs w:val="18"/>
                <w:lang w:eastAsia="uk-UA"/>
              </w:rPr>
              <w:t>ДЕЛ</w:t>
            </w:r>
            <w:proofErr w:type="spellEnd"/>
            <w:r w:rsidRPr="00242020">
              <w:rPr>
                <w:bCs/>
                <w:color w:val="FFFFFF"/>
                <w:sz w:val="18"/>
                <w:szCs w:val="18"/>
                <w:lang w:eastAsia="uk-UA"/>
              </w:rPr>
              <w:t>/0!</w:t>
            </w:r>
          </w:p>
        </w:tc>
        <w:tc>
          <w:tcPr>
            <w:tcW w:w="770" w:type="dxa"/>
            <w:tcBorders>
              <w:top w:val="nil"/>
              <w:left w:val="nil"/>
              <w:bottom w:val="single" w:sz="8"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color w:val="FFFFFF"/>
                <w:sz w:val="18"/>
                <w:szCs w:val="18"/>
                <w:lang w:eastAsia="uk-UA"/>
              </w:rPr>
            </w:pPr>
            <w:r w:rsidRPr="00242020">
              <w:rPr>
                <w:bCs/>
                <w:color w:val="FFFFFF"/>
                <w:sz w:val="18"/>
                <w:szCs w:val="18"/>
                <w:lang w:eastAsia="uk-UA"/>
              </w:rPr>
              <w:t>#</w:t>
            </w:r>
            <w:proofErr w:type="spellStart"/>
            <w:r w:rsidRPr="00242020">
              <w:rPr>
                <w:bCs/>
                <w:color w:val="FFFFFF"/>
                <w:sz w:val="18"/>
                <w:szCs w:val="18"/>
                <w:lang w:eastAsia="uk-UA"/>
              </w:rPr>
              <w:t>ДЕЛ</w:t>
            </w:r>
            <w:proofErr w:type="spellEnd"/>
            <w:r w:rsidRPr="00242020">
              <w:rPr>
                <w:bCs/>
                <w:color w:val="FFFFFF"/>
                <w:sz w:val="18"/>
                <w:szCs w:val="18"/>
                <w:lang w:eastAsia="uk-UA"/>
              </w:rPr>
              <w:t>/0!</w:t>
            </w:r>
          </w:p>
        </w:tc>
      </w:tr>
      <w:tr w:rsidR="004B2387" w:rsidRPr="00242020" w:rsidTr="004B2387">
        <w:trPr>
          <w:trHeight w:val="281"/>
        </w:trPr>
        <w:tc>
          <w:tcPr>
            <w:tcW w:w="2000" w:type="dxa"/>
            <w:tcBorders>
              <w:top w:val="nil"/>
              <w:left w:val="single" w:sz="8" w:space="0" w:color="auto"/>
              <w:bottom w:val="single" w:sz="8" w:space="0" w:color="auto"/>
              <w:right w:val="single" w:sz="8" w:space="0" w:color="auto"/>
            </w:tcBorders>
            <w:shd w:val="clear" w:color="auto" w:fill="auto"/>
            <w:vAlign w:val="center"/>
            <w:hideMark/>
          </w:tcPr>
          <w:p w:rsidR="004B2387" w:rsidRPr="00242020" w:rsidRDefault="004B2387" w:rsidP="004B2387">
            <w:pPr>
              <w:widowControl/>
              <w:ind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група Ж</w:t>
            </w:r>
          </w:p>
        </w:tc>
        <w:tc>
          <w:tcPr>
            <w:tcW w:w="724" w:type="dxa"/>
            <w:tcBorders>
              <w:top w:val="single" w:sz="8" w:space="0" w:color="auto"/>
              <w:left w:val="nil"/>
              <w:bottom w:val="single" w:sz="8" w:space="0" w:color="auto"/>
              <w:right w:val="single" w:sz="8" w:space="0" w:color="auto"/>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3</w:t>
            </w:r>
          </w:p>
        </w:tc>
        <w:tc>
          <w:tcPr>
            <w:tcW w:w="893" w:type="dxa"/>
            <w:tcBorders>
              <w:top w:val="nil"/>
              <w:left w:val="nil"/>
              <w:bottom w:val="single" w:sz="8"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
                <w:sz w:val="18"/>
                <w:szCs w:val="18"/>
                <w:lang w:eastAsia="uk-UA"/>
              </w:rPr>
            </w:pPr>
            <w:r w:rsidRPr="00242020">
              <w:rPr>
                <w:rFonts w:ascii="Times New Roman Cyr" w:hAnsi="Times New Roman Cyr"/>
                <w:b/>
                <w:sz w:val="18"/>
                <w:szCs w:val="18"/>
                <w:lang w:eastAsia="uk-UA"/>
              </w:rPr>
              <w:t>0</w:t>
            </w:r>
          </w:p>
        </w:tc>
        <w:tc>
          <w:tcPr>
            <w:tcW w:w="650" w:type="dxa"/>
            <w:tcBorders>
              <w:top w:val="nil"/>
              <w:left w:val="single" w:sz="8" w:space="0" w:color="auto"/>
              <w:bottom w:val="single" w:sz="8"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 </w:t>
            </w:r>
          </w:p>
        </w:tc>
        <w:tc>
          <w:tcPr>
            <w:tcW w:w="918" w:type="dxa"/>
            <w:tcBorders>
              <w:top w:val="nil"/>
              <w:left w:val="single" w:sz="8" w:space="0" w:color="auto"/>
              <w:bottom w:val="single" w:sz="8" w:space="0" w:color="auto"/>
              <w:right w:val="nil"/>
            </w:tcBorders>
            <w:shd w:val="clear" w:color="auto" w:fill="auto"/>
            <w:vAlign w:val="center"/>
            <w:hideMark/>
          </w:tcPr>
          <w:p w:rsidR="004B2387" w:rsidRPr="00242020" w:rsidRDefault="004B2387" w:rsidP="004B2387">
            <w:pPr>
              <w:widowControl/>
              <w:ind w:left="-87" w:right="-77" w:firstLine="0"/>
              <w:jc w:val="center"/>
              <w:rPr>
                <w:rFonts w:ascii="Times New Roman Cyr" w:hAnsi="Times New Roman Cyr"/>
                <w:bCs/>
                <w:sz w:val="18"/>
                <w:szCs w:val="18"/>
                <w:lang w:eastAsia="uk-UA"/>
              </w:rPr>
            </w:pPr>
            <w:r w:rsidRPr="00242020">
              <w:rPr>
                <w:rFonts w:ascii="Times New Roman Cyr" w:hAnsi="Times New Roman Cyr"/>
                <w:bCs/>
                <w:sz w:val="18"/>
                <w:szCs w:val="18"/>
                <w:lang w:eastAsia="uk-UA"/>
              </w:rPr>
              <w:t> </w:t>
            </w:r>
          </w:p>
        </w:tc>
        <w:tc>
          <w:tcPr>
            <w:tcW w:w="937" w:type="dxa"/>
            <w:tcBorders>
              <w:top w:val="nil"/>
              <w:left w:val="single" w:sz="8" w:space="0" w:color="auto"/>
              <w:bottom w:val="single" w:sz="8"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10</w:t>
            </w:r>
            <w:r w:rsidR="00085F86">
              <w:rPr>
                <w:b/>
                <w:sz w:val="18"/>
                <w:szCs w:val="18"/>
                <w:lang w:eastAsia="uk-UA"/>
              </w:rPr>
              <w:t> </w:t>
            </w:r>
            <w:r w:rsidRPr="00242020">
              <w:rPr>
                <w:b/>
                <w:sz w:val="18"/>
                <w:szCs w:val="18"/>
                <w:lang w:eastAsia="uk-UA"/>
              </w:rPr>
              <w:t>918,00</w:t>
            </w:r>
          </w:p>
        </w:tc>
        <w:tc>
          <w:tcPr>
            <w:tcW w:w="896" w:type="dxa"/>
            <w:tcBorders>
              <w:top w:val="nil"/>
              <w:left w:val="nil"/>
              <w:bottom w:val="nil"/>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20,00</w:t>
            </w:r>
          </w:p>
        </w:tc>
        <w:tc>
          <w:tcPr>
            <w:tcW w:w="798" w:type="dxa"/>
            <w:tcBorders>
              <w:top w:val="nil"/>
              <w:left w:val="nil"/>
              <w:bottom w:val="nil"/>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 </w:t>
            </w:r>
          </w:p>
        </w:tc>
        <w:tc>
          <w:tcPr>
            <w:tcW w:w="770" w:type="dxa"/>
            <w:tcBorders>
              <w:top w:val="nil"/>
              <w:left w:val="nil"/>
              <w:bottom w:val="nil"/>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sz w:val="18"/>
                <w:szCs w:val="18"/>
                <w:lang w:eastAsia="uk-UA"/>
              </w:rPr>
            </w:pPr>
            <w:r w:rsidRPr="00242020">
              <w:rPr>
                <w:bCs/>
                <w:sz w:val="18"/>
                <w:szCs w:val="18"/>
                <w:lang w:eastAsia="uk-UA"/>
              </w:rPr>
              <w:t> </w:t>
            </w:r>
          </w:p>
        </w:tc>
        <w:tc>
          <w:tcPr>
            <w:tcW w:w="896" w:type="dxa"/>
            <w:tcBorders>
              <w:top w:val="nil"/>
              <w:left w:val="nil"/>
              <w:bottom w:val="nil"/>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837,88</w:t>
            </w:r>
          </w:p>
        </w:tc>
        <w:tc>
          <w:tcPr>
            <w:tcW w:w="784" w:type="dxa"/>
            <w:tcBorders>
              <w:top w:val="nil"/>
              <w:left w:val="nil"/>
              <w:bottom w:val="nil"/>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0,00</w:t>
            </w:r>
          </w:p>
        </w:tc>
        <w:tc>
          <w:tcPr>
            <w:tcW w:w="868" w:type="dxa"/>
            <w:tcBorders>
              <w:top w:val="nil"/>
              <w:left w:val="nil"/>
              <w:bottom w:val="nil"/>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 </w:t>
            </w:r>
          </w:p>
        </w:tc>
        <w:tc>
          <w:tcPr>
            <w:tcW w:w="789" w:type="dxa"/>
            <w:tcBorders>
              <w:top w:val="nil"/>
              <w:left w:val="nil"/>
              <w:bottom w:val="single" w:sz="8"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 </w:t>
            </w:r>
          </w:p>
        </w:tc>
        <w:tc>
          <w:tcPr>
            <w:tcW w:w="709" w:type="dxa"/>
            <w:tcBorders>
              <w:top w:val="nil"/>
              <w:left w:val="nil"/>
              <w:bottom w:val="single" w:sz="8"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7,67</w:t>
            </w:r>
          </w:p>
        </w:tc>
        <w:tc>
          <w:tcPr>
            <w:tcW w:w="783" w:type="dxa"/>
            <w:tcBorders>
              <w:top w:val="nil"/>
              <w:left w:val="nil"/>
              <w:bottom w:val="single" w:sz="8"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
                <w:sz w:val="18"/>
                <w:szCs w:val="18"/>
                <w:lang w:eastAsia="uk-UA"/>
              </w:rPr>
            </w:pPr>
            <w:r w:rsidRPr="00242020">
              <w:rPr>
                <w:b/>
                <w:sz w:val="18"/>
                <w:szCs w:val="18"/>
                <w:lang w:eastAsia="uk-UA"/>
              </w:rPr>
              <w:t>0,00</w:t>
            </w:r>
          </w:p>
        </w:tc>
        <w:tc>
          <w:tcPr>
            <w:tcW w:w="700" w:type="dxa"/>
            <w:tcBorders>
              <w:top w:val="nil"/>
              <w:left w:val="nil"/>
              <w:bottom w:val="single" w:sz="8"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color w:val="FFFFFF"/>
                <w:sz w:val="18"/>
                <w:szCs w:val="18"/>
                <w:lang w:eastAsia="uk-UA"/>
              </w:rPr>
            </w:pPr>
            <w:r w:rsidRPr="00242020">
              <w:rPr>
                <w:bCs/>
                <w:color w:val="FFFFFF"/>
                <w:sz w:val="18"/>
                <w:szCs w:val="18"/>
                <w:lang w:eastAsia="uk-UA"/>
              </w:rPr>
              <w:t>#</w:t>
            </w:r>
            <w:proofErr w:type="spellStart"/>
            <w:r w:rsidRPr="00242020">
              <w:rPr>
                <w:bCs/>
                <w:color w:val="FFFFFF"/>
                <w:sz w:val="18"/>
                <w:szCs w:val="18"/>
                <w:lang w:eastAsia="uk-UA"/>
              </w:rPr>
              <w:t>ДЕЛ</w:t>
            </w:r>
            <w:proofErr w:type="spellEnd"/>
            <w:r w:rsidRPr="00242020">
              <w:rPr>
                <w:bCs/>
                <w:color w:val="FFFFFF"/>
                <w:sz w:val="18"/>
                <w:szCs w:val="18"/>
                <w:lang w:eastAsia="uk-UA"/>
              </w:rPr>
              <w:t>/0!</w:t>
            </w:r>
          </w:p>
        </w:tc>
        <w:tc>
          <w:tcPr>
            <w:tcW w:w="770" w:type="dxa"/>
            <w:tcBorders>
              <w:top w:val="nil"/>
              <w:left w:val="nil"/>
              <w:bottom w:val="single" w:sz="8" w:space="0" w:color="auto"/>
              <w:right w:val="single" w:sz="8" w:space="0" w:color="auto"/>
            </w:tcBorders>
            <w:shd w:val="clear" w:color="auto" w:fill="auto"/>
            <w:noWrap/>
            <w:vAlign w:val="center"/>
            <w:hideMark/>
          </w:tcPr>
          <w:p w:rsidR="004B2387" w:rsidRPr="00242020" w:rsidRDefault="004B2387" w:rsidP="004B2387">
            <w:pPr>
              <w:widowControl/>
              <w:ind w:left="-87" w:right="-77" w:firstLine="0"/>
              <w:jc w:val="center"/>
              <w:rPr>
                <w:bCs/>
                <w:color w:val="FFFFFF"/>
                <w:sz w:val="18"/>
                <w:szCs w:val="18"/>
                <w:lang w:eastAsia="uk-UA"/>
              </w:rPr>
            </w:pPr>
            <w:r w:rsidRPr="00242020">
              <w:rPr>
                <w:bCs/>
                <w:color w:val="FFFFFF"/>
                <w:sz w:val="18"/>
                <w:szCs w:val="18"/>
                <w:lang w:eastAsia="uk-UA"/>
              </w:rPr>
              <w:t>#</w:t>
            </w:r>
            <w:proofErr w:type="spellStart"/>
            <w:r w:rsidRPr="00242020">
              <w:rPr>
                <w:bCs/>
                <w:color w:val="FFFFFF"/>
                <w:sz w:val="18"/>
                <w:szCs w:val="18"/>
                <w:lang w:eastAsia="uk-UA"/>
              </w:rPr>
              <w:t>ДЕЛ</w:t>
            </w:r>
            <w:proofErr w:type="spellEnd"/>
            <w:r w:rsidRPr="00242020">
              <w:rPr>
                <w:bCs/>
                <w:color w:val="FFFFFF"/>
                <w:sz w:val="18"/>
                <w:szCs w:val="18"/>
                <w:lang w:eastAsia="uk-UA"/>
              </w:rPr>
              <w:t>/0!</w:t>
            </w:r>
          </w:p>
        </w:tc>
      </w:tr>
      <w:tr w:rsidR="004B2387" w:rsidRPr="00242020" w:rsidTr="004B2387">
        <w:trPr>
          <w:trHeight w:val="405"/>
        </w:trPr>
        <w:tc>
          <w:tcPr>
            <w:tcW w:w="2000" w:type="dxa"/>
            <w:tcBorders>
              <w:top w:val="nil"/>
              <w:left w:val="single" w:sz="8" w:space="0" w:color="auto"/>
              <w:bottom w:val="single" w:sz="8" w:space="0" w:color="auto"/>
              <w:right w:val="single" w:sz="8" w:space="0" w:color="auto"/>
            </w:tcBorders>
            <w:shd w:val="clear" w:color="000000" w:fill="FFFF99"/>
            <w:vAlign w:val="center"/>
            <w:hideMark/>
          </w:tcPr>
          <w:p w:rsidR="004B2387" w:rsidRPr="00242020" w:rsidRDefault="004B2387" w:rsidP="004B2387">
            <w:pPr>
              <w:widowControl/>
              <w:ind w:firstLine="0"/>
              <w:jc w:val="center"/>
              <w:rPr>
                <w:b/>
                <w:i/>
                <w:iCs/>
                <w:sz w:val="18"/>
                <w:szCs w:val="18"/>
                <w:lang w:eastAsia="uk-UA"/>
              </w:rPr>
            </w:pPr>
            <w:r w:rsidRPr="00242020">
              <w:rPr>
                <w:b/>
                <w:i/>
                <w:iCs/>
                <w:sz w:val="18"/>
                <w:szCs w:val="18"/>
                <w:lang w:eastAsia="uk-UA"/>
              </w:rPr>
              <w:t>УСЬОГО (А,</w:t>
            </w:r>
            <w:r w:rsidR="00233D4D" w:rsidRPr="00242020">
              <w:rPr>
                <w:b/>
                <w:i/>
                <w:iCs/>
                <w:sz w:val="18"/>
                <w:szCs w:val="18"/>
                <w:lang w:eastAsia="uk-UA"/>
              </w:rPr>
              <w:t xml:space="preserve"> </w:t>
            </w:r>
            <w:r w:rsidRPr="00242020">
              <w:rPr>
                <w:b/>
                <w:i/>
                <w:iCs/>
                <w:sz w:val="18"/>
                <w:szCs w:val="18"/>
                <w:lang w:eastAsia="uk-UA"/>
              </w:rPr>
              <w:t>Д,</w:t>
            </w:r>
            <w:r w:rsidR="00233D4D" w:rsidRPr="00242020">
              <w:rPr>
                <w:b/>
                <w:i/>
                <w:iCs/>
                <w:sz w:val="18"/>
                <w:szCs w:val="18"/>
                <w:lang w:eastAsia="uk-UA"/>
              </w:rPr>
              <w:t xml:space="preserve"> </w:t>
            </w:r>
            <w:r w:rsidRPr="00242020">
              <w:rPr>
                <w:b/>
                <w:i/>
                <w:iCs/>
                <w:sz w:val="18"/>
                <w:szCs w:val="18"/>
                <w:lang w:eastAsia="uk-UA"/>
              </w:rPr>
              <w:t>Ж)</w:t>
            </w:r>
          </w:p>
        </w:tc>
        <w:tc>
          <w:tcPr>
            <w:tcW w:w="724" w:type="dxa"/>
            <w:tcBorders>
              <w:top w:val="nil"/>
              <w:left w:val="nil"/>
              <w:bottom w:val="single" w:sz="8" w:space="0" w:color="auto"/>
              <w:right w:val="single" w:sz="8" w:space="0" w:color="auto"/>
            </w:tcBorders>
            <w:shd w:val="clear" w:color="000000" w:fill="FFFF99"/>
            <w:vAlign w:val="center"/>
            <w:hideMark/>
          </w:tcPr>
          <w:p w:rsidR="004B2387" w:rsidRPr="00242020" w:rsidRDefault="004B2387" w:rsidP="004B2387">
            <w:pPr>
              <w:widowControl/>
              <w:ind w:left="-87" w:right="-77" w:firstLine="0"/>
              <w:jc w:val="center"/>
              <w:rPr>
                <w:b/>
                <w:i/>
                <w:iCs/>
                <w:sz w:val="18"/>
                <w:szCs w:val="18"/>
                <w:lang w:eastAsia="uk-UA"/>
              </w:rPr>
            </w:pPr>
            <w:r w:rsidRPr="00242020">
              <w:rPr>
                <w:b/>
                <w:i/>
                <w:iCs/>
                <w:sz w:val="18"/>
                <w:szCs w:val="18"/>
                <w:lang w:eastAsia="uk-UA"/>
              </w:rPr>
              <w:t>135</w:t>
            </w:r>
          </w:p>
        </w:tc>
        <w:tc>
          <w:tcPr>
            <w:tcW w:w="893" w:type="dxa"/>
            <w:tcBorders>
              <w:top w:val="nil"/>
              <w:left w:val="nil"/>
              <w:bottom w:val="single" w:sz="8" w:space="0" w:color="auto"/>
              <w:right w:val="single" w:sz="8" w:space="0" w:color="auto"/>
            </w:tcBorders>
            <w:shd w:val="clear" w:color="000000" w:fill="FFFF99"/>
            <w:vAlign w:val="center"/>
            <w:hideMark/>
          </w:tcPr>
          <w:p w:rsidR="004B2387" w:rsidRPr="00242020" w:rsidRDefault="004B2387" w:rsidP="004B2387">
            <w:pPr>
              <w:widowControl/>
              <w:ind w:left="-87" w:right="-77" w:firstLine="0"/>
              <w:jc w:val="center"/>
              <w:rPr>
                <w:b/>
                <w:i/>
                <w:iCs/>
                <w:sz w:val="18"/>
                <w:szCs w:val="18"/>
                <w:lang w:eastAsia="uk-UA"/>
              </w:rPr>
            </w:pPr>
            <w:r w:rsidRPr="00242020">
              <w:rPr>
                <w:b/>
                <w:i/>
                <w:iCs/>
                <w:sz w:val="18"/>
                <w:szCs w:val="18"/>
                <w:lang w:eastAsia="uk-UA"/>
              </w:rPr>
              <w:t>16</w:t>
            </w:r>
          </w:p>
        </w:tc>
        <w:tc>
          <w:tcPr>
            <w:tcW w:w="650" w:type="dxa"/>
            <w:tcBorders>
              <w:top w:val="nil"/>
              <w:left w:val="nil"/>
              <w:bottom w:val="single" w:sz="8" w:space="0" w:color="auto"/>
              <w:right w:val="single" w:sz="8" w:space="0" w:color="auto"/>
            </w:tcBorders>
            <w:shd w:val="clear" w:color="000000" w:fill="FFFF99"/>
            <w:vAlign w:val="center"/>
            <w:hideMark/>
          </w:tcPr>
          <w:p w:rsidR="004B2387" w:rsidRPr="00242020" w:rsidRDefault="004B2387" w:rsidP="004B2387">
            <w:pPr>
              <w:widowControl/>
              <w:ind w:left="-87" w:right="-77" w:firstLine="0"/>
              <w:jc w:val="center"/>
              <w:rPr>
                <w:bCs/>
                <w:i/>
                <w:iCs/>
                <w:sz w:val="18"/>
                <w:szCs w:val="18"/>
                <w:lang w:eastAsia="uk-UA"/>
              </w:rPr>
            </w:pPr>
            <w:r w:rsidRPr="00242020">
              <w:rPr>
                <w:bCs/>
                <w:i/>
                <w:iCs/>
                <w:sz w:val="18"/>
                <w:szCs w:val="18"/>
                <w:lang w:eastAsia="uk-UA"/>
              </w:rPr>
              <w:t>7</w:t>
            </w:r>
          </w:p>
        </w:tc>
        <w:tc>
          <w:tcPr>
            <w:tcW w:w="918" w:type="dxa"/>
            <w:tcBorders>
              <w:top w:val="nil"/>
              <w:left w:val="nil"/>
              <w:bottom w:val="single" w:sz="8" w:space="0" w:color="auto"/>
              <w:right w:val="single" w:sz="8" w:space="0" w:color="auto"/>
            </w:tcBorders>
            <w:shd w:val="clear" w:color="000000" w:fill="FFFF99"/>
            <w:vAlign w:val="center"/>
            <w:hideMark/>
          </w:tcPr>
          <w:p w:rsidR="004B2387" w:rsidRPr="00242020" w:rsidRDefault="004B2387" w:rsidP="004B2387">
            <w:pPr>
              <w:widowControl/>
              <w:ind w:left="-87" w:right="-77" w:firstLine="0"/>
              <w:jc w:val="center"/>
              <w:rPr>
                <w:bCs/>
                <w:i/>
                <w:iCs/>
                <w:sz w:val="18"/>
                <w:szCs w:val="18"/>
                <w:lang w:eastAsia="uk-UA"/>
              </w:rPr>
            </w:pPr>
            <w:r w:rsidRPr="00242020">
              <w:rPr>
                <w:bCs/>
                <w:i/>
                <w:iCs/>
                <w:sz w:val="18"/>
                <w:szCs w:val="18"/>
                <w:lang w:eastAsia="uk-UA"/>
              </w:rPr>
              <w:t>1</w:t>
            </w:r>
          </w:p>
        </w:tc>
        <w:tc>
          <w:tcPr>
            <w:tcW w:w="937" w:type="dxa"/>
            <w:tcBorders>
              <w:top w:val="nil"/>
              <w:left w:val="nil"/>
              <w:bottom w:val="single" w:sz="8" w:space="0" w:color="auto"/>
              <w:right w:val="single" w:sz="8" w:space="0" w:color="auto"/>
            </w:tcBorders>
            <w:shd w:val="clear" w:color="000000" w:fill="FFFF99"/>
            <w:noWrap/>
            <w:vAlign w:val="center"/>
            <w:hideMark/>
          </w:tcPr>
          <w:p w:rsidR="004B2387" w:rsidRPr="00242020" w:rsidRDefault="004B2387" w:rsidP="004B2387">
            <w:pPr>
              <w:widowControl/>
              <w:ind w:left="-87" w:right="-77" w:firstLine="0"/>
              <w:jc w:val="center"/>
              <w:rPr>
                <w:rFonts w:ascii="Times New Roman Cyr" w:hAnsi="Times New Roman Cyr"/>
                <w:b/>
                <w:i/>
                <w:iCs/>
                <w:sz w:val="18"/>
                <w:szCs w:val="18"/>
                <w:lang w:eastAsia="uk-UA"/>
              </w:rPr>
            </w:pPr>
            <w:r w:rsidRPr="00242020">
              <w:rPr>
                <w:rFonts w:ascii="Times New Roman Cyr" w:hAnsi="Times New Roman Cyr"/>
                <w:b/>
                <w:i/>
                <w:iCs/>
                <w:sz w:val="18"/>
                <w:szCs w:val="18"/>
                <w:lang w:eastAsia="uk-UA"/>
              </w:rPr>
              <w:t>101</w:t>
            </w:r>
            <w:r w:rsidR="00085F86">
              <w:rPr>
                <w:rFonts w:ascii="Times New Roman Cyr" w:hAnsi="Times New Roman Cyr"/>
                <w:b/>
                <w:i/>
                <w:iCs/>
                <w:sz w:val="18"/>
                <w:szCs w:val="18"/>
                <w:lang w:eastAsia="uk-UA"/>
              </w:rPr>
              <w:t> </w:t>
            </w:r>
            <w:r w:rsidRPr="00242020">
              <w:rPr>
                <w:rFonts w:ascii="Times New Roman Cyr" w:hAnsi="Times New Roman Cyr"/>
                <w:b/>
                <w:i/>
                <w:iCs/>
                <w:sz w:val="18"/>
                <w:szCs w:val="18"/>
                <w:lang w:eastAsia="uk-UA"/>
              </w:rPr>
              <w:t>076,47</w:t>
            </w:r>
          </w:p>
        </w:tc>
        <w:tc>
          <w:tcPr>
            <w:tcW w:w="896" w:type="dxa"/>
            <w:tcBorders>
              <w:top w:val="single" w:sz="8" w:space="0" w:color="auto"/>
              <w:left w:val="nil"/>
              <w:bottom w:val="single" w:sz="8" w:space="0" w:color="auto"/>
              <w:right w:val="single" w:sz="8" w:space="0" w:color="auto"/>
            </w:tcBorders>
            <w:shd w:val="clear" w:color="000000" w:fill="FFFF99"/>
            <w:noWrap/>
            <w:vAlign w:val="center"/>
            <w:hideMark/>
          </w:tcPr>
          <w:p w:rsidR="004B2387" w:rsidRPr="00242020" w:rsidRDefault="004B2387" w:rsidP="004B2387">
            <w:pPr>
              <w:widowControl/>
              <w:ind w:left="-87" w:right="-77" w:firstLine="0"/>
              <w:jc w:val="center"/>
              <w:rPr>
                <w:b/>
                <w:i/>
                <w:iCs/>
                <w:sz w:val="18"/>
                <w:szCs w:val="18"/>
                <w:lang w:eastAsia="uk-UA"/>
              </w:rPr>
            </w:pPr>
            <w:r w:rsidRPr="00242020">
              <w:rPr>
                <w:b/>
                <w:i/>
                <w:iCs/>
                <w:sz w:val="18"/>
                <w:szCs w:val="18"/>
                <w:lang w:eastAsia="uk-UA"/>
              </w:rPr>
              <w:t>9</w:t>
            </w:r>
            <w:r w:rsidR="00085F86">
              <w:rPr>
                <w:b/>
                <w:i/>
                <w:iCs/>
                <w:sz w:val="18"/>
                <w:szCs w:val="18"/>
                <w:lang w:eastAsia="uk-UA"/>
              </w:rPr>
              <w:t> </w:t>
            </w:r>
            <w:r w:rsidRPr="00242020">
              <w:rPr>
                <w:b/>
                <w:i/>
                <w:iCs/>
                <w:sz w:val="18"/>
                <w:szCs w:val="18"/>
                <w:lang w:eastAsia="uk-UA"/>
              </w:rPr>
              <w:t>977,25</w:t>
            </w:r>
          </w:p>
        </w:tc>
        <w:tc>
          <w:tcPr>
            <w:tcW w:w="798" w:type="dxa"/>
            <w:tcBorders>
              <w:top w:val="single" w:sz="8" w:space="0" w:color="auto"/>
              <w:left w:val="nil"/>
              <w:bottom w:val="single" w:sz="8" w:space="0" w:color="auto"/>
              <w:right w:val="single" w:sz="8" w:space="0" w:color="auto"/>
            </w:tcBorders>
            <w:shd w:val="clear" w:color="000000" w:fill="FFFF99"/>
            <w:noWrap/>
            <w:vAlign w:val="center"/>
            <w:hideMark/>
          </w:tcPr>
          <w:p w:rsidR="004B2387" w:rsidRPr="00242020" w:rsidRDefault="004B2387" w:rsidP="00085F86">
            <w:pPr>
              <w:widowControl/>
              <w:ind w:left="-87" w:right="-77" w:firstLine="0"/>
              <w:jc w:val="center"/>
              <w:rPr>
                <w:bCs/>
                <w:i/>
                <w:iCs/>
                <w:sz w:val="18"/>
                <w:szCs w:val="18"/>
                <w:lang w:eastAsia="uk-UA"/>
              </w:rPr>
            </w:pPr>
            <w:r w:rsidRPr="00242020">
              <w:rPr>
                <w:bCs/>
                <w:i/>
                <w:iCs/>
                <w:sz w:val="18"/>
                <w:szCs w:val="18"/>
                <w:lang w:eastAsia="uk-UA"/>
              </w:rPr>
              <w:t>47</w:t>
            </w:r>
            <w:r w:rsidR="00085F86">
              <w:rPr>
                <w:bCs/>
                <w:i/>
                <w:iCs/>
                <w:sz w:val="18"/>
                <w:szCs w:val="18"/>
                <w:lang w:eastAsia="uk-UA"/>
              </w:rPr>
              <w:t> </w:t>
            </w:r>
            <w:r w:rsidRPr="00242020">
              <w:rPr>
                <w:bCs/>
                <w:i/>
                <w:iCs/>
                <w:sz w:val="18"/>
                <w:szCs w:val="18"/>
                <w:lang w:eastAsia="uk-UA"/>
              </w:rPr>
              <w:t>033,30</w:t>
            </w:r>
          </w:p>
        </w:tc>
        <w:tc>
          <w:tcPr>
            <w:tcW w:w="770" w:type="dxa"/>
            <w:tcBorders>
              <w:top w:val="single" w:sz="8" w:space="0" w:color="auto"/>
              <w:left w:val="nil"/>
              <w:bottom w:val="single" w:sz="8" w:space="0" w:color="auto"/>
              <w:right w:val="single" w:sz="8" w:space="0" w:color="auto"/>
            </w:tcBorders>
            <w:shd w:val="clear" w:color="000000" w:fill="FFFF99"/>
            <w:noWrap/>
            <w:vAlign w:val="center"/>
            <w:hideMark/>
          </w:tcPr>
          <w:p w:rsidR="004B2387" w:rsidRPr="00242020" w:rsidRDefault="004B2387" w:rsidP="004B2387">
            <w:pPr>
              <w:widowControl/>
              <w:ind w:left="-87" w:right="-77" w:firstLine="0"/>
              <w:jc w:val="center"/>
              <w:rPr>
                <w:bCs/>
                <w:i/>
                <w:iCs/>
                <w:sz w:val="18"/>
                <w:szCs w:val="18"/>
                <w:lang w:eastAsia="uk-UA"/>
              </w:rPr>
            </w:pPr>
            <w:r w:rsidRPr="00242020">
              <w:rPr>
                <w:bCs/>
                <w:i/>
                <w:iCs/>
                <w:sz w:val="18"/>
                <w:szCs w:val="18"/>
                <w:lang w:eastAsia="uk-UA"/>
              </w:rPr>
              <w:t>6</w:t>
            </w:r>
            <w:r w:rsidR="00085F86">
              <w:rPr>
                <w:bCs/>
                <w:i/>
                <w:iCs/>
                <w:sz w:val="18"/>
                <w:szCs w:val="18"/>
                <w:lang w:eastAsia="uk-UA"/>
              </w:rPr>
              <w:t> </w:t>
            </w:r>
            <w:r w:rsidRPr="00242020">
              <w:rPr>
                <w:bCs/>
                <w:i/>
                <w:iCs/>
                <w:sz w:val="18"/>
                <w:szCs w:val="18"/>
                <w:lang w:eastAsia="uk-UA"/>
              </w:rPr>
              <w:t>858,25</w:t>
            </w:r>
          </w:p>
        </w:tc>
        <w:tc>
          <w:tcPr>
            <w:tcW w:w="896" w:type="dxa"/>
            <w:tcBorders>
              <w:top w:val="single" w:sz="8" w:space="0" w:color="auto"/>
              <w:left w:val="nil"/>
              <w:bottom w:val="single" w:sz="8" w:space="0" w:color="auto"/>
              <w:right w:val="single" w:sz="8" w:space="0" w:color="auto"/>
            </w:tcBorders>
            <w:shd w:val="clear" w:color="000000" w:fill="FFFF99"/>
            <w:noWrap/>
            <w:vAlign w:val="center"/>
            <w:hideMark/>
          </w:tcPr>
          <w:p w:rsidR="004B2387" w:rsidRPr="00242020" w:rsidRDefault="004B2387" w:rsidP="004B2387">
            <w:pPr>
              <w:widowControl/>
              <w:ind w:left="-87" w:right="-77" w:firstLine="0"/>
              <w:jc w:val="center"/>
              <w:rPr>
                <w:b/>
                <w:i/>
                <w:iCs/>
                <w:sz w:val="18"/>
                <w:szCs w:val="18"/>
                <w:lang w:eastAsia="uk-UA"/>
              </w:rPr>
            </w:pPr>
            <w:r w:rsidRPr="00242020">
              <w:rPr>
                <w:b/>
                <w:i/>
                <w:iCs/>
                <w:sz w:val="18"/>
                <w:szCs w:val="18"/>
                <w:lang w:eastAsia="uk-UA"/>
              </w:rPr>
              <w:t>171</w:t>
            </w:r>
            <w:r w:rsidR="00085F86">
              <w:rPr>
                <w:b/>
                <w:i/>
                <w:iCs/>
                <w:sz w:val="18"/>
                <w:szCs w:val="18"/>
                <w:lang w:eastAsia="uk-UA"/>
              </w:rPr>
              <w:t> </w:t>
            </w:r>
            <w:r w:rsidRPr="00242020">
              <w:rPr>
                <w:b/>
                <w:i/>
                <w:iCs/>
                <w:sz w:val="18"/>
                <w:szCs w:val="18"/>
                <w:lang w:eastAsia="uk-UA"/>
              </w:rPr>
              <w:t>463,21</w:t>
            </w:r>
          </w:p>
        </w:tc>
        <w:tc>
          <w:tcPr>
            <w:tcW w:w="784" w:type="dxa"/>
            <w:tcBorders>
              <w:top w:val="single" w:sz="8" w:space="0" w:color="auto"/>
              <w:left w:val="nil"/>
              <w:bottom w:val="single" w:sz="8" w:space="0" w:color="auto"/>
              <w:right w:val="single" w:sz="8" w:space="0" w:color="auto"/>
            </w:tcBorders>
            <w:shd w:val="clear" w:color="000000" w:fill="FFFF99"/>
            <w:noWrap/>
            <w:vAlign w:val="center"/>
            <w:hideMark/>
          </w:tcPr>
          <w:p w:rsidR="004B2387" w:rsidRPr="00242020" w:rsidRDefault="004B2387" w:rsidP="004B2387">
            <w:pPr>
              <w:widowControl/>
              <w:ind w:left="-87" w:right="-77" w:firstLine="0"/>
              <w:jc w:val="center"/>
              <w:rPr>
                <w:b/>
                <w:i/>
                <w:iCs/>
                <w:sz w:val="18"/>
                <w:szCs w:val="18"/>
                <w:lang w:eastAsia="uk-UA"/>
              </w:rPr>
            </w:pPr>
            <w:r w:rsidRPr="00242020">
              <w:rPr>
                <w:b/>
                <w:i/>
                <w:iCs/>
                <w:sz w:val="18"/>
                <w:szCs w:val="18"/>
                <w:lang w:eastAsia="uk-UA"/>
              </w:rPr>
              <w:t>3</w:t>
            </w:r>
            <w:r w:rsidR="00085F86">
              <w:rPr>
                <w:b/>
                <w:i/>
                <w:iCs/>
                <w:sz w:val="18"/>
                <w:szCs w:val="18"/>
                <w:lang w:eastAsia="uk-UA"/>
              </w:rPr>
              <w:t> </w:t>
            </w:r>
            <w:r w:rsidRPr="00242020">
              <w:rPr>
                <w:b/>
                <w:i/>
                <w:iCs/>
                <w:sz w:val="18"/>
                <w:szCs w:val="18"/>
                <w:lang w:eastAsia="uk-UA"/>
              </w:rPr>
              <w:t>548,72</w:t>
            </w:r>
          </w:p>
        </w:tc>
        <w:tc>
          <w:tcPr>
            <w:tcW w:w="868" w:type="dxa"/>
            <w:tcBorders>
              <w:top w:val="single" w:sz="8" w:space="0" w:color="auto"/>
              <w:left w:val="nil"/>
              <w:bottom w:val="single" w:sz="8" w:space="0" w:color="auto"/>
              <w:right w:val="single" w:sz="8" w:space="0" w:color="auto"/>
            </w:tcBorders>
            <w:shd w:val="clear" w:color="000000" w:fill="FFFF99"/>
            <w:noWrap/>
            <w:vAlign w:val="center"/>
            <w:hideMark/>
          </w:tcPr>
          <w:p w:rsidR="004B2387" w:rsidRPr="00242020" w:rsidRDefault="004B2387" w:rsidP="004B2387">
            <w:pPr>
              <w:widowControl/>
              <w:ind w:left="-87" w:right="-77" w:firstLine="0"/>
              <w:jc w:val="center"/>
              <w:rPr>
                <w:bCs/>
                <w:i/>
                <w:iCs/>
                <w:sz w:val="18"/>
                <w:szCs w:val="18"/>
                <w:lang w:eastAsia="uk-UA"/>
              </w:rPr>
            </w:pPr>
            <w:r w:rsidRPr="00242020">
              <w:rPr>
                <w:bCs/>
                <w:i/>
                <w:iCs/>
                <w:sz w:val="18"/>
                <w:szCs w:val="18"/>
                <w:lang w:eastAsia="uk-UA"/>
              </w:rPr>
              <w:t>116</w:t>
            </w:r>
            <w:r w:rsidR="00085F86">
              <w:rPr>
                <w:bCs/>
                <w:i/>
                <w:iCs/>
                <w:sz w:val="18"/>
                <w:szCs w:val="18"/>
                <w:lang w:eastAsia="uk-UA"/>
              </w:rPr>
              <w:t> </w:t>
            </w:r>
            <w:r w:rsidRPr="00242020">
              <w:rPr>
                <w:bCs/>
                <w:i/>
                <w:iCs/>
                <w:sz w:val="18"/>
                <w:szCs w:val="18"/>
                <w:lang w:eastAsia="uk-UA"/>
              </w:rPr>
              <w:t>281,69</w:t>
            </w:r>
          </w:p>
        </w:tc>
        <w:tc>
          <w:tcPr>
            <w:tcW w:w="789" w:type="dxa"/>
            <w:tcBorders>
              <w:top w:val="nil"/>
              <w:left w:val="nil"/>
              <w:bottom w:val="single" w:sz="8" w:space="0" w:color="auto"/>
              <w:right w:val="single" w:sz="8" w:space="0" w:color="auto"/>
            </w:tcBorders>
            <w:shd w:val="clear" w:color="000000" w:fill="FFFF99"/>
            <w:noWrap/>
            <w:vAlign w:val="center"/>
            <w:hideMark/>
          </w:tcPr>
          <w:p w:rsidR="004B2387" w:rsidRPr="00242020" w:rsidRDefault="004B2387" w:rsidP="004B2387">
            <w:pPr>
              <w:widowControl/>
              <w:ind w:left="-87" w:right="-77" w:firstLine="0"/>
              <w:jc w:val="center"/>
              <w:rPr>
                <w:bCs/>
                <w:i/>
                <w:iCs/>
                <w:sz w:val="18"/>
                <w:szCs w:val="18"/>
                <w:lang w:eastAsia="uk-UA"/>
              </w:rPr>
            </w:pPr>
            <w:r w:rsidRPr="00242020">
              <w:rPr>
                <w:bCs/>
                <w:i/>
                <w:iCs/>
                <w:sz w:val="18"/>
                <w:szCs w:val="18"/>
                <w:lang w:eastAsia="uk-UA"/>
              </w:rPr>
              <w:t>939,62</w:t>
            </w:r>
          </w:p>
        </w:tc>
        <w:tc>
          <w:tcPr>
            <w:tcW w:w="709" w:type="dxa"/>
            <w:tcBorders>
              <w:top w:val="nil"/>
              <w:left w:val="nil"/>
              <w:bottom w:val="single" w:sz="8" w:space="0" w:color="auto"/>
              <w:right w:val="single" w:sz="8" w:space="0" w:color="auto"/>
            </w:tcBorders>
            <w:shd w:val="clear" w:color="000000" w:fill="FFFF99"/>
            <w:noWrap/>
            <w:vAlign w:val="center"/>
            <w:hideMark/>
          </w:tcPr>
          <w:p w:rsidR="004B2387" w:rsidRPr="00242020" w:rsidRDefault="004B2387" w:rsidP="004B2387">
            <w:pPr>
              <w:widowControl/>
              <w:ind w:left="-87" w:right="-77" w:firstLine="0"/>
              <w:jc w:val="center"/>
              <w:rPr>
                <w:b/>
                <w:i/>
                <w:iCs/>
                <w:sz w:val="18"/>
                <w:szCs w:val="18"/>
                <w:lang w:eastAsia="uk-UA"/>
              </w:rPr>
            </w:pPr>
            <w:r w:rsidRPr="00242020">
              <w:rPr>
                <w:b/>
                <w:i/>
                <w:iCs/>
                <w:sz w:val="18"/>
                <w:szCs w:val="18"/>
                <w:lang w:eastAsia="uk-UA"/>
              </w:rPr>
              <w:t>169,64</w:t>
            </w:r>
          </w:p>
        </w:tc>
        <w:tc>
          <w:tcPr>
            <w:tcW w:w="783" w:type="dxa"/>
            <w:tcBorders>
              <w:top w:val="nil"/>
              <w:left w:val="nil"/>
              <w:bottom w:val="single" w:sz="8" w:space="0" w:color="auto"/>
              <w:right w:val="single" w:sz="8" w:space="0" w:color="auto"/>
            </w:tcBorders>
            <w:shd w:val="clear" w:color="000000" w:fill="FFFF99"/>
            <w:noWrap/>
            <w:vAlign w:val="center"/>
            <w:hideMark/>
          </w:tcPr>
          <w:p w:rsidR="004B2387" w:rsidRPr="00242020" w:rsidRDefault="004B2387" w:rsidP="004B2387">
            <w:pPr>
              <w:widowControl/>
              <w:ind w:left="-87" w:right="-77" w:firstLine="0"/>
              <w:jc w:val="center"/>
              <w:rPr>
                <w:b/>
                <w:i/>
                <w:iCs/>
                <w:sz w:val="18"/>
                <w:szCs w:val="18"/>
                <w:lang w:eastAsia="uk-UA"/>
              </w:rPr>
            </w:pPr>
            <w:r w:rsidRPr="00242020">
              <w:rPr>
                <w:b/>
                <w:i/>
                <w:iCs/>
                <w:sz w:val="18"/>
                <w:szCs w:val="18"/>
                <w:lang w:eastAsia="uk-UA"/>
              </w:rPr>
              <w:t>35,57</w:t>
            </w:r>
          </w:p>
        </w:tc>
        <w:tc>
          <w:tcPr>
            <w:tcW w:w="700" w:type="dxa"/>
            <w:tcBorders>
              <w:top w:val="nil"/>
              <w:left w:val="nil"/>
              <w:bottom w:val="single" w:sz="8" w:space="0" w:color="auto"/>
              <w:right w:val="single" w:sz="8" w:space="0" w:color="auto"/>
            </w:tcBorders>
            <w:shd w:val="clear" w:color="000000" w:fill="FFFF99"/>
            <w:noWrap/>
            <w:vAlign w:val="center"/>
            <w:hideMark/>
          </w:tcPr>
          <w:p w:rsidR="004B2387" w:rsidRPr="00242020" w:rsidRDefault="004B2387" w:rsidP="004B2387">
            <w:pPr>
              <w:widowControl/>
              <w:ind w:left="-87" w:right="-77" w:firstLine="0"/>
              <w:jc w:val="center"/>
              <w:rPr>
                <w:bCs/>
                <w:i/>
                <w:iCs/>
                <w:sz w:val="18"/>
                <w:szCs w:val="18"/>
                <w:lang w:eastAsia="uk-UA"/>
              </w:rPr>
            </w:pPr>
            <w:r w:rsidRPr="00242020">
              <w:rPr>
                <w:bCs/>
                <w:i/>
                <w:iCs/>
                <w:sz w:val="18"/>
                <w:szCs w:val="18"/>
                <w:lang w:eastAsia="uk-UA"/>
              </w:rPr>
              <w:t>247,23</w:t>
            </w:r>
          </w:p>
        </w:tc>
        <w:tc>
          <w:tcPr>
            <w:tcW w:w="770" w:type="dxa"/>
            <w:tcBorders>
              <w:top w:val="nil"/>
              <w:left w:val="nil"/>
              <w:bottom w:val="single" w:sz="8" w:space="0" w:color="auto"/>
              <w:right w:val="single" w:sz="8" w:space="0" w:color="auto"/>
            </w:tcBorders>
            <w:shd w:val="clear" w:color="000000" w:fill="FFFF99"/>
            <w:noWrap/>
            <w:vAlign w:val="center"/>
            <w:hideMark/>
          </w:tcPr>
          <w:p w:rsidR="004B2387" w:rsidRPr="00242020" w:rsidRDefault="004B2387" w:rsidP="004B2387">
            <w:pPr>
              <w:widowControl/>
              <w:ind w:left="-87" w:right="-77" w:firstLine="0"/>
              <w:jc w:val="center"/>
              <w:rPr>
                <w:bCs/>
                <w:i/>
                <w:iCs/>
                <w:sz w:val="18"/>
                <w:szCs w:val="18"/>
                <w:lang w:eastAsia="uk-UA"/>
              </w:rPr>
            </w:pPr>
            <w:r w:rsidRPr="00242020">
              <w:rPr>
                <w:bCs/>
                <w:i/>
                <w:iCs/>
                <w:sz w:val="18"/>
                <w:szCs w:val="18"/>
                <w:lang w:eastAsia="uk-UA"/>
              </w:rPr>
              <w:t>13,70</w:t>
            </w:r>
          </w:p>
        </w:tc>
      </w:tr>
    </w:tbl>
    <w:p w:rsidR="004B2387" w:rsidRPr="00242020" w:rsidRDefault="004B2387" w:rsidP="004B2387"/>
    <w:p w:rsidR="00D226C3" w:rsidRPr="00242020" w:rsidRDefault="00D226C3"/>
    <w:p w:rsidR="00D226C3" w:rsidRPr="00242020" w:rsidRDefault="00D226C3"/>
    <w:p w:rsidR="00D226C3" w:rsidRPr="00242020" w:rsidRDefault="00D226C3"/>
    <w:p w:rsidR="00D226C3" w:rsidRPr="00242020" w:rsidRDefault="00D226C3"/>
    <w:p w:rsidR="004B2387" w:rsidRPr="00242020" w:rsidRDefault="004B2387">
      <w:pPr>
        <w:sectPr w:rsidR="004B2387" w:rsidRPr="00242020" w:rsidSect="00D2554D">
          <w:headerReference w:type="even" r:id="rId51"/>
          <w:headerReference w:type="default" r:id="rId52"/>
          <w:footerReference w:type="even" r:id="rId53"/>
          <w:footerReference w:type="default" r:id="rId54"/>
          <w:pgSz w:w="16838" w:h="11906" w:orient="landscape"/>
          <w:pgMar w:top="851" w:right="1134" w:bottom="1276" w:left="1134" w:header="709" w:footer="594" w:gutter="0"/>
          <w:cols w:space="708"/>
          <w:docGrid w:linePitch="381"/>
        </w:sectPr>
      </w:pPr>
    </w:p>
    <w:p w:rsidR="00D2554D" w:rsidRPr="00242020" w:rsidRDefault="00D2554D" w:rsidP="00D2554D">
      <w:pPr>
        <w:ind w:firstLine="0"/>
        <w:jc w:val="center"/>
        <w:rPr>
          <w:b/>
          <w:sz w:val="30"/>
          <w:szCs w:val="30"/>
        </w:rPr>
      </w:pPr>
      <w:r w:rsidRPr="00242020">
        <w:rPr>
          <w:b/>
          <w:sz w:val="30"/>
          <w:szCs w:val="30"/>
        </w:rPr>
        <w:lastRenderedPageBreak/>
        <w:t>Довідка про надходження та перерахування коштів,</w:t>
      </w:r>
      <w:r w:rsidRPr="00242020">
        <w:rPr>
          <w:b/>
          <w:sz w:val="30"/>
          <w:szCs w:val="30"/>
        </w:rPr>
        <w:br/>
        <w:t>одержаних від приватизації державного майна</w:t>
      </w:r>
      <w:r w:rsidRPr="00242020">
        <w:rPr>
          <w:b/>
          <w:sz w:val="30"/>
          <w:szCs w:val="30"/>
        </w:rPr>
        <w:br/>
        <w:t xml:space="preserve">за січень-грудень 2016 року, тис. </w:t>
      </w:r>
      <w:proofErr w:type="spellStart"/>
      <w:r w:rsidRPr="00242020">
        <w:rPr>
          <w:b/>
          <w:sz w:val="30"/>
          <w:szCs w:val="30"/>
        </w:rPr>
        <w:t>грн</w:t>
      </w:r>
      <w:proofErr w:type="spellEnd"/>
    </w:p>
    <w:p w:rsidR="00D2554D" w:rsidRPr="00242020" w:rsidRDefault="00D2554D" w:rsidP="00D2554D">
      <w:pPr>
        <w:ind w:firstLine="0"/>
        <w:jc w:val="center"/>
        <w:rPr>
          <w:rFonts w:ascii="UkrainianSchoolBook" w:hAnsi="UkrainianSchoolBook"/>
          <w:sz w:val="10"/>
          <w:szCs w:val="10"/>
        </w:rPr>
      </w:pPr>
    </w:p>
    <w:tbl>
      <w:tblPr>
        <w:tblW w:w="9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ook w:val="0000"/>
      </w:tblPr>
      <w:tblGrid>
        <w:gridCol w:w="8505"/>
        <w:gridCol w:w="1080"/>
      </w:tblGrid>
      <w:tr w:rsidR="00D2554D" w:rsidRPr="00242020" w:rsidTr="00B17F7E">
        <w:trPr>
          <w:trHeight w:val="399"/>
        </w:trPr>
        <w:tc>
          <w:tcPr>
            <w:tcW w:w="8505" w:type="dxa"/>
            <w:shd w:val="pct20" w:color="auto" w:fill="auto"/>
            <w:vAlign w:val="center"/>
          </w:tcPr>
          <w:p w:rsidR="00D2554D" w:rsidRPr="00242020" w:rsidRDefault="00D2554D" w:rsidP="00D2554D">
            <w:pPr>
              <w:ind w:firstLine="0"/>
              <w:jc w:val="center"/>
              <w:rPr>
                <w:b/>
                <w:bCs/>
                <w:sz w:val="20"/>
              </w:rPr>
            </w:pPr>
            <w:r w:rsidRPr="00242020">
              <w:rPr>
                <w:b/>
                <w:sz w:val="20"/>
              </w:rPr>
              <w:t>Назва показника</w:t>
            </w:r>
          </w:p>
        </w:tc>
        <w:tc>
          <w:tcPr>
            <w:tcW w:w="1080" w:type="dxa"/>
            <w:shd w:val="pct20" w:color="auto" w:fill="auto"/>
            <w:noWrap/>
            <w:vAlign w:val="center"/>
          </w:tcPr>
          <w:p w:rsidR="00D2554D" w:rsidRPr="00242020" w:rsidRDefault="00D2554D" w:rsidP="00D2554D">
            <w:pPr>
              <w:ind w:firstLine="0"/>
              <w:jc w:val="center"/>
              <w:rPr>
                <w:b/>
                <w:bCs/>
                <w:sz w:val="20"/>
              </w:rPr>
            </w:pPr>
            <w:r w:rsidRPr="00242020">
              <w:rPr>
                <w:b/>
                <w:sz w:val="20"/>
              </w:rPr>
              <w:t>Сума</w:t>
            </w:r>
          </w:p>
        </w:tc>
      </w:tr>
      <w:tr w:rsidR="00D2554D" w:rsidRPr="00242020" w:rsidTr="00B17F7E">
        <w:trPr>
          <w:trHeight w:val="179"/>
        </w:trPr>
        <w:tc>
          <w:tcPr>
            <w:tcW w:w="8505" w:type="dxa"/>
            <w:shd w:val="pct5" w:color="auto" w:fill="auto"/>
            <w:vAlign w:val="center"/>
          </w:tcPr>
          <w:p w:rsidR="00D2554D" w:rsidRPr="00242020" w:rsidRDefault="00D2554D" w:rsidP="00D2554D">
            <w:pPr>
              <w:ind w:firstLine="0"/>
              <w:jc w:val="center"/>
              <w:rPr>
                <w:b/>
                <w:bCs/>
                <w:sz w:val="20"/>
              </w:rPr>
            </w:pPr>
            <w:r w:rsidRPr="00242020">
              <w:rPr>
                <w:b/>
                <w:sz w:val="20"/>
              </w:rPr>
              <w:t>1</w:t>
            </w:r>
          </w:p>
        </w:tc>
        <w:tc>
          <w:tcPr>
            <w:tcW w:w="1080" w:type="dxa"/>
            <w:shd w:val="pct5" w:color="auto" w:fill="auto"/>
            <w:noWrap/>
            <w:vAlign w:val="center"/>
          </w:tcPr>
          <w:p w:rsidR="00D2554D" w:rsidRPr="00242020" w:rsidRDefault="00D2554D" w:rsidP="00D2554D">
            <w:pPr>
              <w:ind w:firstLine="0"/>
              <w:jc w:val="center"/>
              <w:rPr>
                <w:b/>
                <w:bCs/>
                <w:sz w:val="20"/>
              </w:rPr>
            </w:pPr>
            <w:r w:rsidRPr="00242020">
              <w:rPr>
                <w:b/>
                <w:sz w:val="20"/>
              </w:rPr>
              <w:t>2</w:t>
            </w:r>
          </w:p>
        </w:tc>
      </w:tr>
      <w:tr w:rsidR="00D2554D" w:rsidRPr="00242020" w:rsidTr="00B17F7E">
        <w:trPr>
          <w:trHeight w:val="179"/>
        </w:trPr>
        <w:tc>
          <w:tcPr>
            <w:tcW w:w="8505" w:type="dxa"/>
            <w:shd w:val="pct20" w:color="auto" w:fill="auto"/>
            <w:vAlign w:val="center"/>
          </w:tcPr>
          <w:p w:rsidR="00D2554D" w:rsidRPr="00242020" w:rsidRDefault="00D2554D" w:rsidP="00D2554D">
            <w:pPr>
              <w:ind w:firstLine="0"/>
              <w:rPr>
                <w:b/>
                <w:bCs/>
                <w:sz w:val="20"/>
              </w:rPr>
            </w:pPr>
            <w:r w:rsidRPr="00242020">
              <w:rPr>
                <w:b/>
                <w:sz w:val="20"/>
              </w:rPr>
              <w:t>І. ЗАЛИШОК КОШТІВ НА ПОЧАТОК ЗВІТНОГО ПЕРІОДУ</w:t>
            </w:r>
          </w:p>
        </w:tc>
        <w:tc>
          <w:tcPr>
            <w:tcW w:w="1080" w:type="dxa"/>
            <w:shd w:val="pct20" w:color="auto" w:fill="auto"/>
            <w:noWrap/>
            <w:vAlign w:val="center"/>
          </w:tcPr>
          <w:p w:rsidR="00D2554D" w:rsidRPr="00242020" w:rsidRDefault="00D2554D" w:rsidP="00D2554D">
            <w:pPr>
              <w:ind w:firstLine="0"/>
              <w:jc w:val="right"/>
              <w:rPr>
                <w:b/>
                <w:bCs/>
                <w:sz w:val="20"/>
              </w:rPr>
            </w:pPr>
            <w:r w:rsidRPr="00242020">
              <w:rPr>
                <w:b/>
                <w:sz w:val="20"/>
              </w:rPr>
              <w:t>1 816,5</w:t>
            </w:r>
          </w:p>
        </w:tc>
      </w:tr>
      <w:tr w:rsidR="00D2554D" w:rsidRPr="00242020" w:rsidTr="00B17F7E">
        <w:trPr>
          <w:trHeight w:val="179"/>
        </w:trPr>
        <w:tc>
          <w:tcPr>
            <w:tcW w:w="8505" w:type="dxa"/>
            <w:shd w:val="pct5" w:color="auto" w:fill="auto"/>
            <w:vAlign w:val="center"/>
          </w:tcPr>
          <w:p w:rsidR="00D2554D" w:rsidRPr="00242020" w:rsidRDefault="00D2554D" w:rsidP="00D2554D">
            <w:pPr>
              <w:ind w:firstLine="0"/>
              <w:rPr>
                <w:bCs/>
                <w:sz w:val="20"/>
              </w:rPr>
            </w:pPr>
            <w:r w:rsidRPr="00242020">
              <w:rPr>
                <w:sz w:val="20"/>
              </w:rPr>
              <w:t>у тому числі: від приватизації державного майна та надходжень, безпосередньо пов’язаних з процесом приватизації</w:t>
            </w:r>
          </w:p>
        </w:tc>
        <w:tc>
          <w:tcPr>
            <w:tcW w:w="1080" w:type="dxa"/>
            <w:shd w:val="pct5" w:color="auto" w:fill="auto"/>
            <w:noWrap/>
            <w:vAlign w:val="bottom"/>
          </w:tcPr>
          <w:p w:rsidR="00D2554D" w:rsidRPr="00242020" w:rsidRDefault="00D2554D" w:rsidP="00D2554D">
            <w:pPr>
              <w:ind w:firstLine="0"/>
              <w:jc w:val="right"/>
              <w:rPr>
                <w:bCs/>
                <w:sz w:val="20"/>
              </w:rPr>
            </w:pPr>
            <w:r w:rsidRPr="00242020">
              <w:rPr>
                <w:sz w:val="20"/>
              </w:rPr>
              <w:t>1 513,2</w:t>
            </w:r>
          </w:p>
        </w:tc>
      </w:tr>
      <w:tr w:rsidR="00D2554D" w:rsidRPr="00242020" w:rsidTr="00B17F7E">
        <w:trPr>
          <w:trHeight w:val="179"/>
        </w:trPr>
        <w:tc>
          <w:tcPr>
            <w:tcW w:w="8505" w:type="dxa"/>
            <w:shd w:val="pct20" w:color="auto" w:fill="auto"/>
            <w:vAlign w:val="center"/>
          </w:tcPr>
          <w:p w:rsidR="00D2554D" w:rsidRPr="00242020" w:rsidRDefault="00D2554D" w:rsidP="00D2554D">
            <w:pPr>
              <w:ind w:left="251" w:firstLine="0"/>
              <w:rPr>
                <w:sz w:val="20"/>
              </w:rPr>
            </w:pPr>
            <w:r w:rsidRPr="00242020">
              <w:rPr>
                <w:sz w:val="20"/>
              </w:rPr>
              <w:t>- податок на додану вартість</w:t>
            </w:r>
          </w:p>
        </w:tc>
        <w:tc>
          <w:tcPr>
            <w:tcW w:w="1080" w:type="dxa"/>
            <w:shd w:val="pct20" w:color="auto" w:fill="auto"/>
            <w:noWrap/>
            <w:vAlign w:val="center"/>
          </w:tcPr>
          <w:p w:rsidR="00D2554D" w:rsidRPr="00242020" w:rsidRDefault="00D2554D" w:rsidP="00D2554D">
            <w:pPr>
              <w:ind w:firstLine="0"/>
              <w:jc w:val="right"/>
              <w:rPr>
                <w:bCs/>
                <w:sz w:val="20"/>
              </w:rPr>
            </w:pPr>
            <w:r w:rsidRPr="00242020">
              <w:rPr>
                <w:sz w:val="20"/>
              </w:rPr>
              <w:t>302,7</w:t>
            </w:r>
          </w:p>
        </w:tc>
      </w:tr>
      <w:tr w:rsidR="00D2554D" w:rsidRPr="00242020" w:rsidTr="00B17F7E">
        <w:trPr>
          <w:trHeight w:val="179"/>
        </w:trPr>
        <w:tc>
          <w:tcPr>
            <w:tcW w:w="8505" w:type="dxa"/>
            <w:shd w:val="pct5" w:color="auto" w:fill="auto"/>
            <w:vAlign w:val="center"/>
          </w:tcPr>
          <w:p w:rsidR="00D2554D" w:rsidRPr="00242020" w:rsidRDefault="00D2554D" w:rsidP="00D2554D">
            <w:pPr>
              <w:ind w:left="251" w:firstLine="0"/>
              <w:rPr>
                <w:sz w:val="20"/>
              </w:rPr>
            </w:pPr>
            <w:r w:rsidRPr="00242020">
              <w:rPr>
                <w:sz w:val="20"/>
              </w:rPr>
              <w:t>- від інших надходжень</w:t>
            </w:r>
          </w:p>
        </w:tc>
        <w:tc>
          <w:tcPr>
            <w:tcW w:w="1080" w:type="dxa"/>
            <w:shd w:val="pct5" w:color="auto" w:fill="auto"/>
            <w:noWrap/>
            <w:vAlign w:val="center"/>
          </w:tcPr>
          <w:p w:rsidR="00D2554D" w:rsidRPr="00242020" w:rsidRDefault="00D2554D" w:rsidP="00D2554D">
            <w:pPr>
              <w:ind w:firstLine="0"/>
              <w:jc w:val="right"/>
              <w:rPr>
                <w:bCs/>
                <w:sz w:val="20"/>
              </w:rPr>
            </w:pPr>
            <w:r w:rsidRPr="00242020">
              <w:rPr>
                <w:sz w:val="20"/>
              </w:rPr>
              <w:t>0,6</w:t>
            </w:r>
          </w:p>
        </w:tc>
      </w:tr>
      <w:tr w:rsidR="00D2554D" w:rsidRPr="00242020" w:rsidTr="00B17F7E">
        <w:trPr>
          <w:trHeight w:val="179"/>
        </w:trPr>
        <w:tc>
          <w:tcPr>
            <w:tcW w:w="8505" w:type="dxa"/>
            <w:tcBorders>
              <w:bottom w:val="single" w:sz="4" w:space="0" w:color="auto"/>
            </w:tcBorders>
            <w:shd w:val="pct20" w:color="auto" w:fill="auto"/>
            <w:vAlign w:val="center"/>
          </w:tcPr>
          <w:p w:rsidR="00D2554D" w:rsidRPr="00242020" w:rsidRDefault="00D2554D" w:rsidP="00D2554D">
            <w:pPr>
              <w:ind w:left="251" w:firstLine="0"/>
              <w:rPr>
                <w:sz w:val="20"/>
              </w:rPr>
            </w:pPr>
            <w:r w:rsidRPr="00242020">
              <w:rPr>
                <w:sz w:val="20"/>
              </w:rPr>
              <w:t>- від продажу земельних ділянок несільськогосподарського призначення, що перебувають у державній власності, на яких розташовані об’єкти, що підлягають приватизації (33010300)</w:t>
            </w:r>
          </w:p>
        </w:tc>
        <w:tc>
          <w:tcPr>
            <w:tcW w:w="1080" w:type="dxa"/>
            <w:tcBorders>
              <w:bottom w:val="single" w:sz="4" w:space="0" w:color="auto"/>
            </w:tcBorders>
            <w:shd w:val="pct20" w:color="auto" w:fill="auto"/>
            <w:noWrap/>
            <w:vAlign w:val="bottom"/>
          </w:tcPr>
          <w:p w:rsidR="00D2554D" w:rsidRPr="00242020" w:rsidRDefault="00D2554D" w:rsidP="00D2554D">
            <w:pPr>
              <w:ind w:firstLine="0"/>
              <w:jc w:val="right"/>
              <w:rPr>
                <w:bCs/>
                <w:sz w:val="20"/>
              </w:rPr>
            </w:pPr>
            <w:r w:rsidRPr="00242020">
              <w:rPr>
                <w:sz w:val="20"/>
              </w:rPr>
              <w:t>0,0</w:t>
            </w:r>
          </w:p>
        </w:tc>
      </w:tr>
      <w:tr w:rsidR="00D2554D" w:rsidRPr="00242020" w:rsidTr="00B17F7E">
        <w:trPr>
          <w:trHeight w:val="209"/>
        </w:trPr>
        <w:tc>
          <w:tcPr>
            <w:tcW w:w="8505" w:type="dxa"/>
            <w:tcBorders>
              <w:bottom w:val="single" w:sz="4" w:space="0" w:color="auto"/>
            </w:tcBorders>
            <w:shd w:val="pct5" w:color="auto" w:fill="auto"/>
            <w:vAlign w:val="bottom"/>
          </w:tcPr>
          <w:p w:rsidR="00D2554D" w:rsidRPr="00242020" w:rsidRDefault="00D2554D" w:rsidP="00D2554D">
            <w:pPr>
              <w:ind w:firstLine="0"/>
              <w:rPr>
                <w:sz w:val="20"/>
              </w:rPr>
            </w:pPr>
            <w:r w:rsidRPr="00242020">
              <w:rPr>
                <w:b/>
                <w:sz w:val="20"/>
              </w:rPr>
              <w:t>ІІ. НАДІЙШЛО КОШТІВ – УСЬОГО</w:t>
            </w:r>
            <w:r w:rsidRPr="00242020">
              <w:rPr>
                <w:sz w:val="20"/>
              </w:rPr>
              <w:t> </w:t>
            </w:r>
          </w:p>
        </w:tc>
        <w:tc>
          <w:tcPr>
            <w:tcW w:w="1080" w:type="dxa"/>
            <w:tcBorders>
              <w:bottom w:val="single" w:sz="4" w:space="0" w:color="auto"/>
            </w:tcBorders>
            <w:shd w:val="pct5" w:color="auto" w:fill="auto"/>
            <w:noWrap/>
            <w:vAlign w:val="center"/>
          </w:tcPr>
          <w:p w:rsidR="00D2554D" w:rsidRPr="00242020" w:rsidRDefault="00D2554D" w:rsidP="00D2554D">
            <w:pPr>
              <w:ind w:firstLine="0"/>
              <w:jc w:val="right"/>
              <w:rPr>
                <w:b/>
                <w:bCs/>
                <w:sz w:val="20"/>
              </w:rPr>
            </w:pPr>
            <w:r w:rsidRPr="00242020">
              <w:rPr>
                <w:b/>
                <w:sz w:val="20"/>
              </w:rPr>
              <w:t>227 573,6</w:t>
            </w:r>
          </w:p>
        </w:tc>
      </w:tr>
      <w:tr w:rsidR="00D2554D" w:rsidRPr="00242020" w:rsidTr="00B17F7E">
        <w:trPr>
          <w:trHeight w:val="225"/>
        </w:trPr>
        <w:tc>
          <w:tcPr>
            <w:tcW w:w="8505" w:type="dxa"/>
            <w:shd w:val="pct20" w:color="auto" w:fill="auto"/>
            <w:vAlign w:val="bottom"/>
          </w:tcPr>
          <w:p w:rsidR="00D2554D" w:rsidRPr="00242020" w:rsidRDefault="00D2554D" w:rsidP="00D2554D">
            <w:pPr>
              <w:ind w:firstLine="0"/>
              <w:rPr>
                <w:b/>
                <w:bCs/>
                <w:sz w:val="20"/>
              </w:rPr>
            </w:pPr>
            <w:r w:rsidRPr="00242020">
              <w:rPr>
                <w:b/>
                <w:sz w:val="20"/>
              </w:rPr>
              <w:t>1. Від приватизації державного майна (з урахуванням податку на додану вартість), всього</w:t>
            </w:r>
          </w:p>
        </w:tc>
        <w:tc>
          <w:tcPr>
            <w:tcW w:w="1080" w:type="dxa"/>
            <w:shd w:val="pct20" w:color="auto" w:fill="auto"/>
            <w:noWrap/>
            <w:vAlign w:val="bottom"/>
          </w:tcPr>
          <w:p w:rsidR="00D2554D" w:rsidRPr="00242020" w:rsidRDefault="00D2554D" w:rsidP="00D2554D">
            <w:pPr>
              <w:ind w:firstLine="0"/>
              <w:jc w:val="right"/>
              <w:rPr>
                <w:b/>
                <w:bCs/>
                <w:sz w:val="20"/>
              </w:rPr>
            </w:pPr>
            <w:r w:rsidRPr="00242020">
              <w:rPr>
                <w:b/>
                <w:sz w:val="20"/>
              </w:rPr>
              <w:t>220 569,6</w:t>
            </w:r>
          </w:p>
        </w:tc>
      </w:tr>
      <w:tr w:rsidR="00D2554D" w:rsidRPr="00242020" w:rsidTr="00B17F7E">
        <w:trPr>
          <w:trHeight w:val="330"/>
        </w:trPr>
        <w:tc>
          <w:tcPr>
            <w:tcW w:w="8505" w:type="dxa"/>
            <w:shd w:val="pct5" w:color="auto" w:fill="auto"/>
            <w:vAlign w:val="bottom"/>
          </w:tcPr>
          <w:p w:rsidR="00D2554D" w:rsidRPr="00242020" w:rsidRDefault="00D2554D" w:rsidP="00D2554D">
            <w:pPr>
              <w:ind w:left="534" w:firstLine="0"/>
              <w:rPr>
                <w:sz w:val="20"/>
              </w:rPr>
            </w:pPr>
            <w:r w:rsidRPr="00242020">
              <w:rPr>
                <w:sz w:val="20"/>
              </w:rPr>
              <w:t>у тому числі:</w:t>
            </w:r>
          </w:p>
          <w:p w:rsidR="00D2554D" w:rsidRPr="00242020" w:rsidRDefault="00D2554D" w:rsidP="00D2554D">
            <w:pPr>
              <w:ind w:left="251" w:firstLine="0"/>
              <w:rPr>
                <w:sz w:val="20"/>
              </w:rPr>
            </w:pPr>
            <w:r w:rsidRPr="00242020">
              <w:rPr>
                <w:sz w:val="20"/>
              </w:rPr>
              <w:t>- сума податку на додану вартість</w:t>
            </w:r>
          </w:p>
        </w:tc>
        <w:tc>
          <w:tcPr>
            <w:tcW w:w="1080" w:type="dxa"/>
            <w:shd w:val="pct5" w:color="auto" w:fill="auto"/>
            <w:vAlign w:val="bottom"/>
          </w:tcPr>
          <w:p w:rsidR="00D2554D" w:rsidRPr="00242020" w:rsidRDefault="00D2554D" w:rsidP="00D2554D">
            <w:pPr>
              <w:ind w:firstLine="0"/>
              <w:jc w:val="right"/>
              <w:rPr>
                <w:bCs/>
                <w:sz w:val="20"/>
              </w:rPr>
            </w:pPr>
            <w:r w:rsidRPr="00242020">
              <w:rPr>
                <w:sz w:val="20"/>
              </w:rPr>
              <w:t>34 898,6</w:t>
            </w:r>
          </w:p>
        </w:tc>
      </w:tr>
      <w:tr w:rsidR="00D2554D" w:rsidRPr="00242020" w:rsidTr="00B17F7E">
        <w:trPr>
          <w:trHeight w:val="225"/>
        </w:trPr>
        <w:tc>
          <w:tcPr>
            <w:tcW w:w="8505" w:type="dxa"/>
            <w:shd w:val="pct20" w:color="auto" w:fill="auto"/>
            <w:vAlign w:val="bottom"/>
          </w:tcPr>
          <w:p w:rsidR="00D2554D" w:rsidRPr="00242020" w:rsidRDefault="00D2554D" w:rsidP="00D2554D">
            <w:pPr>
              <w:ind w:left="251" w:firstLine="0"/>
              <w:rPr>
                <w:sz w:val="20"/>
              </w:rPr>
            </w:pPr>
            <w:r w:rsidRPr="00242020">
              <w:rPr>
                <w:sz w:val="20"/>
              </w:rPr>
              <w:t>- від приватизації державного майна (крім об’єктів, для яких передбачено окремий розподіл коштів) (501000)</w:t>
            </w:r>
          </w:p>
        </w:tc>
        <w:tc>
          <w:tcPr>
            <w:tcW w:w="1080" w:type="dxa"/>
            <w:shd w:val="pct20" w:color="auto" w:fill="auto"/>
            <w:vAlign w:val="bottom"/>
          </w:tcPr>
          <w:p w:rsidR="00D2554D" w:rsidRPr="00242020" w:rsidRDefault="00D2554D" w:rsidP="00D2554D">
            <w:pPr>
              <w:ind w:firstLine="0"/>
              <w:jc w:val="right"/>
              <w:rPr>
                <w:bCs/>
                <w:sz w:val="20"/>
              </w:rPr>
            </w:pPr>
            <w:r w:rsidRPr="00242020">
              <w:rPr>
                <w:sz w:val="20"/>
              </w:rPr>
              <w:t>185 671,0</w:t>
            </w:r>
          </w:p>
        </w:tc>
      </w:tr>
      <w:tr w:rsidR="00D2554D" w:rsidRPr="00242020" w:rsidTr="00B17F7E">
        <w:trPr>
          <w:trHeight w:val="194"/>
        </w:trPr>
        <w:tc>
          <w:tcPr>
            <w:tcW w:w="8505" w:type="dxa"/>
            <w:shd w:val="pct5" w:color="auto" w:fill="auto"/>
            <w:vAlign w:val="bottom"/>
          </w:tcPr>
          <w:p w:rsidR="00D2554D" w:rsidRPr="00242020" w:rsidRDefault="00D2554D" w:rsidP="00D2554D">
            <w:pPr>
              <w:ind w:firstLine="0"/>
              <w:rPr>
                <w:b/>
                <w:bCs/>
                <w:sz w:val="20"/>
              </w:rPr>
            </w:pPr>
            <w:r w:rsidRPr="00242020">
              <w:rPr>
                <w:b/>
                <w:sz w:val="20"/>
              </w:rPr>
              <w:t>2. Надходження, безпосередньо пов’язані з процесом приватизації (без урахування ПДВ) (501000), всього</w:t>
            </w:r>
          </w:p>
        </w:tc>
        <w:tc>
          <w:tcPr>
            <w:tcW w:w="1080" w:type="dxa"/>
            <w:shd w:val="pct5" w:color="auto" w:fill="auto"/>
            <w:vAlign w:val="bottom"/>
          </w:tcPr>
          <w:p w:rsidR="00D2554D" w:rsidRPr="00242020" w:rsidRDefault="00D2554D" w:rsidP="00D2554D">
            <w:pPr>
              <w:ind w:firstLine="0"/>
              <w:jc w:val="right"/>
              <w:rPr>
                <w:b/>
                <w:bCs/>
                <w:sz w:val="20"/>
              </w:rPr>
            </w:pPr>
            <w:r w:rsidRPr="00242020">
              <w:rPr>
                <w:b/>
                <w:sz w:val="20"/>
              </w:rPr>
              <w:t>1 823,5</w:t>
            </w:r>
          </w:p>
        </w:tc>
      </w:tr>
      <w:tr w:rsidR="00D2554D" w:rsidRPr="00242020" w:rsidTr="00B17F7E">
        <w:trPr>
          <w:trHeight w:val="165"/>
        </w:trPr>
        <w:tc>
          <w:tcPr>
            <w:tcW w:w="8505" w:type="dxa"/>
            <w:shd w:val="pct20" w:color="auto" w:fill="auto"/>
            <w:vAlign w:val="bottom"/>
          </w:tcPr>
          <w:p w:rsidR="00D2554D" w:rsidRPr="00242020" w:rsidRDefault="00D2554D" w:rsidP="00D2554D">
            <w:pPr>
              <w:ind w:firstLine="0"/>
              <w:rPr>
                <w:sz w:val="20"/>
              </w:rPr>
            </w:pPr>
            <w:r w:rsidRPr="00242020">
              <w:rPr>
                <w:sz w:val="20"/>
              </w:rPr>
              <w:t>у тому числі:</w:t>
            </w:r>
          </w:p>
          <w:p w:rsidR="00D2554D" w:rsidRPr="00242020" w:rsidRDefault="00D2554D" w:rsidP="00D2554D">
            <w:pPr>
              <w:ind w:left="251" w:firstLine="0"/>
              <w:rPr>
                <w:sz w:val="20"/>
              </w:rPr>
            </w:pPr>
            <w:r w:rsidRPr="00242020">
              <w:rPr>
                <w:sz w:val="20"/>
              </w:rPr>
              <w:t>- реєстраційний збір</w:t>
            </w:r>
          </w:p>
        </w:tc>
        <w:tc>
          <w:tcPr>
            <w:tcW w:w="1080" w:type="dxa"/>
            <w:shd w:val="pct20" w:color="auto" w:fill="auto"/>
            <w:noWrap/>
            <w:vAlign w:val="bottom"/>
          </w:tcPr>
          <w:p w:rsidR="00D2554D" w:rsidRPr="00242020" w:rsidRDefault="00D2554D" w:rsidP="00D2554D">
            <w:pPr>
              <w:ind w:firstLine="0"/>
              <w:jc w:val="right"/>
              <w:rPr>
                <w:bCs/>
                <w:sz w:val="20"/>
                <w:highlight w:val="yellow"/>
              </w:rPr>
            </w:pPr>
            <w:r w:rsidRPr="00242020">
              <w:rPr>
                <w:sz w:val="20"/>
              </w:rPr>
              <w:t>5,9</w:t>
            </w:r>
          </w:p>
        </w:tc>
      </w:tr>
      <w:tr w:rsidR="00D2554D" w:rsidRPr="00242020" w:rsidTr="00B17F7E">
        <w:trPr>
          <w:trHeight w:val="225"/>
        </w:trPr>
        <w:tc>
          <w:tcPr>
            <w:tcW w:w="8505" w:type="dxa"/>
            <w:shd w:val="pct5" w:color="auto" w:fill="auto"/>
            <w:vAlign w:val="bottom"/>
          </w:tcPr>
          <w:p w:rsidR="00D2554D" w:rsidRPr="00242020" w:rsidRDefault="00D2554D" w:rsidP="00D2554D">
            <w:pPr>
              <w:ind w:left="251" w:firstLine="0"/>
              <w:rPr>
                <w:sz w:val="20"/>
              </w:rPr>
            </w:pPr>
            <w:r w:rsidRPr="00242020">
              <w:rPr>
                <w:sz w:val="20"/>
              </w:rPr>
              <w:t>- штрафи і пені за невиконання умов договорів купівлі-продажу</w:t>
            </w:r>
          </w:p>
        </w:tc>
        <w:tc>
          <w:tcPr>
            <w:tcW w:w="1080" w:type="dxa"/>
            <w:shd w:val="pct5" w:color="auto" w:fill="auto"/>
            <w:noWrap/>
            <w:vAlign w:val="bottom"/>
          </w:tcPr>
          <w:p w:rsidR="00D2554D" w:rsidRPr="00242020" w:rsidRDefault="00D2554D" w:rsidP="00D2554D">
            <w:pPr>
              <w:ind w:firstLine="0"/>
              <w:jc w:val="right"/>
              <w:rPr>
                <w:sz w:val="20"/>
                <w:highlight w:val="yellow"/>
              </w:rPr>
            </w:pPr>
            <w:r w:rsidRPr="00242020">
              <w:rPr>
                <w:sz w:val="20"/>
              </w:rPr>
              <w:t>82,6</w:t>
            </w:r>
          </w:p>
        </w:tc>
      </w:tr>
      <w:tr w:rsidR="00D2554D" w:rsidRPr="00242020" w:rsidTr="00B17F7E">
        <w:trPr>
          <w:trHeight w:val="261"/>
        </w:trPr>
        <w:tc>
          <w:tcPr>
            <w:tcW w:w="8505" w:type="dxa"/>
            <w:shd w:val="pct20" w:color="auto" w:fill="auto"/>
            <w:vAlign w:val="bottom"/>
          </w:tcPr>
          <w:p w:rsidR="00D2554D" w:rsidRPr="00242020" w:rsidRDefault="00D2554D" w:rsidP="00D2554D">
            <w:pPr>
              <w:ind w:left="251" w:firstLine="0"/>
              <w:rPr>
                <w:sz w:val="20"/>
              </w:rPr>
            </w:pPr>
            <w:r w:rsidRPr="00242020">
              <w:rPr>
                <w:sz w:val="20"/>
              </w:rPr>
              <w:t>- штрафи і пені за порушення строків розрахунків за об’єкти приватизації</w:t>
            </w:r>
          </w:p>
        </w:tc>
        <w:tc>
          <w:tcPr>
            <w:tcW w:w="1080" w:type="dxa"/>
            <w:shd w:val="pct20" w:color="auto" w:fill="auto"/>
            <w:noWrap/>
            <w:vAlign w:val="bottom"/>
          </w:tcPr>
          <w:p w:rsidR="00D2554D" w:rsidRPr="00242020" w:rsidRDefault="00D2554D" w:rsidP="00D2554D">
            <w:pPr>
              <w:ind w:firstLine="0"/>
              <w:jc w:val="right"/>
              <w:rPr>
                <w:sz w:val="20"/>
                <w:highlight w:val="yellow"/>
              </w:rPr>
            </w:pPr>
            <w:r w:rsidRPr="00242020">
              <w:rPr>
                <w:sz w:val="20"/>
              </w:rPr>
              <w:t>426,3</w:t>
            </w:r>
          </w:p>
        </w:tc>
      </w:tr>
      <w:tr w:rsidR="00D2554D" w:rsidRPr="00242020" w:rsidTr="00B17F7E">
        <w:trPr>
          <w:trHeight w:val="193"/>
        </w:trPr>
        <w:tc>
          <w:tcPr>
            <w:tcW w:w="8505" w:type="dxa"/>
            <w:shd w:val="pct5" w:color="auto" w:fill="auto"/>
            <w:vAlign w:val="bottom"/>
          </w:tcPr>
          <w:p w:rsidR="00D2554D" w:rsidRPr="00242020" w:rsidRDefault="00D2554D" w:rsidP="00D2554D">
            <w:pPr>
              <w:ind w:left="251" w:firstLine="0"/>
              <w:rPr>
                <w:sz w:val="20"/>
              </w:rPr>
            </w:pPr>
            <w:r w:rsidRPr="00242020">
              <w:rPr>
                <w:sz w:val="20"/>
              </w:rPr>
              <w:t>- інші</w:t>
            </w:r>
          </w:p>
        </w:tc>
        <w:tc>
          <w:tcPr>
            <w:tcW w:w="1080" w:type="dxa"/>
            <w:shd w:val="pct5" w:color="auto" w:fill="auto"/>
            <w:noWrap/>
            <w:vAlign w:val="bottom"/>
          </w:tcPr>
          <w:p w:rsidR="00D2554D" w:rsidRPr="00242020" w:rsidRDefault="00D2554D" w:rsidP="00D2554D">
            <w:pPr>
              <w:ind w:firstLine="0"/>
              <w:jc w:val="right"/>
              <w:rPr>
                <w:sz w:val="20"/>
              </w:rPr>
            </w:pPr>
            <w:r w:rsidRPr="00242020">
              <w:rPr>
                <w:sz w:val="20"/>
              </w:rPr>
              <w:t>1 318,1</w:t>
            </w:r>
          </w:p>
        </w:tc>
      </w:tr>
      <w:tr w:rsidR="00D2554D" w:rsidRPr="00242020" w:rsidTr="00B17F7E">
        <w:trPr>
          <w:trHeight w:val="259"/>
        </w:trPr>
        <w:tc>
          <w:tcPr>
            <w:tcW w:w="8505" w:type="dxa"/>
            <w:shd w:val="pct20" w:color="auto" w:fill="auto"/>
            <w:vAlign w:val="bottom"/>
          </w:tcPr>
          <w:p w:rsidR="00D2554D" w:rsidRPr="00242020" w:rsidRDefault="00D2554D" w:rsidP="00D2554D">
            <w:pPr>
              <w:ind w:firstLine="0"/>
              <w:rPr>
                <w:b/>
                <w:bCs/>
                <w:sz w:val="20"/>
              </w:rPr>
            </w:pPr>
            <w:r w:rsidRPr="00242020">
              <w:rPr>
                <w:b/>
                <w:sz w:val="20"/>
              </w:rPr>
              <w:t>3. ПДВ, нарахований на суму надходжень, безпосередньо пов’язаних з процесом приватизації</w:t>
            </w:r>
          </w:p>
        </w:tc>
        <w:tc>
          <w:tcPr>
            <w:tcW w:w="1080" w:type="dxa"/>
            <w:shd w:val="pct20" w:color="auto" w:fill="auto"/>
            <w:noWrap/>
            <w:vAlign w:val="bottom"/>
          </w:tcPr>
          <w:p w:rsidR="00D2554D" w:rsidRPr="00242020" w:rsidRDefault="00D2554D" w:rsidP="00D2554D">
            <w:pPr>
              <w:ind w:firstLine="0"/>
              <w:jc w:val="right"/>
              <w:rPr>
                <w:b/>
                <w:bCs/>
                <w:sz w:val="20"/>
              </w:rPr>
            </w:pPr>
            <w:r w:rsidRPr="00242020">
              <w:rPr>
                <w:b/>
                <w:sz w:val="20"/>
              </w:rPr>
              <w:t>0,0</w:t>
            </w:r>
          </w:p>
        </w:tc>
      </w:tr>
      <w:tr w:rsidR="00D2554D" w:rsidRPr="00242020" w:rsidTr="00B17F7E">
        <w:trPr>
          <w:trHeight w:val="113"/>
        </w:trPr>
        <w:tc>
          <w:tcPr>
            <w:tcW w:w="8505" w:type="dxa"/>
            <w:shd w:val="pct5" w:color="auto" w:fill="auto"/>
            <w:vAlign w:val="bottom"/>
          </w:tcPr>
          <w:p w:rsidR="00D2554D" w:rsidRPr="00242020" w:rsidRDefault="00D2554D" w:rsidP="00D2554D">
            <w:pPr>
              <w:ind w:firstLine="0"/>
              <w:rPr>
                <w:b/>
                <w:bCs/>
                <w:sz w:val="20"/>
              </w:rPr>
            </w:pPr>
            <w:r w:rsidRPr="00242020">
              <w:rPr>
                <w:b/>
                <w:sz w:val="20"/>
              </w:rPr>
              <w:t>4. Від продажу земельних ділянок, на яких розташовані об’єкти, що підлягають приватизації (33010300) (з урахуванням податку на додану вартість)</w:t>
            </w:r>
          </w:p>
        </w:tc>
        <w:tc>
          <w:tcPr>
            <w:tcW w:w="1080" w:type="dxa"/>
            <w:shd w:val="pct5" w:color="auto" w:fill="auto"/>
            <w:noWrap/>
            <w:vAlign w:val="bottom"/>
          </w:tcPr>
          <w:p w:rsidR="00D2554D" w:rsidRPr="00242020" w:rsidRDefault="00D2554D" w:rsidP="00D2554D">
            <w:pPr>
              <w:ind w:firstLine="0"/>
              <w:jc w:val="right"/>
              <w:rPr>
                <w:b/>
                <w:sz w:val="20"/>
                <w:highlight w:val="yellow"/>
              </w:rPr>
            </w:pPr>
            <w:r w:rsidRPr="00242020">
              <w:rPr>
                <w:b/>
                <w:sz w:val="20"/>
              </w:rPr>
              <w:t>5 134,6</w:t>
            </w:r>
          </w:p>
        </w:tc>
      </w:tr>
      <w:tr w:rsidR="00D2554D" w:rsidRPr="00242020" w:rsidTr="00B17F7E">
        <w:trPr>
          <w:trHeight w:val="165"/>
        </w:trPr>
        <w:tc>
          <w:tcPr>
            <w:tcW w:w="8505" w:type="dxa"/>
            <w:shd w:val="pct20" w:color="auto" w:fill="auto"/>
            <w:vAlign w:val="bottom"/>
          </w:tcPr>
          <w:p w:rsidR="00D2554D" w:rsidRPr="00242020" w:rsidRDefault="00D2554D" w:rsidP="00D2554D">
            <w:pPr>
              <w:ind w:firstLine="0"/>
              <w:rPr>
                <w:sz w:val="20"/>
              </w:rPr>
            </w:pPr>
            <w:r w:rsidRPr="00242020">
              <w:rPr>
                <w:sz w:val="20"/>
              </w:rPr>
              <w:t>у тому числі:</w:t>
            </w:r>
          </w:p>
          <w:p w:rsidR="00D2554D" w:rsidRPr="00242020" w:rsidRDefault="00D2554D" w:rsidP="00D2554D">
            <w:pPr>
              <w:ind w:left="251" w:firstLine="0"/>
              <w:rPr>
                <w:sz w:val="20"/>
              </w:rPr>
            </w:pPr>
            <w:r w:rsidRPr="00242020">
              <w:rPr>
                <w:sz w:val="20"/>
              </w:rPr>
              <w:t>- сума податку на додану вартість</w:t>
            </w:r>
          </w:p>
        </w:tc>
        <w:tc>
          <w:tcPr>
            <w:tcW w:w="1080" w:type="dxa"/>
            <w:shd w:val="pct20" w:color="auto" w:fill="auto"/>
            <w:vAlign w:val="bottom"/>
          </w:tcPr>
          <w:p w:rsidR="00D2554D" w:rsidRPr="00242020" w:rsidRDefault="00D2554D" w:rsidP="00D2554D">
            <w:pPr>
              <w:ind w:firstLine="0"/>
              <w:jc w:val="right"/>
              <w:rPr>
                <w:bCs/>
                <w:sz w:val="20"/>
              </w:rPr>
            </w:pPr>
            <w:r w:rsidRPr="00242020">
              <w:rPr>
                <w:sz w:val="20"/>
              </w:rPr>
              <w:t>855,6</w:t>
            </w:r>
          </w:p>
        </w:tc>
      </w:tr>
      <w:tr w:rsidR="00D2554D" w:rsidRPr="00242020" w:rsidTr="00B17F7E">
        <w:trPr>
          <w:trHeight w:val="277"/>
        </w:trPr>
        <w:tc>
          <w:tcPr>
            <w:tcW w:w="8505" w:type="dxa"/>
            <w:shd w:val="pct5" w:color="auto" w:fill="auto"/>
            <w:vAlign w:val="center"/>
          </w:tcPr>
          <w:p w:rsidR="00D2554D" w:rsidRPr="00242020" w:rsidRDefault="00D2554D" w:rsidP="00D2554D">
            <w:pPr>
              <w:ind w:left="251" w:firstLine="0"/>
              <w:rPr>
                <w:sz w:val="20"/>
              </w:rPr>
            </w:pPr>
            <w:r w:rsidRPr="00242020">
              <w:rPr>
                <w:sz w:val="20"/>
              </w:rPr>
              <w:t>- кошти від продажу земельних ділянок несільськогосподарського призначення, що перебувають у державній власності, на яких розташовано об’єкти, що підлягають приватизації (33010300)</w:t>
            </w:r>
          </w:p>
        </w:tc>
        <w:tc>
          <w:tcPr>
            <w:tcW w:w="1080" w:type="dxa"/>
            <w:shd w:val="pct5" w:color="auto" w:fill="auto"/>
            <w:noWrap/>
            <w:vAlign w:val="bottom"/>
          </w:tcPr>
          <w:p w:rsidR="00D2554D" w:rsidRPr="00242020" w:rsidRDefault="00D2554D" w:rsidP="00D2554D">
            <w:pPr>
              <w:ind w:firstLine="0"/>
              <w:jc w:val="right"/>
              <w:rPr>
                <w:sz w:val="20"/>
              </w:rPr>
            </w:pPr>
            <w:r w:rsidRPr="00242020">
              <w:rPr>
                <w:sz w:val="20"/>
              </w:rPr>
              <w:t>4 279,0</w:t>
            </w:r>
          </w:p>
        </w:tc>
      </w:tr>
      <w:tr w:rsidR="00D2554D" w:rsidRPr="00242020" w:rsidTr="00B17F7E">
        <w:trPr>
          <w:trHeight w:val="138"/>
        </w:trPr>
        <w:tc>
          <w:tcPr>
            <w:tcW w:w="8505" w:type="dxa"/>
            <w:shd w:val="pct20" w:color="auto" w:fill="auto"/>
            <w:vAlign w:val="bottom"/>
          </w:tcPr>
          <w:p w:rsidR="00D2554D" w:rsidRPr="00242020" w:rsidRDefault="00D2554D" w:rsidP="00D2554D">
            <w:pPr>
              <w:ind w:firstLine="0"/>
              <w:rPr>
                <w:b/>
                <w:bCs/>
                <w:sz w:val="20"/>
              </w:rPr>
            </w:pPr>
            <w:r w:rsidRPr="00242020">
              <w:rPr>
                <w:b/>
                <w:sz w:val="20"/>
              </w:rPr>
              <w:t>5. Інші надходження</w:t>
            </w:r>
          </w:p>
        </w:tc>
        <w:tc>
          <w:tcPr>
            <w:tcW w:w="1080" w:type="dxa"/>
            <w:shd w:val="pct20" w:color="auto" w:fill="auto"/>
            <w:noWrap/>
            <w:vAlign w:val="center"/>
          </w:tcPr>
          <w:p w:rsidR="00D2554D" w:rsidRPr="00242020" w:rsidRDefault="00D2554D" w:rsidP="00D2554D">
            <w:pPr>
              <w:ind w:firstLine="0"/>
              <w:jc w:val="right"/>
              <w:rPr>
                <w:b/>
                <w:bCs/>
                <w:sz w:val="20"/>
              </w:rPr>
            </w:pPr>
            <w:r w:rsidRPr="00242020">
              <w:rPr>
                <w:b/>
                <w:sz w:val="20"/>
              </w:rPr>
              <w:t>36,5</w:t>
            </w:r>
          </w:p>
        </w:tc>
      </w:tr>
      <w:tr w:rsidR="00D2554D" w:rsidRPr="00242020" w:rsidTr="00B17F7E">
        <w:trPr>
          <w:trHeight w:val="229"/>
        </w:trPr>
        <w:tc>
          <w:tcPr>
            <w:tcW w:w="8505" w:type="dxa"/>
            <w:shd w:val="pct5" w:color="auto" w:fill="auto"/>
            <w:vAlign w:val="bottom"/>
          </w:tcPr>
          <w:p w:rsidR="00D2554D" w:rsidRPr="00242020" w:rsidRDefault="00D2554D" w:rsidP="00D2554D">
            <w:pPr>
              <w:ind w:firstLine="0"/>
              <w:rPr>
                <w:b/>
                <w:bCs/>
                <w:sz w:val="20"/>
              </w:rPr>
            </w:pPr>
            <w:r w:rsidRPr="00242020">
              <w:rPr>
                <w:b/>
                <w:sz w:val="20"/>
              </w:rPr>
              <w:t>ІІІ. ПЕРЕРАХОВАНО КОШТІВ, УСЬОГО</w:t>
            </w:r>
          </w:p>
        </w:tc>
        <w:tc>
          <w:tcPr>
            <w:tcW w:w="1080" w:type="dxa"/>
            <w:shd w:val="pct5" w:color="auto" w:fill="auto"/>
            <w:noWrap/>
            <w:vAlign w:val="bottom"/>
          </w:tcPr>
          <w:p w:rsidR="00D2554D" w:rsidRPr="00242020" w:rsidRDefault="00D2554D" w:rsidP="00D2554D">
            <w:pPr>
              <w:ind w:firstLine="0"/>
              <w:jc w:val="right"/>
              <w:rPr>
                <w:b/>
                <w:sz w:val="20"/>
              </w:rPr>
            </w:pPr>
            <w:r w:rsidRPr="00242020">
              <w:rPr>
                <w:b/>
                <w:sz w:val="20"/>
              </w:rPr>
              <w:t>229 343,4</w:t>
            </w:r>
          </w:p>
        </w:tc>
      </w:tr>
      <w:tr w:rsidR="00D2554D" w:rsidRPr="00242020" w:rsidTr="00B17F7E">
        <w:trPr>
          <w:trHeight w:val="167"/>
        </w:trPr>
        <w:tc>
          <w:tcPr>
            <w:tcW w:w="8505" w:type="dxa"/>
            <w:shd w:val="pct20" w:color="auto" w:fill="auto"/>
            <w:vAlign w:val="bottom"/>
          </w:tcPr>
          <w:p w:rsidR="00D2554D" w:rsidRPr="00242020" w:rsidRDefault="00D2554D" w:rsidP="00D2554D">
            <w:pPr>
              <w:ind w:firstLine="0"/>
              <w:rPr>
                <w:b/>
                <w:bCs/>
                <w:sz w:val="20"/>
              </w:rPr>
            </w:pPr>
            <w:r w:rsidRPr="00242020">
              <w:rPr>
                <w:sz w:val="20"/>
              </w:rPr>
              <w:t>у тому числі:</w:t>
            </w:r>
          </w:p>
          <w:p w:rsidR="00D2554D" w:rsidRPr="00242020" w:rsidRDefault="00D2554D" w:rsidP="00D2554D">
            <w:pPr>
              <w:ind w:left="27" w:firstLine="0"/>
              <w:rPr>
                <w:b/>
                <w:bCs/>
                <w:sz w:val="20"/>
              </w:rPr>
            </w:pPr>
            <w:r w:rsidRPr="00242020">
              <w:rPr>
                <w:b/>
                <w:sz w:val="20"/>
              </w:rPr>
              <w:t>1. Перераховано на фінансування загального фонду державного бюджету, всього</w:t>
            </w:r>
          </w:p>
        </w:tc>
        <w:tc>
          <w:tcPr>
            <w:tcW w:w="1080" w:type="dxa"/>
            <w:shd w:val="pct20" w:color="auto" w:fill="auto"/>
            <w:noWrap/>
            <w:vAlign w:val="bottom"/>
          </w:tcPr>
          <w:p w:rsidR="00D2554D" w:rsidRPr="00242020" w:rsidRDefault="00D2554D" w:rsidP="00D2554D">
            <w:pPr>
              <w:ind w:firstLine="0"/>
              <w:jc w:val="right"/>
              <w:rPr>
                <w:b/>
                <w:bCs/>
                <w:sz w:val="20"/>
              </w:rPr>
            </w:pPr>
            <w:r w:rsidRPr="00242020">
              <w:rPr>
                <w:b/>
                <w:sz w:val="20"/>
              </w:rPr>
              <w:t>188 918,9</w:t>
            </w:r>
          </w:p>
        </w:tc>
      </w:tr>
      <w:tr w:rsidR="00D2554D" w:rsidRPr="00242020" w:rsidTr="00B17F7E">
        <w:trPr>
          <w:trHeight w:val="141"/>
        </w:trPr>
        <w:tc>
          <w:tcPr>
            <w:tcW w:w="8505" w:type="dxa"/>
            <w:shd w:val="pct5" w:color="auto" w:fill="auto"/>
            <w:vAlign w:val="center"/>
          </w:tcPr>
          <w:p w:rsidR="00D2554D" w:rsidRPr="00242020" w:rsidRDefault="00D2554D" w:rsidP="00D2554D">
            <w:pPr>
              <w:ind w:left="251" w:firstLine="0"/>
              <w:rPr>
                <w:sz w:val="20"/>
              </w:rPr>
            </w:pPr>
            <w:r w:rsidRPr="00242020">
              <w:rPr>
                <w:sz w:val="20"/>
              </w:rPr>
              <w:t>- від приватизації державного майна та інших надходжень, безпосередньо пов’язаних з процесом приватизації (501000)</w:t>
            </w:r>
          </w:p>
        </w:tc>
        <w:tc>
          <w:tcPr>
            <w:tcW w:w="1080" w:type="dxa"/>
            <w:shd w:val="pct5" w:color="auto" w:fill="auto"/>
            <w:noWrap/>
            <w:vAlign w:val="bottom"/>
          </w:tcPr>
          <w:p w:rsidR="00D2554D" w:rsidRPr="00242020" w:rsidRDefault="00D2554D" w:rsidP="00D2554D">
            <w:pPr>
              <w:ind w:firstLine="0"/>
              <w:jc w:val="right"/>
              <w:rPr>
                <w:bCs/>
                <w:sz w:val="20"/>
              </w:rPr>
            </w:pPr>
            <w:r w:rsidRPr="00242020">
              <w:rPr>
                <w:sz w:val="20"/>
              </w:rPr>
              <w:t>188 918,9</w:t>
            </w:r>
          </w:p>
        </w:tc>
      </w:tr>
      <w:tr w:rsidR="00D2554D" w:rsidRPr="00242020" w:rsidTr="00B17F7E">
        <w:trPr>
          <w:trHeight w:val="462"/>
        </w:trPr>
        <w:tc>
          <w:tcPr>
            <w:tcW w:w="8505" w:type="dxa"/>
            <w:shd w:val="pct20" w:color="auto" w:fill="auto"/>
          </w:tcPr>
          <w:p w:rsidR="00D2554D" w:rsidRPr="00242020" w:rsidRDefault="00D2554D" w:rsidP="00D2554D">
            <w:pPr>
              <w:ind w:left="251" w:firstLine="0"/>
              <w:rPr>
                <w:sz w:val="20"/>
              </w:rPr>
            </w:pPr>
            <w:r w:rsidRPr="00242020">
              <w:rPr>
                <w:sz w:val="20"/>
              </w:rPr>
              <w:t>- понадпланові надходження від приватизації державного майна та інших надходжень, безпосередньо пов’язаних з процесом приватизації (505000)</w:t>
            </w:r>
          </w:p>
        </w:tc>
        <w:tc>
          <w:tcPr>
            <w:tcW w:w="1080" w:type="dxa"/>
            <w:shd w:val="pct20" w:color="auto" w:fill="auto"/>
            <w:noWrap/>
            <w:vAlign w:val="bottom"/>
          </w:tcPr>
          <w:p w:rsidR="00D2554D" w:rsidRPr="00242020" w:rsidRDefault="00D2554D" w:rsidP="00D2554D">
            <w:pPr>
              <w:ind w:firstLine="0"/>
              <w:jc w:val="right"/>
              <w:rPr>
                <w:bCs/>
                <w:sz w:val="20"/>
              </w:rPr>
            </w:pPr>
            <w:r w:rsidRPr="00242020">
              <w:rPr>
                <w:sz w:val="20"/>
              </w:rPr>
              <w:t>0,0</w:t>
            </w:r>
          </w:p>
        </w:tc>
      </w:tr>
      <w:tr w:rsidR="00D2554D" w:rsidRPr="00242020" w:rsidTr="00B17F7E">
        <w:trPr>
          <w:trHeight w:val="329"/>
        </w:trPr>
        <w:tc>
          <w:tcPr>
            <w:tcW w:w="8505" w:type="dxa"/>
            <w:shd w:val="pct5" w:color="auto" w:fill="auto"/>
            <w:vAlign w:val="bottom"/>
          </w:tcPr>
          <w:p w:rsidR="00D2554D" w:rsidRPr="00242020" w:rsidRDefault="00D2554D" w:rsidP="00D2554D">
            <w:pPr>
              <w:ind w:left="27" w:firstLine="0"/>
              <w:rPr>
                <w:b/>
                <w:sz w:val="20"/>
              </w:rPr>
            </w:pPr>
            <w:r w:rsidRPr="00242020">
              <w:rPr>
                <w:b/>
                <w:sz w:val="20"/>
              </w:rPr>
              <w:t>2. Перераховано до загального фонду державного бюджету (доходи) кошти від продажу земельних ділянок несільськогосподарського призначення, що перебувають у державній власності, на яких розташовано об’єкти, що підлягають приватизації (33010300)</w:t>
            </w:r>
          </w:p>
        </w:tc>
        <w:tc>
          <w:tcPr>
            <w:tcW w:w="1080" w:type="dxa"/>
            <w:shd w:val="pct5" w:color="auto" w:fill="auto"/>
            <w:noWrap/>
            <w:vAlign w:val="bottom"/>
          </w:tcPr>
          <w:p w:rsidR="00D2554D" w:rsidRPr="00242020" w:rsidRDefault="00D2554D" w:rsidP="00D2554D">
            <w:pPr>
              <w:ind w:firstLine="0"/>
              <w:jc w:val="right"/>
              <w:rPr>
                <w:b/>
                <w:bCs/>
                <w:sz w:val="20"/>
              </w:rPr>
            </w:pPr>
            <w:r w:rsidRPr="00242020">
              <w:rPr>
                <w:b/>
                <w:sz w:val="20"/>
              </w:rPr>
              <w:t>4 274,2</w:t>
            </w:r>
          </w:p>
        </w:tc>
      </w:tr>
      <w:tr w:rsidR="00D2554D" w:rsidRPr="00242020" w:rsidTr="00B17F7E">
        <w:trPr>
          <w:trHeight w:val="263"/>
        </w:trPr>
        <w:tc>
          <w:tcPr>
            <w:tcW w:w="8505" w:type="dxa"/>
            <w:shd w:val="pct20" w:color="auto" w:fill="auto"/>
            <w:vAlign w:val="center"/>
          </w:tcPr>
          <w:p w:rsidR="00D2554D" w:rsidRPr="00242020" w:rsidRDefault="00D2554D" w:rsidP="00D2554D">
            <w:pPr>
              <w:ind w:firstLine="0"/>
              <w:rPr>
                <w:b/>
                <w:sz w:val="20"/>
              </w:rPr>
            </w:pPr>
            <w:r w:rsidRPr="00242020">
              <w:rPr>
                <w:b/>
                <w:sz w:val="20"/>
              </w:rPr>
              <w:t>3. Перераховано коштів до загального фонду від продажу Державного інформаційного бюлетеня про приватизацію</w:t>
            </w:r>
          </w:p>
        </w:tc>
        <w:tc>
          <w:tcPr>
            <w:tcW w:w="1080" w:type="dxa"/>
            <w:shd w:val="pct20" w:color="auto" w:fill="auto"/>
            <w:noWrap/>
            <w:vAlign w:val="bottom"/>
          </w:tcPr>
          <w:p w:rsidR="00D2554D" w:rsidRPr="00242020" w:rsidRDefault="00D2554D" w:rsidP="00D2554D">
            <w:pPr>
              <w:ind w:firstLine="0"/>
              <w:jc w:val="right"/>
              <w:rPr>
                <w:b/>
                <w:bCs/>
                <w:sz w:val="20"/>
              </w:rPr>
            </w:pPr>
            <w:r w:rsidRPr="00242020">
              <w:rPr>
                <w:b/>
                <w:sz w:val="20"/>
              </w:rPr>
              <w:t>4,1</w:t>
            </w:r>
          </w:p>
        </w:tc>
      </w:tr>
      <w:tr w:rsidR="00D2554D" w:rsidRPr="00242020" w:rsidTr="00B17F7E">
        <w:trPr>
          <w:trHeight w:val="259"/>
        </w:trPr>
        <w:tc>
          <w:tcPr>
            <w:tcW w:w="8505" w:type="dxa"/>
            <w:shd w:val="pct5" w:color="auto" w:fill="auto"/>
            <w:vAlign w:val="center"/>
          </w:tcPr>
          <w:p w:rsidR="00D2554D" w:rsidRPr="00242020" w:rsidRDefault="00D2554D" w:rsidP="00D2554D">
            <w:pPr>
              <w:ind w:firstLine="0"/>
              <w:rPr>
                <w:b/>
                <w:bCs/>
                <w:sz w:val="20"/>
              </w:rPr>
            </w:pPr>
            <w:r w:rsidRPr="00242020">
              <w:rPr>
                <w:b/>
                <w:sz w:val="20"/>
              </w:rPr>
              <w:t>4. Сплачено податок на додану вартість на ціну продажу об’єктів приватизації державного майна та надходжень, безпосередньо пов’язаних з процесом приватизації</w:t>
            </w:r>
          </w:p>
        </w:tc>
        <w:tc>
          <w:tcPr>
            <w:tcW w:w="1080" w:type="dxa"/>
            <w:shd w:val="pct5" w:color="auto" w:fill="auto"/>
            <w:noWrap/>
            <w:vAlign w:val="bottom"/>
          </w:tcPr>
          <w:p w:rsidR="00D2554D" w:rsidRPr="00242020" w:rsidRDefault="00D2554D" w:rsidP="00D2554D">
            <w:pPr>
              <w:ind w:firstLine="0"/>
              <w:jc w:val="right"/>
              <w:rPr>
                <w:b/>
                <w:bCs/>
                <w:sz w:val="20"/>
              </w:rPr>
            </w:pPr>
            <w:r w:rsidRPr="00242020">
              <w:rPr>
                <w:b/>
                <w:sz w:val="20"/>
              </w:rPr>
              <w:t>35 154,0</w:t>
            </w:r>
          </w:p>
        </w:tc>
      </w:tr>
      <w:tr w:rsidR="00D2554D" w:rsidRPr="00242020" w:rsidTr="00B17F7E">
        <w:trPr>
          <w:trHeight w:val="230"/>
        </w:trPr>
        <w:tc>
          <w:tcPr>
            <w:tcW w:w="8505" w:type="dxa"/>
            <w:shd w:val="pct20" w:color="auto" w:fill="auto"/>
            <w:vAlign w:val="center"/>
          </w:tcPr>
          <w:p w:rsidR="00D2554D" w:rsidRPr="00242020" w:rsidRDefault="00D2554D" w:rsidP="00D2554D">
            <w:pPr>
              <w:ind w:firstLine="0"/>
              <w:rPr>
                <w:b/>
                <w:bCs/>
                <w:sz w:val="20"/>
              </w:rPr>
            </w:pPr>
            <w:r w:rsidRPr="00242020">
              <w:rPr>
                <w:b/>
                <w:sz w:val="20"/>
              </w:rPr>
              <w:t>5. Сплачено податок на додану вартість від продажу земельних ділянок, на яких розташовані об’єкти, що підлягають приватизації</w:t>
            </w:r>
          </w:p>
        </w:tc>
        <w:tc>
          <w:tcPr>
            <w:tcW w:w="1080" w:type="dxa"/>
            <w:shd w:val="pct20" w:color="auto" w:fill="auto"/>
            <w:noWrap/>
            <w:vAlign w:val="bottom"/>
          </w:tcPr>
          <w:p w:rsidR="00D2554D" w:rsidRPr="00242020" w:rsidRDefault="00D2554D" w:rsidP="00D2554D">
            <w:pPr>
              <w:ind w:firstLine="0"/>
              <w:jc w:val="right"/>
              <w:rPr>
                <w:b/>
                <w:bCs/>
                <w:sz w:val="20"/>
              </w:rPr>
            </w:pPr>
            <w:r w:rsidRPr="00242020">
              <w:rPr>
                <w:b/>
                <w:sz w:val="20"/>
              </w:rPr>
              <w:t>895,3</w:t>
            </w:r>
          </w:p>
        </w:tc>
      </w:tr>
      <w:tr w:rsidR="00D2554D" w:rsidRPr="00242020" w:rsidTr="00B17F7E">
        <w:trPr>
          <w:trHeight w:val="181"/>
        </w:trPr>
        <w:tc>
          <w:tcPr>
            <w:tcW w:w="8505" w:type="dxa"/>
            <w:shd w:val="pct5" w:color="auto" w:fill="auto"/>
            <w:vAlign w:val="bottom"/>
          </w:tcPr>
          <w:p w:rsidR="00D2554D" w:rsidRPr="00242020" w:rsidRDefault="00D2554D" w:rsidP="00D2554D">
            <w:pPr>
              <w:ind w:firstLine="0"/>
              <w:rPr>
                <w:b/>
                <w:sz w:val="20"/>
              </w:rPr>
            </w:pPr>
            <w:r w:rsidRPr="00242020">
              <w:rPr>
                <w:b/>
                <w:sz w:val="20"/>
              </w:rPr>
              <w:t>6. Примусово списано за рішенням суду</w:t>
            </w:r>
          </w:p>
        </w:tc>
        <w:tc>
          <w:tcPr>
            <w:tcW w:w="1080" w:type="dxa"/>
            <w:shd w:val="pct5" w:color="auto" w:fill="auto"/>
            <w:noWrap/>
            <w:vAlign w:val="center"/>
          </w:tcPr>
          <w:p w:rsidR="00D2554D" w:rsidRPr="00242020" w:rsidRDefault="00D2554D" w:rsidP="00D2554D">
            <w:pPr>
              <w:ind w:firstLine="0"/>
              <w:jc w:val="right"/>
              <w:rPr>
                <w:b/>
                <w:bCs/>
                <w:sz w:val="20"/>
              </w:rPr>
            </w:pPr>
            <w:r w:rsidRPr="00242020">
              <w:rPr>
                <w:b/>
                <w:sz w:val="20"/>
              </w:rPr>
              <w:t>65,0</w:t>
            </w:r>
          </w:p>
        </w:tc>
      </w:tr>
      <w:tr w:rsidR="00D2554D" w:rsidRPr="00242020" w:rsidTr="00B17F7E">
        <w:trPr>
          <w:trHeight w:val="181"/>
        </w:trPr>
        <w:tc>
          <w:tcPr>
            <w:tcW w:w="8505" w:type="dxa"/>
            <w:shd w:val="pct20" w:color="auto" w:fill="auto"/>
            <w:vAlign w:val="center"/>
          </w:tcPr>
          <w:p w:rsidR="00D2554D" w:rsidRPr="00242020" w:rsidRDefault="00D2554D" w:rsidP="00D2554D">
            <w:pPr>
              <w:ind w:firstLine="0"/>
              <w:rPr>
                <w:b/>
                <w:bCs/>
                <w:sz w:val="20"/>
              </w:rPr>
            </w:pPr>
            <w:r w:rsidRPr="00242020">
              <w:rPr>
                <w:b/>
                <w:sz w:val="20"/>
              </w:rPr>
              <w:t>7. Інші надходження, перераховані за призначенням</w:t>
            </w:r>
          </w:p>
        </w:tc>
        <w:tc>
          <w:tcPr>
            <w:tcW w:w="1080" w:type="dxa"/>
            <w:shd w:val="pct20" w:color="auto" w:fill="auto"/>
            <w:noWrap/>
            <w:vAlign w:val="center"/>
          </w:tcPr>
          <w:p w:rsidR="00D2554D" w:rsidRPr="00242020" w:rsidRDefault="00D2554D" w:rsidP="00D2554D">
            <w:pPr>
              <w:ind w:firstLine="0"/>
              <w:jc w:val="right"/>
              <w:rPr>
                <w:b/>
                <w:sz w:val="20"/>
              </w:rPr>
            </w:pPr>
            <w:r w:rsidRPr="00242020">
              <w:rPr>
                <w:b/>
                <w:sz w:val="20"/>
              </w:rPr>
              <w:t>31,9</w:t>
            </w:r>
          </w:p>
        </w:tc>
      </w:tr>
    </w:tbl>
    <w:p w:rsidR="00D2554D" w:rsidRPr="00242020" w:rsidRDefault="00D2554D" w:rsidP="00D2554D">
      <w:pPr>
        <w:ind w:firstLine="0"/>
        <w:rPr>
          <w:highlight w:val="yellow"/>
        </w:rPr>
      </w:pPr>
    </w:p>
    <w:p w:rsidR="00D2554D" w:rsidRPr="00242020" w:rsidRDefault="00D2554D" w:rsidP="00D2554D">
      <w:pPr>
        <w:ind w:firstLine="0"/>
        <w:rPr>
          <w:highlight w:val="yellow"/>
        </w:rPr>
      </w:pPr>
    </w:p>
    <w:p w:rsidR="00D2554D" w:rsidRPr="00242020" w:rsidRDefault="00D2554D" w:rsidP="00D2554D">
      <w:pPr>
        <w:ind w:firstLine="0"/>
        <w:rPr>
          <w:highlight w:val="yellow"/>
        </w:rPr>
      </w:pPr>
    </w:p>
    <w:p w:rsidR="00D2554D" w:rsidRPr="00242020" w:rsidRDefault="00D2554D" w:rsidP="00D2554D">
      <w:pPr>
        <w:ind w:firstLine="0"/>
        <w:rPr>
          <w:highlight w:val="yellow"/>
        </w:rPr>
      </w:pPr>
    </w:p>
    <w:p w:rsidR="00D2554D" w:rsidRPr="00242020" w:rsidRDefault="00D2554D" w:rsidP="00D2554D">
      <w:pPr>
        <w:ind w:firstLine="0"/>
        <w:jc w:val="right"/>
        <w:rPr>
          <w:sz w:val="16"/>
          <w:szCs w:val="16"/>
          <w:highlight w:val="yellow"/>
        </w:rPr>
      </w:pPr>
    </w:p>
    <w:tbl>
      <w:tblPr>
        <w:tblW w:w="9611"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ook w:val="0000"/>
      </w:tblPr>
      <w:tblGrid>
        <w:gridCol w:w="8355"/>
        <w:gridCol w:w="1256"/>
      </w:tblGrid>
      <w:tr w:rsidR="00D2554D" w:rsidRPr="00242020" w:rsidTr="00B17F7E">
        <w:trPr>
          <w:trHeight w:val="181"/>
        </w:trPr>
        <w:tc>
          <w:tcPr>
            <w:tcW w:w="8355" w:type="dxa"/>
            <w:shd w:val="pct5" w:color="auto" w:fill="auto"/>
            <w:vAlign w:val="center"/>
          </w:tcPr>
          <w:p w:rsidR="00D2554D" w:rsidRPr="00242020" w:rsidRDefault="00D2554D" w:rsidP="00D2554D">
            <w:pPr>
              <w:ind w:firstLine="0"/>
              <w:jc w:val="center"/>
              <w:rPr>
                <w:b/>
                <w:bCs/>
                <w:sz w:val="20"/>
              </w:rPr>
            </w:pPr>
            <w:r w:rsidRPr="00242020">
              <w:rPr>
                <w:b/>
                <w:sz w:val="20"/>
              </w:rPr>
              <w:t>1</w:t>
            </w:r>
          </w:p>
        </w:tc>
        <w:tc>
          <w:tcPr>
            <w:tcW w:w="1256" w:type="dxa"/>
            <w:shd w:val="pct5" w:color="auto" w:fill="auto"/>
            <w:noWrap/>
            <w:vAlign w:val="center"/>
          </w:tcPr>
          <w:p w:rsidR="00D2554D" w:rsidRPr="00242020" w:rsidRDefault="00D2554D" w:rsidP="00D2554D">
            <w:pPr>
              <w:ind w:firstLine="0"/>
              <w:jc w:val="center"/>
              <w:rPr>
                <w:b/>
                <w:sz w:val="20"/>
              </w:rPr>
            </w:pPr>
            <w:r w:rsidRPr="00242020">
              <w:rPr>
                <w:b/>
                <w:sz w:val="20"/>
              </w:rPr>
              <w:t>2</w:t>
            </w:r>
          </w:p>
        </w:tc>
      </w:tr>
      <w:tr w:rsidR="00D2554D" w:rsidRPr="00242020" w:rsidTr="00B17F7E">
        <w:trPr>
          <w:trHeight w:val="181"/>
        </w:trPr>
        <w:tc>
          <w:tcPr>
            <w:tcW w:w="8355" w:type="dxa"/>
            <w:shd w:val="pct20" w:color="auto" w:fill="auto"/>
            <w:vAlign w:val="center"/>
          </w:tcPr>
          <w:p w:rsidR="00D2554D" w:rsidRPr="00242020" w:rsidRDefault="00D2554D" w:rsidP="00D2554D">
            <w:pPr>
              <w:ind w:firstLine="0"/>
            </w:pPr>
            <w:r w:rsidRPr="00242020">
              <w:rPr>
                <w:b/>
                <w:sz w:val="20"/>
              </w:rPr>
              <w:t>ІV. ЗАЛИШОК КОШТІВ НА КІНЕЦЬ ЗВІТНОГО ПЕРІОДУ</w:t>
            </w:r>
          </w:p>
        </w:tc>
        <w:tc>
          <w:tcPr>
            <w:tcW w:w="1256" w:type="dxa"/>
            <w:shd w:val="pct20" w:color="auto" w:fill="auto"/>
            <w:noWrap/>
            <w:vAlign w:val="center"/>
          </w:tcPr>
          <w:p w:rsidR="00D2554D" w:rsidRPr="00242020" w:rsidRDefault="00D2554D" w:rsidP="00D2554D">
            <w:pPr>
              <w:ind w:firstLine="0"/>
              <w:jc w:val="right"/>
              <w:rPr>
                <w:b/>
                <w:sz w:val="20"/>
              </w:rPr>
            </w:pPr>
            <w:r w:rsidRPr="00242020">
              <w:rPr>
                <w:b/>
                <w:sz w:val="20"/>
              </w:rPr>
              <w:t>46,7</w:t>
            </w:r>
          </w:p>
        </w:tc>
      </w:tr>
      <w:tr w:rsidR="00D2554D" w:rsidRPr="00242020" w:rsidTr="00B17F7E">
        <w:trPr>
          <w:trHeight w:val="181"/>
        </w:trPr>
        <w:tc>
          <w:tcPr>
            <w:tcW w:w="8355" w:type="dxa"/>
            <w:shd w:val="pct5" w:color="auto" w:fill="auto"/>
            <w:vAlign w:val="bottom"/>
          </w:tcPr>
          <w:p w:rsidR="00D2554D" w:rsidRPr="00242020" w:rsidRDefault="00551E32" w:rsidP="00D2554D">
            <w:pPr>
              <w:ind w:firstLine="0"/>
              <w:rPr>
                <w:sz w:val="20"/>
              </w:rPr>
            </w:pPr>
            <w:r>
              <w:rPr>
                <w:sz w:val="20"/>
              </w:rPr>
              <w:t>у</w:t>
            </w:r>
            <w:r w:rsidR="00D2554D" w:rsidRPr="00242020">
              <w:rPr>
                <w:sz w:val="20"/>
              </w:rPr>
              <w:t xml:space="preserve"> тому числі: </w:t>
            </w:r>
          </w:p>
          <w:p w:rsidR="00D2554D" w:rsidRPr="00242020" w:rsidRDefault="00D2554D" w:rsidP="00D2554D">
            <w:pPr>
              <w:ind w:left="251" w:firstLine="0"/>
              <w:rPr>
                <w:sz w:val="20"/>
              </w:rPr>
            </w:pPr>
            <w:r w:rsidRPr="00242020">
              <w:rPr>
                <w:sz w:val="20"/>
              </w:rPr>
              <w:t>- від приватизації державного майна та інших надходжень, безпосередньо пов’язаних з процесом приватизації</w:t>
            </w:r>
          </w:p>
        </w:tc>
        <w:tc>
          <w:tcPr>
            <w:tcW w:w="1256" w:type="dxa"/>
            <w:shd w:val="pct5" w:color="auto" w:fill="auto"/>
            <w:noWrap/>
            <w:vAlign w:val="bottom"/>
          </w:tcPr>
          <w:p w:rsidR="00D2554D" w:rsidRPr="00242020" w:rsidRDefault="00D2554D" w:rsidP="00D2554D">
            <w:pPr>
              <w:ind w:firstLine="0"/>
              <w:jc w:val="right"/>
              <w:rPr>
                <w:bCs/>
                <w:sz w:val="20"/>
              </w:rPr>
            </w:pPr>
            <w:r w:rsidRPr="00242020">
              <w:rPr>
                <w:sz w:val="20"/>
              </w:rPr>
              <w:t>33,2</w:t>
            </w:r>
          </w:p>
        </w:tc>
      </w:tr>
      <w:tr w:rsidR="00D2554D" w:rsidRPr="00242020" w:rsidTr="00B17F7E">
        <w:trPr>
          <w:trHeight w:val="181"/>
        </w:trPr>
        <w:tc>
          <w:tcPr>
            <w:tcW w:w="8355" w:type="dxa"/>
            <w:shd w:val="pct20" w:color="auto" w:fill="auto"/>
            <w:vAlign w:val="bottom"/>
          </w:tcPr>
          <w:p w:rsidR="00D2554D" w:rsidRPr="00242020" w:rsidRDefault="00D2554D" w:rsidP="00D2554D">
            <w:pPr>
              <w:ind w:left="251" w:firstLine="0"/>
              <w:rPr>
                <w:sz w:val="20"/>
              </w:rPr>
            </w:pPr>
            <w:r w:rsidRPr="00242020">
              <w:rPr>
                <w:sz w:val="20"/>
              </w:rPr>
              <w:t>- податок на додану вартість</w:t>
            </w:r>
          </w:p>
        </w:tc>
        <w:tc>
          <w:tcPr>
            <w:tcW w:w="1256" w:type="dxa"/>
            <w:shd w:val="pct20" w:color="auto" w:fill="auto"/>
            <w:noWrap/>
            <w:vAlign w:val="center"/>
          </w:tcPr>
          <w:p w:rsidR="00D2554D" w:rsidRPr="00242020" w:rsidRDefault="00D2554D" w:rsidP="00D2554D">
            <w:pPr>
              <w:ind w:firstLine="0"/>
              <w:jc w:val="right"/>
              <w:rPr>
                <w:bCs/>
                <w:sz w:val="20"/>
              </w:rPr>
            </w:pPr>
            <w:r w:rsidRPr="00242020">
              <w:rPr>
                <w:sz w:val="20"/>
              </w:rPr>
              <w:t>7,6</w:t>
            </w:r>
          </w:p>
        </w:tc>
      </w:tr>
      <w:tr w:rsidR="00D2554D" w:rsidRPr="00242020" w:rsidTr="00B17F7E">
        <w:trPr>
          <w:trHeight w:val="181"/>
        </w:trPr>
        <w:tc>
          <w:tcPr>
            <w:tcW w:w="8355" w:type="dxa"/>
            <w:shd w:val="pct5" w:color="auto" w:fill="auto"/>
            <w:vAlign w:val="bottom"/>
          </w:tcPr>
          <w:p w:rsidR="00D2554D" w:rsidRPr="00242020" w:rsidRDefault="00D2554D" w:rsidP="00D2554D">
            <w:pPr>
              <w:ind w:left="251" w:firstLine="0"/>
              <w:rPr>
                <w:sz w:val="20"/>
              </w:rPr>
            </w:pPr>
            <w:r w:rsidRPr="00242020">
              <w:rPr>
                <w:sz w:val="20"/>
              </w:rPr>
              <w:t>- від інших надходжень</w:t>
            </w:r>
          </w:p>
        </w:tc>
        <w:tc>
          <w:tcPr>
            <w:tcW w:w="1256" w:type="dxa"/>
            <w:shd w:val="pct5" w:color="auto" w:fill="auto"/>
            <w:noWrap/>
            <w:vAlign w:val="center"/>
          </w:tcPr>
          <w:p w:rsidR="00D2554D" w:rsidRPr="00242020" w:rsidRDefault="00D2554D" w:rsidP="00D2554D">
            <w:pPr>
              <w:ind w:firstLine="0"/>
              <w:jc w:val="right"/>
              <w:rPr>
                <w:bCs/>
                <w:sz w:val="20"/>
              </w:rPr>
            </w:pPr>
            <w:r w:rsidRPr="00242020">
              <w:rPr>
                <w:sz w:val="20"/>
              </w:rPr>
              <w:t>1,1</w:t>
            </w:r>
          </w:p>
        </w:tc>
      </w:tr>
      <w:tr w:rsidR="00D2554D" w:rsidRPr="00242020" w:rsidTr="00B17F7E">
        <w:trPr>
          <w:trHeight w:val="181"/>
        </w:trPr>
        <w:tc>
          <w:tcPr>
            <w:tcW w:w="8355" w:type="dxa"/>
            <w:shd w:val="pct20" w:color="auto" w:fill="auto"/>
            <w:vAlign w:val="bottom"/>
          </w:tcPr>
          <w:p w:rsidR="00D2554D" w:rsidRPr="00242020" w:rsidRDefault="00D2554D" w:rsidP="00D2554D">
            <w:pPr>
              <w:ind w:left="251" w:firstLine="0"/>
              <w:rPr>
                <w:sz w:val="20"/>
              </w:rPr>
            </w:pPr>
            <w:r w:rsidRPr="00242020">
              <w:rPr>
                <w:sz w:val="20"/>
              </w:rPr>
              <w:t>- від продажу земельних ділянок несільськогосподарського призначення, що перебувають у державній власності, на яких розташовано об’єкти, що підлягають приватизації (33010300)</w:t>
            </w:r>
          </w:p>
        </w:tc>
        <w:tc>
          <w:tcPr>
            <w:tcW w:w="1256" w:type="dxa"/>
            <w:shd w:val="pct20" w:color="auto" w:fill="auto"/>
            <w:noWrap/>
            <w:vAlign w:val="bottom"/>
          </w:tcPr>
          <w:p w:rsidR="00D2554D" w:rsidRPr="00242020" w:rsidRDefault="00D2554D" w:rsidP="00D2554D">
            <w:pPr>
              <w:ind w:firstLine="0"/>
              <w:jc w:val="right"/>
              <w:rPr>
                <w:bCs/>
                <w:sz w:val="20"/>
              </w:rPr>
            </w:pPr>
            <w:r w:rsidRPr="00242020">
              <w:rPr>
                <w:sz w:val="20"/>
              </w:rPr>
              <w:t>4,8</w:t>
            </w:r>
          </w:p>
        </w:tc>
      </w:tr>
    </w:tbl>
    <w:p w:rsidR="00D2554D" w:rsidRPr="00242020" w:rsidRDefault="00D2554D" w:rsidP="00D2554D">
      <w:pPr>
        <w:rPr>
          <w:highlight w:val="yellow"/>
        </w:rPr>
      </w:pPr>
    </w:p>
    <w:p w:rsidR="00D226C3" w:rsidRPr="00242020" w:rsidRDefault="00D226C3"/>
    <w:p w:rsidR="00D226C3" w:rsidRPr="00242020" w:rsidRDefault="00D226C3"/>
    <w:p w:rsidR="00D226C3" w:rsidRPr="00242020" w:rsidRDefault="00D226C3"/>
    <w:p w:rsidR="00D226C3" w:rsidRPr="00242020" w:rsidRDefault="00D226C3"/>
    <w:p w:rsidR="00D226C3" w:rsidRPr="00242020" w:rsidRDefault="00D226C3"/>
    <w:p w:rsidR="00D226C3" w:rsidRPr="00242020" w:rsidRDefault="00D226C3"/>
    <w:p w:rsidR="00D226C3" w:rsidRPr="00242020" w:rsidRDefault="00D226C3"/>
    <w:p w:rsidR="00D2554D" w:rsidRPr="00242020" w:rsidRDefault="00D2554D">
      <w:pPr>
        <w:sectPr w:rsidR="00D2554D" w:rsidRPr="00242020" w:rsidSect="00BE4231">
          <w:headerReference w:type="even" r:id="rId55"/>
          <w:headerReference w:type="default" r:id="rId56"/>
          <w:footerReference w:type="even" r:id="rId57"/>
          <w:footerReference w:type="default" r:id="rId58"/>
          <w:pgSz w:w="11906" w:h="16838"/>
          <w:pgMar w:top="1134" w:right="851" w:bottom="1134" w:left="1418" w:header="709" w:footer="709" w:gutter="0"/>
          <w:cols w:space="708"/>
          <w:docGrid w:linePitch="381"/>
        </w:sectPr>
      </w:pPr>
    </w:p>
    <w:p w:rsidR="00D2554D" w:rsidRPr="00242020" w:rsidRDefault="00D2554D" w:rsidP="00D2554D">
      <w:pPr>
        <w:ind w:firstLine="0"/>
        <w:jc w:val="center"/>
        <w:rPr>
          <w:b/>
          <w:bCs/>
          <w:szCs w:val="28"/>
        </w:rPr>
      </w:pPr>
      <w:r w:rsidRPr="00242020">
        <w:rPr>
          <w:b/>
          <w:bCs/>
          <w:szCs w:val="28"/>
        </w:rPr>
        <w:lastRenderedPageBreak/>
        <w:t xml:space="preserve">Інформація </w:t>
      </w:r>
      <w:r w:rsidR="00085F86">
        <w:rPr>
          <w:b/>
          <w:bCs/>
          <w:szCs w:val="28"/>
        </w:rPr>
        <w:t>щодо</w:t>
      </w:r>
      <w:r w:rsidRPr="00242020">
        <w:rPr>
          <w:b/>
          <w:bCs/>
          <w:szCs w:val="28"/>
        </w:rPr>
        <w:t xml:space="preserve"> видатк</w:t>
      </w:r>
      <w:r w:rsidR="00085F86">
        <w:rPr>
          <w:b/>
          <w:bCs/>
          <w:szCs w:val="28"/>
        </w:rPr>
        <w:t>ів</w:t>
      </w:r>
      <w:r w:rsidRPr="00242020">
        <w:rPr>
          <w:b/>
          <w:bCs/>
          <w:szCs w:val="28"/>
        </w:rPr>
        <w:t xml:space="preserve"> загального фонду державного бюджету на заходи, пов’язані з проведенням приватизації державного майна за 201</w:t>
      </w:r>
      <w:r w:rsidR="00CF5745" w:rsidRPr="00242020">
        <w:rPr>
          <w:b/>
          <w:bCs/>
          <w:szCs w:val="28"/>
        </w:rPr>
        <w:t>6</w:t>
      </w:r>
      <w:r w:rsidRPr="00242020">
        <w:rPr>
          <w:b/>
          <w:bCs/>
          <w:szCs w:val="28"/>
        </w:rPr>
        <w:t xml:space="preserve"> рік</w:t>
      </w:r>
    </w:p>
    <w:p w:rsidR="00D2554D" w:rsidRPr="00242020" w:rsidRDefault="00D2554D" w:rsidP="00D2554D">
      <w:pPr>
        <w:jc w:val="right"/>
        <w:rPr>
          <w:b/>
          <w:sz w:val="24"/>
          <w:szCs w:val="24"/>
        </w:rPr>
      </w:pPr>
      <w:r w:rsidRPr="00242020">
        <w:rPr>
          <w:b/>
          <w:sz w:val="24"/>
          <w:szCs w:val="24"/>
        </w:rPr>
        <w:t xml:space="preserve">тис. </w:t>
      </w:r>
      <w:proofErr w:type="spellStart"/>
      <w:r w:rsidRPr="00242020">
        <w:rPr>
          <w:b/>
          <w:sz w:val="24"/>
          <w:szCs w:val="24"/>
        </w:rPr>
        <w:t>грн</w:t>
      </w:r>
      <w:proofErr w:type="spellEnd"/>
    </w:p>
    <w:tbl>
      <w:tblPr>
        <w:tblStyle w:val="a7"/>
        <w:tblW w:w="9621" w:type="dxa"/>
        <w:tblInd w:w="126" w:type="dxa"/>
        <w:shd w:val="pct5" w:color="auto" w:fill="auto"/>
        <w:tblLook w:val="01E0"/>
      </w:tblPr>
      <w:tblGrid>
        <w:gridCol w:w="7051"/>
        <w:gridCol w:w="1436"/>
        <w:gridCol w:w="1134"/>
      </w:tblGrid>
      <w:tr w:rsidR="00D2554D" w:rsidRPr="00242020" w:rsidTr="00CF5745">
        <w:tc>
          <w:tcPr>
            <w:tcW w:w="7051" w:type="dxa"/>
            <w:shd w:val="pct5" w:color="auto" w:fill="auto"/>
            <w:vAlign w:val="center"/>
          </w:tcPr>
          <w:p w:rsidR="00D2554D" w:rsidRPr="00242020" w:rsidRDefault="00D2554D" w:rsidP="00D2554D">
            <w:pPr>
              <w:ind w:firstLine="0"/>
              <w:jc w:val="center"/>
              <w:rPr>
                <w:b/>
                <w:bCs/>
                <w:sz w:val="22"/>
                <w:szCs w:val="22"/>
              </w:rPr>
            </w:pPr>
            <w:r w:rsidRPr="00242020">
              <w:rPr>
                <w:b/>
                <w:bCs/>
                <w:sz w:val="22"/>
                <w:szCs w:val="22"/>
              </w:rPr>
              <w:t>НАЙМЕНУВАННЯ ПОКАЗНИКІВ</w:t>
            </w:r>
          </w:p>
        </w:tc>
        <w:tc>
          <w:tcPr>
            <w:tcW w:w="1436" w:type="dxa"/>
            <w:shd w:val="pct5" w:color="auto" w:fill="auto"/>
            <w:vAlign w:val="bottom"/>
          </w:tcPr>
          <w:p w:rsidR="00D2554D" w:rsidRPr="00242020" w:rsidRDefault="00CF5745" w:rsidP="00CF5745">
            <w:pPr>
              <w:ind w:left="-53" w:right="-73" w:firstLine="0"/>
              <w:jc w:val="center"/>
              <w:rPr>
                <w:b/>
                <w:bCs/>
                <w:sz w:val="22"/>
                <w:szCs w:val="22"/>
              </w:rPr>
            </w:pPr>
            <w:r w:rsidRPr="00242020">
              <w:rPr>
                <w:b/>
                <w:bCs/>
                <w:sz w:val="22"/>
                <w:szCs w:val="22"/>
              </w:rPr>
              <w:t>Затверджено паспортом бюджетної програми на 2016 рік</w:t>
            </w:r>
          </w:p>
        </w:tc>
        <w:tc>
          <w:tcPr>
            <w:tcW w:w="1134" w:type="dxa"/>
            <w:shd w:val="pct5" w:color="auto" w:fill="auto"/>
            <w:vAlign w:val="center"/>
          </w:tcPr>
          <w:p w:rsidR="00D2554D" w:rsidRPr="00242020" w:rsidRDefault="00D2554D" w:rsidP="00D2554D">
            <w:pPr>
              <w:ind w:firstLine="0"/>
              <w:jc w:val="center"/>
              <w:rPr>
                <w:b/>
                <w:bCs/>
                <w:sz w:val="22"/>
                <w:szCs w:val="22"/>
              </w:rPr>
            </w:pPr>
            <w:r w:rsidRPr="00242020">
              <w:rPr>
                <w:b/>
                <w:bCs/>
                <w:sz w:val="22"/>
                <w:szCs w:val="22"/>
              </w:rPr>
              <w:t>Касові видатки</w:t>
            </w:r>
          </w:p>
        </w:tc>
      </w:tr>
      <w:tr w:rsidR="00CF5745" w:rsidRPr="00242020" w:rsidTr="00CF5745">
        <w:tc>
          <w:tcPr>
            <w:tcW w:w="7051" w:type="dxa"/>
            <w:shd w:val="pct20" w:color="auto" w:fill="auto"/>
          </w:tcPr>
          <w:p w:rsidR="00CF5745" w:rsidRPr="00242020" w:rsidRDefault="00CF5745" w:rsidP="00CF5745">
            <w:pPr>
              <w:ind w:left="210" w:hanging="252"/>
              <w:rPr>
                <w:color w:val="000000"/>
                <w:sz w:val="24"/>
                <w:szCs w:val="24"/>
              </w:rPr>
            </w:pPr>
            <w:r w:rsidRPr="00242020">
              <w:rPr>
                <w:color w:val="000000"/>
                <w:sz w:val="24"/>
                <w:szCs w:val="24"/>
              </w:rPr>
              <w:t>1. </w:t>
            </w:r>
            <w:r w:rsidRPr="00242020">
              <w:rPr>
                <w:sz w:val="24"/>
                <w:szCs w:val="24"/>
              </w:rPr>
              <w:t>Витрати, пов’язані з технічним обслуговуванням, ремонтом комп’ютерної техніки, послугами зв’язку та ін.</w:t>
            </w:r>
          </w:p>
        </w:tc>
        <w:tc>
          <w:tcPr>
            <w:tcW w:w="1436" w:type="dxa"/>
            <w:shd w:val="pct20" w:color="auto" w:fill="auto"/>
            <w:vAlign w:val="center"/>
          </w:tcPr>
          <w:p w:rsidR="00CF5745" w:rsidRPr="00242020" w:rsidRDefault="00CF5745" w:rsidP="00CF5745">
            <w:pPr>
              <w:ind w:firstLine="0"/>
              <w:jc w:val="center"/>
              <w:rPr>
                <w:sz w:val="24"/>
                <w:szCs w:val="24"/>
              </w:rPr>
            </w:pPr>
            <w:r w:rsidRPr="00242020">
              <w:rPr>
                <w:sz w:val="24"/>
                <w:szCs w:val="24"/>
              </w:rPr>
              <w:t>865,7</w:t>
            </w:r>
          </w:p>
        </w:tc>
        <w:tc>
          <w:tcPr>
            <w:tcW w:w="1134" w:type="dxa"/>
            <w:shd w:val="pct20" w:color="auto" w:fill="auto"/>
            <w:vAlign w:val="center"/>
          </w:tcPr>
          <w:p w:rsidR="00CF5745" w:rsidRPr="00242020" w:rsidRDefault="00CF5745" w:rsidP="00CF5745">
            <w:pPr>
              <w:ind w:firstLine="0"/>
              <w:jc w:val="center"/>
              <w:rPr>
                <w:sz w:val="24"/>
                <w:szCs w:val="24"/>
              </w:rPr>
            </w:pPr>
            <w:r w:rsidRPr="00242020">
              <w:rPr>
                <w:sz w:val="24"/>
                <w:szCs w:val="24"/>
              </w:rPr>
              <w:t>655,6</w:t>
            </w:r>
          </w:p>
        </w:tc>
      </w:tr>
      <w:tr w:rsidR="00CF5745" w:rsidRPr="00242020" w:rsidTr="00CF5745">
        <w:tc>
          <w:tcPr>
            <w:tcW w:w="7051" w:type="dxa"/>
            <w:shd w:val="pct5" w:color="auto" w:fill="auto"/>
          </w:tcPr>
          <w:p w:rsidR="00CF5745" w:rsidRPr="00242020" w:rsidRDefault="00CF5745" w:rsidP="00CF5745">
            <w:pPr>
              <w:ind w:left="210" w:hanging="252"/>
              <w:rPr>
                <w:color w:val="000000"/>
                <w:sz w:val="24"/>
                <w:szCs w:val="24"/>
              </w:rPr>
            </w:pPr>
            <w:r w:rsidRPr="00242020">
              <w:rPr>
                <w:color w:val="000000"/>
                <w:sz w:val="24"/>
                <w:szCs w:val="24"/>
              </w:rPr>
              <w:t>2. </w:t>
            </w:r>
            <w:r w:rsidRPr="00242020">
              <w:rPr>
                <w:sz w:val="24"/>
                <w:szCs w:val="24"/>
              </w:rPr>
              <w:t xml:space="preserve">Витрати, пов’язані з проведенням аукціонів, </w:t>
            </w:r>
            <w:proofErr w:type="spellStart"/>
            <w:r w:rsidRPr="00242020">
              <w:rPr>
                <w:sz w:val="24"/>
                <w:szCs w:val="24"/>
              </w:rPr>
              <w:t>передприватизаційною</w:t>
            </w:r>
            <w:proofErr w:type="spellEnd"/>
            <w:r w:rsidRPr="00242020">
              <w:rPr>
                <w:sz w:val="24"/>
                <w:szCs w:val="24"/>
              </w:rPr>
              <w:t xml:space="preserve"> підготовкою, реструктуризацією, обов’язковим екологічним аудитом, приватизацією, охороною та збереженням об’єктів приватизації, повернутих за рішенням суду в державну власність, до їх наступного продажу, наданням юридичних послуг, оплатою послуг, що надаються суб’єктами оціночної діяльності, зберігачами цінних паперів</w:t>
            </w:r>
          </w:p>
        </w:tc>
        <w:tc>
          <w:tcPr>
            <w:tcW w:w="1436" w:type="dxa"/>
            <w:shd w:val="pct5" w:color="auto" w:fill="auto"/>
            <w:vAlign w:val="center"/>
          </w:tcPr>
          <w:p w:rsidR="00CF5745" w:rsidRPr="00242020" w:rsidRDefault="00CF5745" w:rsidP="00CF5745">
            <w:pPr>
              <w:ind w:firstLine="0"/>
              <w:jc w:val="center"/>
              <w:rPr>
                <w:sz w:val="24"/>
                <w:szCs w:val="24"/>
              </w:rPr>
            </w:pPr>
            <w:r w:rsidRPr="00242020">
              <w:rPr>
                <w:sz w:val="24"/>
                <w:szCs w:val="24"/>
              </w:rPr>
              <w:t>14 152,6</w:t>
            </w:r>
          </w:p>
        </w:tc>
        <w:tc>
          <w:tcPr>
            <w:tcW w:w="1134" w:type="dxa"/>
            <w:shd w:val="pct5" w:color="auto" w:fill="auto"/>
            <w:vAlign w:val="center"/>
          </w:tcPr>
          <w:p w:rsidR="00CF5745" w:rsidRPr="00242020" w:rsidRDefault="00CF5745" w:rsidP="001B14ED">
            <w:pPr>
              <w:ind w:firstLine="0"/>
              <w:jc w:val="center"/>
              <w:rPr>
                <w:sz w:val="24"/>
                <w:szCs w:val="24"/>
              </w:rPr>
            </w:pPr>
            <w:r w:rsidRPr="00242020">
              <w:rPr>
                <w:sz w:val="24"/>
                <w:szCs w:val="24"/>
              </w:rPr>
              <w:t>8 953,</w:t>
            </w:r>
            <w:r w:rsidR="001B14ED">
              <w:rPr>
                <w:sz w:val="24"/>
                <w:szCs w:val="24"/>
              </w:rPr>
              <w:t>5</w:t>
            </w:r>
          </w:p>
        </w:tc>
      </w:tr>
      <w:tr w:rsidR="00CF5745" w:rsidRPr="00242020" w:rsidTr="00CF5745">
        <w:tc>
          <w:tcPr>
            <w:tcW w:w="7051" w:type="dxa"/>
            <w:shd w:val="pct20" w:color="auto" w:fill="auto"/>
          </w:tcPr>
          <w:p w:rsidR="00CF5745" w:rsidRPr="00242020" w:rsidRDefault="00CF5745" w:rsidP="00CF5745">
            <w:pPr>
              <w:ind w:left="210" w:hanging="252"/>
              <w:rPr>
                <w:color w:val="000000"/>
                <w:sz w:val="24"/>
                <w:szCs w:val="24"/>
              </w:rPr>
            </w:pPr>
            <w:r w:rsidRPr="00242020">
              <w:rPr>
                <w:color w:val="000000"/>
                <w:sz w:val="24"/>
                <w:szCs w:val="24"/>
              </w:rPr>
              <w:t>3. </w:t>
            </w:r>
            <w:r w:rsidRPr="00242020">
              <w:rPr>
                <w:sz w:val="24"/>
                <w:szCs w:val="24"/>
              </w:rPr>
              <w:t>Витрати, пов’язані з публікаціями в пресі, виданням інформаційно-довідникової літератури з питань приватизації, проведенням круглих столів, конференцій, соціологічних досліджень та ін.</w:t>
            </w:r>
          </w:p>
        </w:tc>
        <w:tc>
          <w:tcPr>
            <w:tcW w:w="1436" w:type="dxa"/>
            <w:shd w:val="pct20" w:color="auto" w:fill="auto"/>
            <w:vAlign w:val="center"/>
          </w:tcPr>
          <w:p w:rsidR="00CF5745" w:rsidRPr="00242020" w:rsidRDefault="00CF5745" w:rsidP="00CF5745">
            <w:pPr>
              <w:ind w:firstLine="0"/>
              <w:jc w:val="center"/>
              <w:rPr>
                <w:sz w:val="24"/>
                <w:szCs w:val="24"/>
              </w:rPr>
            </w:pPr>
            <w:r w:rsidRPr="00242020">
              <w:rPr>
                <w:sz w:val="24"/>
                <w:szCs w:val="24"/>
              </w:rPr>
              <w:t>1 209,4</w:t>
            </w:r>
          </w:p>
        </w:tc>
        <w:tc>
          <w:tcPr>
            <w:tcW w:w="1134" w:type="dxa"/>
            <w:shd w:val="pct20" w:color="auto" w:fill="auto"/>
            <w:vAlign w:val="center"/>
          </w:tcPr>
          <w:p w:rsidR="00CF5745" w:rsidRPr="00242020" w:rsidRDefault="00CF5745" w:rsidP="001B14ED">
            <w:pPr>
              <w:ind w:firstLine="0"/>
              <w:jc w:val="center"/>
              <w:rPr>
                <w:sz w:val="24"/>
                <w:szCs w:val="24"/>
              </w:rPr>
            </w:pPr>
            <w:r w:rsidRPr="00242020">
              <w:rPr>
                <w:sz w:val="24"/>
                <w:szCs w:val="24"/>
              </w:rPr>
              <w:t>736,</w:t>
            </w:r>
            <w:r w:rsidR="001B14ED">
              <w:rPr>
                <w:sz w:val="24"/>
                <w:szCs w:val="24"/>
              </w:rPr>
              <w:t>7</w:t>
            </w:r>
          </w:p>
        </w:tc>
      </w:tr>
      <w:tr w:rsidR="00CF5745" w:rsidRPr="00242020" w:rsidTr="00CF5745">
        <w:tc>
          <w:tcPr>
            <w:tcW w:w="7051" w:type="dxa"/>
            <w:shd w:val="pct5" w:color="auto" w:fill="auto"/>
          </w:tcPr>
          <w:p w:rsidR="00CF5745" w:rsidRPr="00242020" w:rsidRDefault="00CF5745" w:rsidP="00CF5745">
            <w:pPr>
              <w:ind w:left="210" w:hanging="252"/>
              <w:rPr>
                <w:sz w:val="24"/>
                <w:szCs w:val="24"/>
              </w:rPr>
            </w:pPr>
            <w:r w:rsidRPr="00242020">
              <w:rPr>
                <w:sz w:val="24"/>
                <w:szCs w:val="24"/>
              </w:rPr>
              <w:t xml:space="preserve">4. Витрати на оплату перекладачів та легалізацію документів, які підтверджують майнові права держави; сплату державного мита за нотаріальне оформлення документів, які підтверджують майнові права держави, перекладів нормативних актів інших держав з питань купівлі-продажу цінних паперів, консультацій з питань міжнародного права, оплату послуг реєстраторів, у тому числі за межами України та ін. </w:t>
            </w:r>
          </w:p>
        </w:tc>
        <w:tc>
          <w:tcPr>
            <w:tcW w:w="1436" w:type="dxa"/>
            <w:shd w:val="pct5" w:color="auto" w:fill="auto"/>
            <w:vAlign w:val="center"/>
          </w:tcPr>
          <w:p w:rsidR="00CF5745" w:rsidRPr="00242020" w:rsidRDefault="00CF5745" w:rsidP="00CF5745">
            <w:pPr>
              <w:ind w:firstLine="0"/>
              <w:jc w:val="center"/>
              <w:rPr>
                <w:sz w:val="24"/>
                <w:szCs w:val="24"/>
              </w:rPr>
            </w:pPr>
            <w:r w:rsidRPr="00242020">
              <w:rPr>
                <w:sz w:val="24"/>
                <w:szCs w:val="24"/>
              </w:rPr>
              <w:t>111,1</w:t>
            </w:r>
          </w:p>
        </w:tc>
        <w:tc>
          <w:tcPr>
            <w:tcW w:w="1134" w:type="dxa"/>
            <w:shd w:val="pct5" w:color="auto" w:fill="auto"/>
            <w:vAlign w:val="center"/>
          </w:tcPr>
          <w:p w:rsidR="00CF5745" w:rsidRPr="00242020" w:rsidRDefault="00CF5745" w:rsidP="00CF5745">
            <w:pPr>
              <w:ind w:firstLine="0"/>
              <w:jc w:val="center"/>
              <w:rPr>
                <w:sz w:val="24"/>
                <w:szCs w:val="24"/>
              </w:rPr>
            </w:pPr>
            <w:r w:rsidRPr="00242020">
              <w:rPr>
                <w:sz w:val="24"/>
                <w:szCs w:val="24"/>
              </w:rPr>
              <w:t>33,0</w:t>
            </w:r>
          </w:p>
        </w:tc>
      </w:tr>
      <w:tr w:rsidR="00CF5745" w:rsidRPr="00242020" w:rsidTr="00CF5745">
        <w:tc>
          <w:tcPr>
            <w:tcW w:w="7051" w:type="dxa"/>
            <w:shd w:val="pct20" w:color="auto" w:fill="auto"/>
          </w:tcPr>
          <w:p w:rsidR="00CF5745" w:rsidRPr="00242020" w:rsidRDefault="00CF5745" w:rsidP="00CF5745">
            <w:pPr>
              <w:ind w:left="210" w:hanging="252"/>
              <w:rPr>
                <w:sz w:val="24"/>
                <w:szCs w:val="24"/>
              </w:rPr>
            </w:pPr>
            <w:r w:rsidRPr="00242020">
              <w:rPr>
                <w:sz w:val="24"/>
                <w:szCs w:val="24"/>
              </w:rPr>
              <w:t>5. Витрати, пов’язані з виданням та розповсюдженням офіційних друкованих видань державних органів приватизації</w:t>
            </w:r>
          </w:p>
        </w:tc>
        <w:tc>
          <w:tcPr>
            <w:tcW w:w="1436" w:type="dxa"/>
            <w:shd w:val="pct20" w:color="auto" w:fill="auto"/>
            <w:vAlign w:val="center"/>
          </w:tcPr>
          <w:p w:rsidR="00CF5745" w:rsidRPr="00242020" w:rsidRDefault="00CF5745" w:rsidP="00CF5745">
            <w:pPr>
              <w:ind w:firstLine="0"/>
              <w:jc w:val="center"/>
              <w:rPr>
                <w:sz w:val="24"/>
                <w:szCs w:val="24"/>
              </w:rPr>
            </w:pPr>
            <w:r w:rsidRPr="00242020">
              <w:rPr>
                <w:sz w:val="24"/>
                <w:szCs w:val="24"/>
              </w:rPr>
              <w:t>328,0</w:t>
            </w:r>
          </w:p>
        </w:tc>
        <w:tc>
          <w:tcPr>
            <w:tcW w:w="1134" w:type="dxa"/>
            <w:shd w:val="pct20" w:color="auto" w:fill="auto"/>
            <w:vAlign w:val="center"/>
          </w:tcPr>
          <w:p w:rsidR="00CF5745" w:rsidRPr="00242020" w:rsidRDefault="00CF5745" w:rsidP="00CF5745">
            <w:pPr>
              <w:ind w:firstLine="0"/>
              <w:jc w:val="center"/>
              <w:rPr>
                <w:sz w:val="24"/>
                <w:szCs w:val="24"/>
              </w:rPr>
            </w:pPr>
            <w:r w:rsidRPr="00242020">
              <w:rPr>
                <w:sz w:val="24"/>
                <w:szCs w:val="24"/>
              </w:rPr>
              <w:t>249,3</w:t>
            </w:r>
          </w:p>
        </w:tc>
      </w:tr>
      <w:tr w:rsidR="00CF5745" w:rsidRPr="00242020" w:rsidTr="00CF5745">
        <w:tc>
          <w:tcPr>
            <w:tcW w:w="7051" w:type="dxa"/>
            <w:shd w:val="pct5" w:color="auto" w:fill="auto"/>
          </w:tcPr>
          <w:p w:rsidR="00CF5745" w:rsidRPr="00242020" w:rsidRDefault="00CF5745" w:rsidP="00CF5745">
            <w:pPr>
              <w:ind w:left="210" w:hanging="252"/>
              <w:rPr>
                <w:sz w:val="24"/>
                <w:szCs w:val="24"/>
              </w:rPr>
            </w:pPr>
            <w:r w:rsidRPr="00242020">
              <w:rPr>
                <w:sz w:val="24"/>
                <w:szCs w:val="24"/>
              </w:rPr>
              <w:t>6. Витрати, пов’язані з навчанням та підвищенням кваліфікації кадрів органів приватизації, менеджменту підприємств, що приватизуються, та осіб, уповноважених управляти державними корпоративними правами</w:t>
            </w:r>
          </w:p>
        </w:tc>
        <w:tc>
          <w:tcPr>
            <w:tcW w:w="1436" w:type="dxa"/>
            <w:shd w:val="pct5" w:color="auto" w:fill="auto"/>
            <w:vAlign w:val="center"/>
          </w:tcPr>
          <w:p w:rsidR="00CF5745" w:rsidRPr="00242020" w:rsidRDefault="00CF5745" w:rsidP="00CF5745">
            <w:pPr>
              <w:ind w:firstLine="0"/>
              <w:jc w:val="center"/>
              <w:rPr>
                <w:sz w:val="24"/>
                <w:szCs w:val="24"/>
              </w:rPr>
            </w:pPr>
            <w:r w:rsidRPr="00242020">
              <w:rPr>
                <w:sz w:val="24"/>
                <w:szCs w:val="24"/>
              </w:rPr>
              <w:t>385,2</w:t>
            </w:r>
          </w:p>
        </w:tc>
        <w:tc>
          <w:tcPr>
            <w:tcW w:w="1134" w:type="dxa"/>
            <w:shd w:val="pct5" w:color="auto" w:fill="auto"/>
            <w:vAlign w:val="center"/>
          </w:tcPr>
          <w:p w:rsidR="00CF5745" w:rsidRPr="00242020" w:rsidRDefault="00CF5745" w:rsidP="001B14ED">
            <w:pPr>
              <w:ind w:firstLine="0"/>
              <w:jc w:val="center"/>
              <w:rPr>
                <w:sz w:val="24"/>
                <w:szCs w:val="24"/>
              </w:rPr>
            </w:pPr>
            <w:r w:rsidRPr="00242020">
              <w:rPr>
                <w:sz w:val="24"/>
                <w:szCs w:val="24"/>
              </w:rPr>
              <w:t>261,</w:t>
            </w:r>
            <w:r w:rsidR="001B14ED">
              <w:rPr>
                <w:sz w:val="24"/>
                <w:szCs w:val="24"/>
              </w:rPr>
              <w:t>8</w:t>
            </w:r>
          </w:p>
        </w:tc>
      </w:tr>
      <w:tr w:rsidR="00CF5745" w:rsidRPr="00242020" w:rsidTr="00CF5745">
        <w:tc>
          <w:tcPr>
            <w:tcW w:w="7051" w:type="dxa"/>
            <w:shd w:val="pct20" w:color="auto" w:fill="auto"/>
          </w:tcPr>
          <w:p w:rsidR="00CF5745" w:rsidRPr="00242020" w:rsidRDefault="00CF5745" w:rsidP="00CF5745">
            <w:pPr>
              <w:ind w:left="210" w:hanging="252"/>
              <w:rPr>
                <w:sz w:val="24"/>
                <w:szCs w:val="24"/>
              </w:rPr>
            </w:pPr>
            <w:r w:rsidRPr="00242020">
              <w:rPr>
                <w:sz w:val="24"/>
                <w:szCs w:val="24"/>
              </w:rPr>
              <w:t>7. Витрати, пов’язані з підготовкою до продажу земельних ділянок, на яких розташовані об’єкти, які підлягають приватизації</w:t>
            </w:r>
          </w:p>
        </w:tc>
        <w:tc>
          <w:tcPr>
            <w:tcW w:w="1436" w:type="dxa"/>
            <w:shd w:val="pct20" w:color="auto" w:fill="auto"/>
            <w:vAlign w:val="center"/>
          </w:tcPr>
          <w:p w:rsidR="00CF5745" w:rsidRPr="00242020" w:rsidRDefault="00CF5745" w:rsidP="00CF5745">
            <w:pPr>
              <w:ind w:firstLine="0"/>
              <w:jc w:val="center"/>
              <w:rPr>
                <w:sz w:val="24"/>
                <w:szCs w:val="24"/>
              </w:rPr>
            </w:pPr>
            <w:r w:rsidRPr="00242020">
              <w:rPr>
                <w:sz w:val="24"/>
                <w:szCs w:val="24"/>
              </w:rPr>
              <w:t>2 948,0</w:t>
            </w:r>
          </w:p>
        </w:tc>
        <w:tc>
          <w:tcPr>
            <w:tcW w:w="1134" w:type="dxa"/>
            <w:shd w:val="pct20" w:color="auto" w:fill="auto"/>
            <w:vAlign w:val="center"/>
          </w:tcPr>
          <w:p w:rsidR="00CF5745" w:rsidRPr="00242020" w:rsidRDefault="00CF5745" w:rsidP="00CF5745">
            <w:pPr>
              <w:ind w:firstLine="0"/>
              <w:jc w:val="center"/>
              <w:rPr>
                <w:sz w:val="24"/>
                <w:szCs w:val="24"/>
              </w:rPr>
            </w:pPr>
            <w:r w:rsidRPr="00242020">
              <w:rPr>
                <w:sz w:val="24"/>
                <w:szCs w:val="24"/>
              </w:rPr>
              <w:t>427,3</w:t>
            </w:r>
          </w:p>
        </w:tc>
      </w:tr>
      <w:tr w:rsidR="00CF5745" w:rsidRPr="00242020" w:rsidTr="00CF5745">
        <w:tc>
          <w:tcPr>
            <w:tcW w:w="7051" w:type="dxa"/>
            <w:shd w:val="pct5" w:color="auto" w:fill="auto"/>
            <w:vAlign w:val="bottom"/>
          </w:tcPr>
          <w:p w:rsidR="00CF5745" w:rsidRPr="00242020" w:rsidRDefault="00CF5745" w:rsidP="00D2554D">
            <w:pPr>
              <w:ind w:firstLine="0"/>
              <w:rPr>
                <w:b/>
                <w:bCs/>
                <w:i/>
                <w:iCs/>
                <w:sz w:val="24"/>
                <w:szCs w:val="24"/>
                <w:highlight w:val="magenta"/>
              </w:rPr>
            </w:pPr>
            <w:r w:rsidRPr="00242020">
              <w:rPr>
                <w:b/>
                <w:bCs/>
                <w:i/>
                <w:iCs/>
                <w:sz w:val="24"/>
                <w:szCs w:val="24"/>
              </w:rPr>
              <w:t>Усього</w:t>
            </w:r>
          </w:p>
        </w:tc>
        <w:tc>
          <w:tcPr>
            <w:tcW w:w="1436" w:type="dxa"/>
            <w:shd w:val="pct5" w:color="auto" w:fill="auto"/>
            <w:vAlign w:val="center"/>
          </w:tcPr>
          <w:p w:rsidR="00CF5745" w:rsidRPr="00242020" w:rsidRDefault="00CF5745" w:rsidP="00CF5745">
            <w:pPr>
              <w:ind w:firstLine="0"/>
              <w:jc w:val="center"/>
              <w:rPr>
                <w:sz w:val="24"/>
                <w:szCs w:val="24"/>
              </w:rPr>
            </w:pPr>
            <w:r w:rsidRPr="00242020">
              <w:rPr>
                <w:sz w:val="24"/>
                <w:szCs w:val="24"/>
              </w:rPr>
              <w:t>20 000,0</w:t>
            </w:r>
          </w:p>
        </w:tc>
        <w:tc>
          <w:tcPr>
            <w:tcW w:w="1134" w:type="dxa"/>
            <w:shd w:val="pct5" w:color="auto" w:fill="auto"/>
            <w:vAlign w:val="center"/>
          </w:tcPr>
          <w:p w:rsidR="00CF5745" w:rsidRPr="00242020" w:rsidRDefault="00CF5745" w:rsidP="001B14ED">
            <w:pPr>
              <w:ind w:firstLine="0"/>
              <w:jc w:val="center"/>
              <w:rPr>
                <w:sz w:val="24"/>
                <w:szCs w:val="24"/>
              </w:rPr>
            </w:pPr>
            <w:r w:rsidRPr="00242020">
              <w:rPr>
                <w:sz w:val="24"/>
                <w:szCs w:val="24"/>
              </w:rPr>
              <w:t>11 317,</w:t>
            </w:r>
            <w:r w:rsidR="001B14ED">
              <w:rPr>
                <w:sz w:val="24"/>
                <w:szCs w:val="24"/>
              </w:rPr>
              <w:t>2</w:t>
            </w:r>
          </w:p>
        </w:tc>
      </w:tr>
    </w:tbl>
    <w:p w:rsidR="00D2554D" w:rsidRPr="00242020" w:rsidRDefault="00D2554D" w:rsidP="00D2554D">
      <w:pPr>
        <w:jc w:val="center"/>
        <w:rPr>
          <w:highlight w:val="red"/>
        </w:rPr>
      </w:pPr>
    </w:p>
    <w:p w:rsidR="00CF5745" w:rsidRPr="00242020" w:rsidRDefault="00CF5745" w:rsidP="00D2554D">
      <w:pPr>
        <w:jc w:val="center"/>
        <w:rPr>
          <w:highlight w:val="red"/>
        </w:rPr>
      </w:pPr>
    </w:p>
    <w:p w:rsidR="00CF5745" w:rsidRPr="00242020" w:rsidRDefault="00CF5745" w:rsidP="00D2554D">
      <w:pPr>
        <w:jc w:val="center"/>
        <w:rPr>
          <w:highlight w:val="red"/>
        </w:rPr>
      </w:pPr>
    </w:p>
    <w:p w:rsidR="00D2554D" w:rsidRPr="00242020" w:rsidRDefault="00D2554D">
      <w:pPr>
        <w:sectPr w:rsidR="00D2554D" w:rsidRPr="00242020" w:rsidSect="00BE4231">
          <w:headerReference w:type="even" r:id="rId59"/>
          <w:headerReference w:type="default" r:id="rId60"/>
          <w:pgSz w:w="11906" w:h="16838"/>
          <w:pgMar w:top="1134" w:right="851" w:bottom="1134" w:left="1418" w:header="709" w:footer="709" w:gutter="0"/>
          <w:cols w:space="708"/>
          <w:docGrid w:linePitch="381"/>
        </w:sectPr>
      </w:pPr>
    </w:p>
    <w:p w:rsidR="00D2554D" w:rsidRPr="00242020" w:rsidRDefault="00D2554D" w:rsidP="00D2554D">
      <w:pPr>
        <w:spacing w:line="360" w:lineRule="auto"/>
        <w:ind w:left="5664" w:firstLine="708"/>
        <w:jc w:val="center"/>
        <w:rPr>
          <w:sz w:val="20"/>
          <w:highlight w:val="magenta"/>
        </w:rPr>
      </w:pPr>
    </w:p>
    <w:p w:rsidR="00D2554D" w:rsidRPr="00242020" w:rsidRDefault="00D2554D" w:rsidP="00D2554D">
      <w:pPr>
        <w:spacing w:line="360" w:lineRule="auto"/>
        <w:ind w:firstLine="0"/>
        <w:jc w:val="center"/>
        <w:rPr>
          <w:b/>
          <w:szCs w:val="28"/>
        </w:rPr>
      </w:pPr>
      <w:r w:rsidRPr="00242020">
        <w:rPr>
          <w:b/>
          <w:szCs w:val="28"/>
        </w:rPr>
        <w:t>Інформація про бюджет</w:t>
      </w:r>
    </w:p>
    <w:p w:rsidR="00D2554D" w:rsidRPr="00242020" w:rsidRDefault="00D2554D" w:rsidP="00D2554D">
      <w:pPr>
        <w:spacing w:line="360" w:lineRule="auto"/>
        <w:ind w:firstLine="0"/>
        <w:jc w:val="center"/>
        <w:rPr>
          <w:b/>
          <w:szCs w:val="28"/>
        </w:rPr>
      </w:pPr>
      <w:r w:rsidRPr="00242020">
        <w:rPr>
          <w:b/>
          <w:szCs w:val="28"/>
        </w:rPr>
        <w:t xml:space="preserve">головного розпорядника бюджетних коштів </w:t>
      </w:r>
    </w:p>
    <w:p w:rsidR="00D2554D" w:rsidRPr="00242020" w:rsidRDefault="00D2554D" w:rsidP="00D2554D">
      <w:pPr>
        <w:spacing w:line="360" w:lineRule="auto"/>
        <w:ind w:firstLine="0"/>
        <w:jc w:val="center"/>
        <w:rPr>
          <w:b/>
          <w:szCs w:val="28"/>
        </w:rPr>
      </w:pPr>
      <w:r w:rsidRPr="00242020">
        <w:rPr>
          <w:b/>
          <w:szCs w:val="28"/>
        </w:rPr>
        <w:t xml:space="preserve">за </w:t>
      </w:r>
      <w:proofErr w:type="spellStart"/>
      <w:r w:rsidRPr="00242020">
        <w:rPr>
          <w:b/>
          <w:szCs w:val="28"/>
        </w:rPr>
        <w:t>КВКВ</w:t>
      </w:r>
      <w:proofErr w:type="spellEnd"/>
      <w:r w:rsidRPr="00242020">
        <w:rPr>
          <w:b/>
          <w:szCs w:val="28"/>
        </w:rPr>
        <w:t xml:space="preserve"> 661 «Фонд державного майна України» за 201</w:t>
      </w:r>
      <w:r w:rsidR="00592C14" w:rsidRPr="00242020">
        <w:rPr>
          <w:b/>
          <w:szCs w:val="28"/>
        </w:rPr>
        <w:t>6</w:t>
      </w:r>
      <w:r w:rsidRPr="00242020">
        <w:rPr>
          <w:b/>
          <w:szCs w:val="28"/>
        </w:rPr>
        <w:t xml:space="preserve"> рік</w:t>
      </w:r>
    </w:p>
    <w:p w:rsidR="00D2554D" w:rsidRPr="00242020" w:rsidRDefault="00D2554D" w:rsidP="00D2554D">
      <w:pPr>
        <w:jc w:val="both"/>
        <w:rPr>
          <w:szCs w:val="28"/>
        </w:rPr>
      </w:pPr>
      <w:r w:rsidRPr="00242020">
        <w:rPr>
          <w:szCs w:val="28"/>
        </w:rPr>
        <w:t>Фонд є центральним органом виконавчої влади із спеціальним статусом, діяльність якого визначається Законом України від 09 грудня 2011 року № 4107-VI «Про Фонд державного майна України».</w:t>
      </w:r>
    </w:p>
    <w:p w:rsidR="00592C14" w:rsidRPr="00242020" w:rsidRDefault="00592C14" w:rsidP="00592C14">
      <w:pPr>
        <w:jc w:val="both"/>
        <w:rPr>
          <w:szCs w:val="28"/>
        </w:rPr>
      </w:pPr>
      <w:r w:rsidRPr="00242020">
        <w:rPr>
          <w:szCs w:val="28"/>
        </w:rPr>
        <w:t>Фонд забезпечує реалізацію державної політики у сфері приватизації, оренди, використання та відчуження державного майна, управління об’єктами державної власності, у тому числі корпоративними правами держави щодо об’єктів державної власності, що належать до сфери його управління, а також у сфері державного регулювання оцінки майна, майнових прав та професійної оціночної діяльності.</w:t>
      </w:r>
    </w:p>
    <w:p w:rsidR="00D2554D" w:rsidRPr="00242020" w:rsidRDefault="00592C14" w:rsidP="00D2554D">
      <w:pPr>
        <w:jc w:val="both"/>
        <w:rPr>
          <w:szCs w:val="28"/>
        </w:rPr>
      </w:pPr>
      <w:r w:rsidRPr="00242020">
        <w:rPr>
          <w:szCs w:val="28"/>
        </w:rPr>
        <w:t>Основними завдання Фонду є:</w:t>
      </w:r>
    </w:p>
    <w:p w:rsidR="00D2554D" w:rsidRPr="00242020" w:rsidRDefault="00D2554D" w:rsidP="00D2554D">
      <w:pPr>
        <w:numPr>
          <w:ilvl w:val="1"/>
          <w:numId w:val="27"/>
        </w:numPr>
        <w:tabs>
          <w:tab w:val="clear" w:pos="2149"/>
          <w:tab w:val="num" w:pos="1164"/>
        </w:tabs>
        <w:ind w:left="1164"/>
        <w:jc w:val="both"/>
        <w:rPr>
          <w:szCs w:val="28"/>
        </w:rPr>
      </w:pPr>
      <w:r w:rsidRPr="00242020">
        <w:rPr>
          <w:szCs w:val="28"/>
        </w:rPr>
        <w:t>удосконалення управління державною власністю;</w:t>
      </w:r>
    </w:p>
    <w:p w:rsidR="00D2554D" w:rsidRPr="00242020" w:rsidRDefault="00D2554D" w:rsidP="00D2554D">
      <w:pPr>
        <w:numPr>
          <w:ilvl w:val="1"/>
          <w:numId w:val="27"/>
        </w:numPr>
        <w:tabs>
          <w:tab w:val="clear" w:pos="2149"/>
          <w:tab w:val="num" w:pos="1164"/>
        </w:tabs>
        <w:ind w:left="1164"/>
        <w:jc w:val="both"/>
        <w:rPr>
          <w:szCs w:val="28"/>
        </w:rPr>
      </w:pPr>
      <w:r w:rsidRPr="00242020">
        <w:rPr>
          <w:szCs w:val="28"/>
        </w:rPr>
        <w:t>ведення обліку об’єктів державної власності;</w:t>
      </w:r>
    </w:p>
    <w:p w:rsidR="00D2554D" w:rsidRPr="00242020" w:rsidRDefault="00D2554D" w:rsidP="00D2554D">
      <w:pPr>
        <w:numPr>
          <w:ilvl w:val="1"/>
          <w:numId w:val="27"/>
        </w:numPr>
        <w:tabs>
          <w:tab w:val="clear" w:pos="2149"/>
          <w:tab w:val="num" w:pos="1164"/>
        </w:tabs>
        <w:ind w:left="1164"/>
        <w:jc w:val="both"/>
        <w:rPr>
          <w:szCs w:val="28"/>
        </w:rPr>
      </w:pPr>
      <w:r w:rsidRPr="00242020">
        <w:rPr>
          <w:szCs w:val="28"/>
        </w:rPr>
        <w:t>проведення оцінки об’єктів приватизації та оренди;</w:t>
      </w:r>
    </w:p>
    <w:p w:rsidR="00D2554D" w:rsidRPr="00242020" w:rsidRDefault="00D2554D" w:rsidP="00D2554D">
      <w:pPr>
        <w:numPr>
          <w:ilvl w:val="1"/>
          <w:numId w:val="27"/>
        </w:numPr>
        <w:tabs>
          <w:tab w:val="clear" w:pos="2149"/>
          <w:tab w:val="num" w:pos="1164"/>
        </w:tabs>
        <w:ind w:left="1164"/>
        <w:jc w:val="both"/>
        <w:rPr>
          <w:szCs w:val="28"/>
        </w:rPr>
      </w:pPr>
      <w:r w:rsidRPr="00242020">
        <w:rPr>
          <w:szCs w:val="28"/>
        </w:rPr>
        <w:t>моніторинг та контроль за виконанням умов договорів купівлі-продажу об’єктів приватизації;</w:t>
      </w:r>
    </w:p>
    <w:p w:rsidR="00D2554D" w:rsidRPr="00242020" w:rsidRDefault="00D2554D" w:rsidP="00D2554D">
      <w:pPr>
        <w:numPr>
          <w:ilvl w:val="1"/>
          <w:numId w:val="27"/>
        </w:numPr>
        <w:tabs>
          <w:tab w:val="clear" w:pos="2149"/>
          <w:tab w:val="num" w:pos="1164"/>
        </w:tabs>
        <w:ind w:left="1164"/>
        <w:jc w:val="both"/>
        <w:rPr>
          <w:szCs w:val="28"/>
        </w:rPr>
      </w:pPr>
      <w:r w:rsidRPr="00242020">
        <w:rPr>
          <w:szCs w:val="28"/>
        </w:rPr>
        <w:t>виконання планових завдань з надходження коштів від оренди державного майна;</w:t>
      </w:r>
    </w:p>
    <w:p w:rsidR="00D2554D" w:rsidRPr="00242020" w:rsidRDefault="00D2554D" w:rsidP="00D2554D">
      <w:pPr>
        <w:numPr>
          <w:ilvl w:val="1"/>
          <w:numId w:val="27"/>
        </w:numPr>
        <w:tabs>
          <w:tab w:val="clear" w:pos="2149"/>
          <w:tab w:val="num" w:pos="1164"/>
        </w:tabs>
        <w:ind w:left="1164"/>
        <w:jc w:val="both"/>
        <w:rPr>
          <w:szCs w:val="28"/>
        </w:rPr>
      </w:pPr>
      <w:r w:rsidRPr="00242020">
        <w:rPr>
          <w:szCs w:val="28"/>
        </w:rPr>
        <w:t>виконання планових завдань з надходження дивідендів;</w:t>
      </w:r>
    </w:p>
    <w:p w:rsidR="00D2554D" w:rsidRPr="00242020" w:rsidRDefault="00D2554D" w:rsidP="00D2554D">
      <w:pPr>
        <w:numPr>
          <w:ilvl w:val="1"/>
          <w:numId w:val="27"/>
        </w:numPr>
        <w:tabs>
          <w:tab w:val="clear" w:pos="2149"/>
          <w:tab w:val="num" w:pos="1164"/>
        </w:tabs>
        <w:ind w:left="1164"/>
        <w:jc w:val="both"/>
        <w:rPr>
          <w:szCs w:val="28"/>
        </w:rPr>
      </w:pPr>
      <w:r w:rsidRPr="00242020">
        <w:rPr>
          <w:szCs w:val="28"/>
        </w:rPr>
        <w:t>виконання планових завдань з надходження коштів від приватизації державного майна.</w:t>
      </w:r>
    </w:p>
    <w:p w:rsidR="00D2554D" w:rsidRPr="00242020" w:rsidRDefault="00D2554D" w:rsidP="00D2554D">
      <w:pPr>
        <w:jc w:val="both"/>
        <w:rPr>
          <w:szCs w:val="28"/>
        </w:rPr>
      </w:pPr>
      <w:r w:rsidRPr="00242020">
        <w:rPr>
          <w:szCs w:val="28"/>
        </w:rPr>
        <w:t>Штатна чисельність працівників системи державних органів приватизації Фонду</w:t>
      </w:r>
      <w:r w:rsidR="00D073D3">
        <w:rPr>
          <w:szCs w:val="28"/>
        </w:rPr>
        <w:t xml:space="preserve"> </w:t>
      </w:r>
      <w:r w:rsidRPr="00242020">
        <w:rPr>
          <w:szCs w:val="28"/>
        </w:rPr>
        <w:t xml:space="preserve">– </w:t>
      </w:r>
      <w:r w:rsidR="00592C14" w:rsidRPr="00242020">
        <w:rPr>
          <w:szCs w:val="28"/>
        </w:rPr>
        <w:t>1</w:t>
      </w:r>
      <w:r w:rsidRPr="00242020">
        <w:rPr>
          <w:szCs w:val="28"/>
        </w:rPr>
        <w:t> </w:t>
      </w:r>
      <w:r w:rsidR="00592C14" w:rsidRPr="00242020">
        <w:rPr>
          <w:szCs w:val="28"/>
        </w:rPr>
        <w:t>654</w:t>
      </w:r>
      <w:r w:rsidRPr="00242020">
        <w:rPr>
          <w:szCs w:val="28"/>
        </w:rPr>
        <w:t xml:space="preserve"> одиниць, у тому числі:</w:t>
      </w:r>
    </w:p>
    <w:p w:rsidR="00D2554D" w:rsidRPr="00242020" w:rsidRDefault="00D2554D" w:rsidP="00D2554D">
      <w:pPr>
        <w:numPr>
          <w:ilvl w:val="1"/>
          <w:numId w:val="27"/>
        </w:numPr>
        <w:tabs>
          <w:tab w:val="clear" w:pos="2149"/>
          <w:tab w:val="num" w:pos="1164"/>
        </w:tabs>
        <w:ind w:left="1164"/>
        <w:jc w:val="both"/>
        <w:rPr>
          <w:szCs w:val="28"/>
        </w:rPr>
      </w:pPr>
      <w:r w:rsidRPr="00242020">
        <w:rPr>
          <w:szCs w:val="28"/>
        </w:rPr>
        <w:t>апарат Фонду – 4</w:t>
      </w:r>
      <w:r w:rsidR="00592C14" w:rsidRPr="00242020">
        <w:rPr>
          <w:szCs w:val="28"/>
        </w:rPr>
        <w:t>6</w:t>
      </w:r>
      <w:r w:rsidRPr="00242020">
        <w:rPr>
          <w:szCs w:val="28"/>
        </w:rPr>
        <w:t>0;</w:t>
      </w:r>
    </w:p>
    <w:p w:rsidR="00D2554D" w:rsidRPr="00242020" w:rsidRDefault="00D2554D" w:rsidP="00D2554D">
      <w:pPr>
        <w:numPr>
          <w:ilvl w:val="1"/>
          <w:numId w:val="27"/>
        </w:numPr>
        <w:tabs>
          <w:tab w:val="clear" w:pos="2149"/>
          <w:tab w:val="num" w:pos="1164"/>
        </w:tabs>
        <w:ind w:left="1164"/>
        <w:jc w:val="both"/>
        <w:rPr>
          <w:szCs w:val="28"/>
        </w:rPr>
      </w:pPr>
      <w:r w:rsidRPr="00242020">
        <w:rPr>
          <w:szCs w:val="28"/>
        </w:rPr>
        <w:t>регіональн</w:t>
      </w:r>
      <w:r w:rsidR="00592C14" w:rsidRPr="00242020">
        <w:rPr>
          <w:szCs w:val="28"/>
        </w:rPr>
        <w:t>і</w:t>
      </w:r>
      <w:r w:rsidRPr="00242020">
        <w:rPr>
          <w:szCs w:val="28"/>
        </w:rPr>
        <w:t xml:space="preserve"> відділення – 1 </w:t>
      </w:r>
      <w:r w:rsidR="00592C14" w:rsidRPr="00242020">
        <w:rPr>
          <w:szCs w:val="28"/>
        </w:rPr>
        <w:t>194</w:t>
      </w:r>
      <w:r w:rsidRPr="00242020">
        <w:rPr>
          <w:szCs w:val="28"/>
        </w:rPr>
        <w:t>.</w:t>
      </w:r>
    </w:p>
    <w:p w:rsidR="00D2554D" w:rsidRPr="00242020" w:rsidRDefault="00D2554D" w:rsidP="00D2554D">
      <w:pPr>
        <w:jc w:val="both"/>
        <w:rPr>
          <w:szCs w:val="28"/>
        </w:rPr>
      </w:pPr>
      <w:r w:rsidRPr="00242020">
        <w:rPr>
          <w:szCs w:val="28"/>
        </w:rPr>
        <w:t>Мережа установ та організацій, що отримували кошти з Державного бюджету України в 201</w:t>
      </w:r>
      <w:r w:rsidR="00592C14" w:rsidRPr="00242020">
        <w:rPr>
          <w:szCs w:val="28"/>
        </w:rPr>
        <w:t>6</w:t>
      </w:r>
      <w:r w:rsidRPr="00242020">
        <w:rPr>
          <w:szCs w:val="28"/>
        </w:rPr>
        <w:t xml:space="preserve"> році, складалася з 26 розпорядників бюджетних коштів:</w:t>
      </w:r>
    </w:p>
    <w:p w:rsidR="00D2554D" w:rsidRPr="00242020" w:rsidRDefault="00D2554D" w:rsidP="00D2554D">
      <w:pPr>
        <w:jc w:val="both"/>
        <w:rPr>
          <w:szCs w:val="28"/>
        </w:rPr>
      </w:pPr>
      <w:r w:rsidRPr="00242020">
        <w:rPr>
          <w:szCs w:val="28"/>
        </w:rPr>
        <w:t>головний розпорядник – розпорядник коштів I рівня – Фонд державного майна України;</w:t>
      </w:r>
    </w:p>
    <w:p w:rsidR="00D2554D" w:rsidRPr="00242020" w:rsidRDefault="00D2554D" w:rsidP="00D2554D">
      <w:pPr>
        <w:jc w:val="both"/>
        <w:rPr>
          <w:szCs w:val="28"/>
        </w:rPr>
      </w:pPr>
      <w:r w:rsidRPr="00242020">
        <w:rPr>
          <w:szCs w:val="28"/>
        </w:rPr>
        <w:t>25 розпорядників коштів III рівня.</w:t>
      </w:r>
    </w:p>
    <w:p w:rsidR="00592C14" w:rsidRPr="00242020" w:rsidRDefault="00592C14" w:rsidP="00592C14">
      <w:pPr>
        <w:jc w:val="both"/>
        <w:rPr>
          <w:szCs w:val="28"/>
        </w:rPr>
      </w:pPr>
      <w:r w:rsidRPr="00242020">
        <w:rPr>
          <w:szCs w:val="28"/>
        </w:rPr>
        <w:t>У 2016 році Фондом забезпечено виконання повноважень головного розпорядника бюджетних коштів за 2 бюджетними програмами.</w:t>
      </w:r>
    </w:p>
    <w:p w:rsidR="00D2554D" w:rsidRPr="00242020" w:rsidRDefault="00D2554D" w:rsidP="00D2554D">
      <w:pPr>
        <w:jc w:val="both"/>
        <w:rPr>
          <w:szCs w:val="28"/>
        </w:rPr>
      </w:pPr>
      <w:r w:rsidRPr="00242020">
        <w:rPr>
          <w:szCs w:val="28"/>
        </w:rPr>
        <w:t xml:space="preserve">Загальна сума видатків, затверджена у кошторисах апарату Фонду та </w:t>
      </w:r>
      <w:r w:rsidR="001E1CA6">
        <w:rPr>
          <w:szCs w:val="28"/>
        </w:rPr>
        <w:t xml:space="preserve">його </w:t>
      </w:r>
      <w:r w:rsidRPr="00242020">
        <w:rPr>
          <w:szCs w:val="28"/>
        </w:rPr>
        <w:t>регіональних відділень, на 201</w:t>
      </w:r>
      <w:r w:rsidR="00592C14" w:rsidRPr="00242020">
        <w:rPr>
          <w:szCs w:val="28"/>
        </w:rPr>
        <w:t>6</w:t>
      </w:r>
      <w:r w:rsidRPr="00242020">
        <w:rPr>
          <w:szCs w:val="28"/>
        </w:rPr>
        <w:t xml:space="preserve"> рік становить 1</w:t>
      </w:r>
      <w:r w:rsidR="00592C14" w:rsidRPr="00242020">
        <w:rPr>
          <w:szCs w:val="28"/>
        </w:rPr>
        <w:t>80</w:t>
      </w:r>
      <w:r w:rsidRPr="00242020">
        <w:rPr>
          <w:szCs w:val="28"/>
        </w:rPr>
        <w:t> </w:t>
      </w:r>
      <w:r w:rsidR="00592C14" w:rsidRPr="00242020">
        <w:rPr>
          <w:szCs w:val="28"/>
        </w:rPr>
        <w:t>930</w:t>
      </w:r>
      <w:r w:rsidRPr="00242020">
        <w:rPr>
          <w:szCs w:val="28"/>
        </w:rPr>
        <w:t>,</w:t>
      </w:r>
      <w:r w:rsidR="00592C14" w:rsidRPr="00242020">
        <w:rPr>
          <w:szCs w:val="28"/>
        </w:rPr>
        <w:t>53</w:t>
      </w:r>
      <w:r w:rsidRPr="00242020">
        <w:rPr>
          <w:szCs w:val="28"/>
        </w:rPr>
        <w:t xml:space="preserve"> тис. грн. З них використано </w:t>
      </w:r>
      <w:r w:rsidR="00592C14" w:rsidRPr="00242020">
        <w:rPr>
          <w:szCs w:val="28"/>
        </w:rPr>
        <w:t>171</w:t>
      </w:r>
      <w:r w:rsidRPr="00242020">
        <w:rPr>
          <w:szCs w:val="28"/>
        </w:rPr>
        <w:t> </w:t>
      </w:r>
      <w:r w:rsidR="00592C14" w:rsidRPr="00242020">
        <w:rPr>
          <w:szCs w:val="28"/>
        </w:rPr>
        <w:t>018</w:t>
      </w:r>
      <w:r w:rsidRPr="00242020">
        <w:rPr>
          <w:szCs w:val="28"/>
        </w:rPr>
        <w:t>,</w:t>
      </w:r>
      <w:r w:rsidR="00592C14" w:rsidRPr="00242020">
        <w:rPr>
          <w:szCs w:val="28"/>
        </w:rPr>
        <w:t>32</w:t>
      </w:r>
      <w:r w:rsidRPr="00242020">
        <w:rPr>
          <w:szCs w:val="28"/>
        </w:rPr>
        <w:t xml:space="preserve"> тис. </w:t>
      </w:r>
      <w:proofErr w:type="spellStart"/>
      <w:r w:rsidRPr="00242020">
        <w:rPr>
          <w:szCs w:val="28"/>
        </w:rPr>
        <w:t>грн</w:t>
      </w:r>
      <w:proofErr w:type="spellEnd"/>
      <w:r w:rsidRPr="00242020">
        <w:rPr>
          <w:szCs w:val="28"/>
        </w:rPr>
        <w:t>, або 9</w:t>
      </w:r>
      <w:r w:rsidR="00592C14" w:rsidRPr="00242020">
        <w:rPr>
          <w:szCs w:val="28"/>
        </w:rPr>
        <w:t>4</w:t>
      </w:r>
      <w:r w:rsidRPr="00242020">
        <w:rPr>
          <w:szCs w:val="28"/>
        </w:rPr>
        <w:t>,</w:t>
      </w:r>
      <w:r w:rsidR="00592C14" w:rsidRPr="00242020">
        <w:rPr>
          <w:szCs w:val="28"/>
        </w:rPr>
        <w:t>5</w:t>
      </w:r>
      <w:r w:rsidRPr="00242020">
        <w:rPr>
          <w:szCs w:val="28"/>
        </w:rPr>
        <w:t xml:space="preserve"> %, </w:t>
      </w:r>
      <w:r w:rsidR="00551E32">
        <w:rPr>
          <w:szCs w:val="28"/>
        </w:rPr>
        <w:t>у</w:t>
      </w:r>
      <w:r w:rsidRPr="00242020">
        <w:rPr>
          <w:szCs w:val="28"/>
        </w:rPr>
        <w:t xml:space="preserve"> тому числі:</w:t>
      </w:r>
    </w:p>
    <w:p w:rsidR="00AD169B" w:rsidRPr="00242020" w:rsidRDefault="00AD169B" w:rsidP="00D2554D">
      <w:pPr>
        <w:jc w:val="both"/>
        <w:rPr>
          <w:sz w:val="16"/>
          <w:szCs w:val="16"/>
          <w:highlight w:val="magenta"/>
        </w:rPr>
      </w:pPr>
    </w:p>
    <w:p w:rsidR="00D2554D" w:rsidRPr="00242020" w:rsidRDefault="00D2554D" w:rsidP="002703B9">
      <w:pPr>
        <w:ind w:firstLine="851"/>
        <w:jc w:val="both"/>
        <w:rPr>
          <w:szCs w:val="28"/>
        </w:rPr>
      </w:pPr>
      <w:r w:rsidRPr="00242020">
        <w:rPr>
          <w:szCs w:val="28"/>
        </w:rPr>
        <w:t>за загальним фондом державного бюджету:</w:t>
      </w:r>
    </w:p>
    <w:p w:rsidR="00D2554D" w:rsidRPr="00242020" w:rsidRDefault="00D2554D" w:rsidP="002703B9">
      <w:pPr>
        <w:ind w:firstLine="851"/>
        <w:jc w:val="both"/>
        <w:rPr>
          <w:szCs w:val="28"/>
        </w:rPr>
      </w:pPr>
      <w:r w:rsidRPr="00242020">
        <w:rPr>
          <w:szCs w:val="28"/>
        </w:rPr>
        <w:t>затверджено кошторисом</w:t>
      </w:r>
      <w:r w:rsidRPr="00AD169B">
        <w:rPr>
          <w:szCs w:val="28"/>
        </w:rPr>
        <w:t xml:space="preserve"> </w:t>
      </w:r>
      <w:r w:rsidRPr="00242020">
        <w:rPr>
          <w:szCs w:val="28"/>
        </w:rPr>
        <w:t xml:space="preserve">– </w:t>
      </w:r>
      <w:r w:rsidR="002703B9" w:rsidRPr="00242020">
        <w:rPr>
          <w:szCs w:val="28"/>
        </w:rPr>
        <w:t xml:space="preserve">180 159,40 </w:t>
      </w:r>
      <w:r w:rsidRPr="00242020">
        <w:rPr>
          <w:szCs w:val="28"/>
        </w:rPr>
        <w:t xml:space="preserve">тис. </w:t>
      </w:r>
      <w:proofErr w:type="spellStart"/>
      <w:r w:rsidRPr="00242020">
        <w:rPr>
          <w:szCs w:val="28"/>
        </w:rPr>
        <w:t>грн</w:t>
      </w:r>
      <w:proofErr w:type="spellEnd"/>
      <w:r w:rsidRPr="00242020">
        <w:rPr>
          <w:szCs w:val="28"/>
        </w:rPr>
        <w:t>;</w:t>
      </w:r>
    </w:p>
    <w:p w:rsidR="00D2554D" w:rsidRPr="00242020" w:rsidRDefault="00D2554D" w:rsidP="002703B9">
      <w:pPr>
        <w:ind w:firstLine="851"/>
        <w:jc w:val="both"/>
        <w:rPr>
          <w:szCs w:val="28"/>
        </w:rPr>
      </w:pPr>
      <w:r w:rsidRPr="00242020">
        <w:rPr>
          <w:szCs w:val="28"/>
        </w:rPr>
        <w:t xml:space="preserve">використано (касові видатки) – </w:t>
      </w:r>
      <w:r w:rsidR="002703B9" w:rsidRPr="00242020">
        <w:rPr>
          <w:szCs w:val="28"/>
        </w:rPr>
        <w:t xml:space="preserve">170 474,21 тис. </w:t>
      </w:r>
      <w:proofErr w:type="spellStart"/>
      <w:r w:rsidR="002703B9" w:rsidRPr="00242020">
        <w:rPr>
          <w:szCs w:val="28"/>
        </w:rPr>
        <w:t>грн</w:t>
      </w:r>
      <w:proofErr w:type="spellEnd"/>
      <w:r w:rsidR="002703B9" w:rsidRPr="00242020">
        <w:rPr>
          <w:szCs w:val="28"/>
        </w:rPr>
        <w:t xml:space="preserve"> або 94,6 </w:t>
      </w:r>
      <w:r w:rsidRPr="00242020">
        <w:rPr>
          <w:szCs w:val="28"/>
        </w:rPr>
        <w:t>%;</w:t>
      </w:r>
    </w:p>
    <w:p w:rsidR="00D2554D" w:rsidRPr="00242020" w:rsidRDefault="00D2554D" w:rsidP="002703B9">
      <w:pPr>
        <w:ind w:firstLine="851"/>
        <w:jc w:val="both"/>
        <w:rPr>
          <w:sz w:val="16"/>
          <w:szCs w:val="16"/>
        </w:rPr>
      </w:pPr>
    </w:p>
    <w:p w:rsidR="00D2554D" w:rsidRPr="00242020" w:rsidRDefault="00D2554D" w:rsidP="002703B9">
      <w:pPr>
        <w:ind w:firstLine="851"/>
        <w:jc w:val="both"/>
        <w:rPr>
          <w:szCs w:val="28"/>
        </w:rPr>
      </w:pPr>
      <w:r w:rsidRPr="00242020">
        <w:rPr>
          <w:szCs w:val="28"/>
        </w:rPr>
        <w:t>за спеціальним фондом державного бюджету:</w:t>
      </w:r>
    </w:p>
    <w:p w:rsidR="00D2554D" w:rsidRPr="00242020" w:rsidRDefault="00D2554D" w:rsidP="002703B9">
      <w:pPr>
        <w:ind w:firstLine="851"/>
        <w:jc w:val="both"/>
        <w:rPr>
          <w:szCs w:val="28"/>
        </w:rPr>
      </w:pPr>
      <w:r w:rsidRPr="00242020">
        <w:rPr>
          <w:szCs w:val="28"/>
        </w:rPr>
        <w:t>затверджено кошторисом</w:t>
      </w:r>
      <w:r w:rsidRPr="00AD169B">
        <w:rPr>
          <w:szCs w:val="28"/>
        </w:rPr>
        <w:t xml:space="preserve"> </w:t>
      </w:r>
      <w:r w:rsidRPr="00242020">
        <w:rPr>
          <w:szCs w:val="28"/>
        </w:rPr>
        <w:t xml:space="preserve">– </w:t>
      </w:r>
      <w:r w:rsidR="002703B9" w:rsidRPr="00242020">
        <w:rPr>
          <w:szCs w:val="28"/>
        </w:rPr>
        <w:t>771,13</w:t>
      </w:r>
      <w:r w:rsidR="001E1CA6">
        <w:rPr>
          <w:szCs w:val="28"/>
        </w:rPr>
        <w:t xml:space="preserve"> </w:t>
      </w:r>
      <w:r w:rsidRPr="00242020">
        <w:rPr>
          <w:szCs w:val="28"/>
        </w:rPr>
        <w:t xml:space="preserve">тис. </w:t>
      </w:r>
      <w:proofErr w:type="spellStart"/>
      <w:r w:rsidRPr="00242020">
        <w:rPr>
          <w:szCs w:val="28"/>
        </w:rPr>
        <w:t>грн</w:t>
      </w:r>
      <w:proofErr w:type="spellEnd"/>
      <w:r w:rsidRPr="00242020">
        <w:rPr>
          <w:szCs w:val="28"/>
        </w:rPr>
        <w:t>;</w:t>
      </w:r>
    </w:p>
    <w:p w:rsidR="00D2554D" w:rsidRPr="00242020" w:rsidRDefault="00D2554D" w:rsidP="002703B9">
      <w:pPr>
        <w:ind w:firstLine="851"/>
        <w:jc w:val="both"/>
        <w:rPr>
          <w:szCs w:val="28"/>
        </w:rPr>
      </w:pPr>
      <w:r w:rsidRPr="00242020">
        <w:rPr>
          <w:szCs w:val="28"/>
        </w:rPr>
        <w:t xml:space="preserve">використано (касові видатки) – </w:t>
      </w:r>
      <w:r w:rsidR="002703B9" w:rsidRPr="00242020">
        <w:rPr>
          <w:szCs w:val="28"/>
        </w:rPr>
        <w:t xml:space="preserve">544,11 тис. </w:t>
      </w:r>
      <w:proofErr w:type="spellStart"/>
      <w:r w:rsidR="002703B9" w:rsidRPr="00242020">
        <w:rPr>
          <w:szCs w:val="28"/>
        </w:rPr>
        <w:t>грн</w:t>
      </w:r>
      <w:proofErr w:type="spellEnd"/>
      <w:r w:rsidR="002703B9" w:rsidRPr="00242020">
        <w:rPr>
          <w:szCs w:val="28"/>
        </w:rPr>
        <w:t xml:space="preserve"> або 70,6</w:t>
      </w:r>
      <w:r w:rsidRPr="00242020">
        <w:rPr>
          <w:szCs w:val="28"/>
        </w:rPr>
        <w:t xml:space="preserve"> %.</w:t>
      </w:r>
    </w:p>
    <w:p w:rsidR="00D2554D" w:rsidRPr="00242020" w:rsidRDefault="00D2554D" w:rsidP="00D2554D">
      <w:pPr>
        <w:jc w:val="both"/>
        <w:rPr>
          <w:sz w:val="16"/>
          <w:szCs w:val="16"/>
          <w:highlight w:val="magenta"/>
        </w:rPr>
      </w:pPr>
    </w:p>
    <w:p w:rsidR="002703B9" w:rsidRPr="00242020" w:rsidRDefault="002703B9" w:rsidP="002703B9">
      <w:pPr>
        <w:jc w:val="both"/>
        <w:rPr>
          <w:b/>
          <w:szCs w:val="28"/>
        </w:rPr>
      </w:pPr>
      <w:r w:rsidRPr="00242020">
        <w:rPr>
          <w:b/>
          <w:szCs w:val="28"/>
        </w:rPr>
        <w:t>За бюджетною програмою</w:t>
      </w:r>
      <w:r w:rsidRPr="00242020">
        <w:rPr>
          <w:szCs w:val="28"/>
        </w:rPr>
        <w:t xml:space="preserve"> </w:t>
      </w:r>
      <w:proofErr w:type="spellStart"/>
      <w:r w:rsidRPr="00242020">
        <w:rPr>
          <w:b/>
          <w:szCs w:val="28"/>
        </w:rPr>
        <w:t>КПКВК</w:t>
      </w:r>
      <w:proofErr w:type="spellEnd"/>
      <w:r w:rsidRPr="00242020">
        <w:rPr>
          <w:b/>
          <w:szCs w:val="28"/>
        </w:rPr>
        <w:t xml:space="preserve"> 6611010 </w:t>
      </w:r>
      <w:r w:rsidR="001E1CA6">
        <w:rPr>
          <w:b/>
          <w:szCs w:val="28"/>
        </w:rPr>
        <w:t>«</w:t>
      </w:r>
      <w:r w:rsidRPr="00242020">
        <w:rPr>
          <w:b/>
          <w:szCs w:val="28"/>
        </w:rPr>
        <w:t>Керівництво та управління у сфері державного майна</w:t>
      </w:r>
      <w:r w:rsidR="001E1CA6">
        <w:rPr>
          <w:b/>
          <w:szCs w:val="28"/>
        </w:rPr>
        <w:t>»</w:t>
      </w:r>
      <w:r w:rsidRPr="00242020">
        <w:rPr>
          <w:b/>
          <w:szCs w:val="28"/>
        </w:rPr>
        <w:t>:</w:t>
      </w:r>
    </w:p>
    <w:p w:rsidR="002703B9" w:rsidRPr="00242020" w:rsidRDefault="002703B9" w:rsidP="002703B9">
      <w:pPr>
        <w:ind w:firstLine="851"/>
        <w:jc w:val="both"/>
        <w:rPr>
          <w:szCs w:val="28"/>
        </w:rPr>
      </w:pPr>
      <w:r w:rsidRPr="00242020">
        <w:rPr>
          <w:szCs w:val="28"/>
        </w:rPr>
        <w:t xml:space="preserve">Затверджено кошторисом – 160 930,53 тис. </w:t>
      </w:r>
      <w:proofErr w:type="spellStart"/>
      <w:r w:rsidRPr="00242020">
        <w:rPr>
          <w:szCs w:val="28"/>
        </w:rPr>
        <w:t>грн</w:t>
      </w:r>
      <w:proofErr w:type="spellEnd"/>
      <w:r w:rsidRPr="00242020">
        <w:rPr>
          <w:szCs w:val="28"/>
        </w:rPr>
        <w:t xml:space="preserve">: </w:t>
      </w:r>
    </w:p>
    <w:p w:rsidR="002703B9" w:rsidRPr="00242020" w:rsidRDefault="002703B9" w:rsidP="002703B9">
      <w:pPr>
        <w:ind w:firstLine="851"/>
        <w:jc w:val="both"/>
        <w:rPr>
          <w:szCs w:val="28"/>
        </w:rPr>
      </w:pPr>
      <w:r w:rsidRPr="00242020">
        <w:rPr>
          <w:szCs w:val="28"/>
        </w:rPr>
        <w:t xml:space="preserve">за загальним фондом – 160 159,40 тис. </w:t>
      </w:r>
      <w:proofErr w:type="spellStart"/>
      <w:r w:rsidRPr="00242020">
        <w:rPr>
          <w:szCs w:val="28"/>
        </w:rPr>
        <w:t>грн</w:t>
      </w:r>
      <w:proofErr w:type="spellEnd"/>
      <w:r w:rsidRPr="00242020">
        <w:rPr>
          <w:szCs w:val="28"/>
        </w:rPr>
        <w:t xml:space="preserve">, </w:t>
      </w:r>
    </w:p>
    <w:p w:rsidR="002703B9" w:rsidRPr="00242020" w:rsidRDefault="002703B9" w:rsidP="002703B9">
      <w:pPr>
        <w:ind w:firstLine="851"/>
        <w:jc w:val="both"/>
        <w:rPr>
          <w:szCs w:val="28"/>
        </w:rPr>
      </w:pPr>
      <w:r w:rsidRPr="00242020">
        <w:rPr>
          <w:szCs w:val="28"/>
        </w:rPr>
        <w:t>за спеціальним фондом – 771,13 тис. грн.</w:t>
      </w:r>
    </w:p>
    <w:p w:rsidR="002703B9" w:rsidRPr="00242020" w:rsidRDefault="002703B9" w:rsidP="002703B9">
      <w:pPr>
        <w:ind w:firstLine="851"/>
        <w:jc w:val="both"/>
        <w:rPr>
          <w:szCs w:val="28"/>
        </w:rPr>
      </w:pPr>
      <w:r w:rsidRPr="00242020">
        <w:rPr>
          <w:szCs w:val="28"/>
        </w:rPr>
        <w:t xml:space="preserve">Використано (касові видатки) – 159 701,14 тис. </w:t>
      </w:r>
      <w:proofErr w:type="spellStart"/>
      <w:r w:rsidRPr="00242020">
        <w:rPr>
          <w:szCs w:val="28"/>
        </w:rPr>
        <w:t>грн</w:t>
      </w:r>
      <w:proofErr w:type="spellEnd"/>
      <w:r w:rsidRPr="00242020">
        <w:rPr>
          <w:szCs w:val="28"/>
        </w:rPr>
        <w:t xml:space="preserve"> (99,2 %): </w:t>
      </w:r>
    </w:p>
    <w:p w:rsidR="002703B9" w:rsidRPr="00242020" w:rsidRDefault="002703B9" w:rsidP="002703B9">
      <w:pPr>
        <w:ind w:firstLine="851"/>
        <w:jc w:val="both"/>
        <w:rPr>
          <w:szCs w:val="28"/>
        </w:rPr>
      </w:pPr>
      <w:r w:rsidRPr="00242020">
        <w:rPr>
          <w:szCs w:val="28"/>
        </w:rPr>
        <w:t xml:space="preserve">за загальним фондом – 159 157,03 тис. </w:t>
      </w:r>
      <w:proofErr w:type="spellStart"/>
      <w:r w:rsidRPr="00242020">
        <w:rPr>
          <w:szCs w:val="28"/>
        </w:rPr>
        <w:t>грн</w:t>
      </w:r>
      <w:proofErr w:type="spellEnd"/>
      <w:r w:rsidRPr="00242020">
        <w:rPr>
          <w:szCs w:val="28"/>
        </w:rPr>
        <w:t xml:space="preserve"> (99,4 %), </w:t>
      </w:r>
    </w:p>
    <w:p w:rsidR="002703B9" w:rsidRPr="00242020" w:rsidRDefault="002703B9" w:rsidP="002703B9">
      <w:pPr>
        <w:ind w:firstLine="851"/>
        <w:jc w:val="both"/>
        <w:rPr>
          <w:szCs w:val="28"/>
        </w:rPr>
      </w:pPr>
      <w:r w:rsidRPr="00242020">
        <w:rPr>
          <w:szCs w:val="28"/>
        </w:rPr>
        <w:t>за спеціальним фондом – 544,11 тис. грн. (70,6 %).</w:t>
      </w:r>
    </w:p>
    <w:p w:rsidR="002703B9" w:rsidRPr="00242020" w:rsidRDefault="002703B9" w:rsidP="002703B9">
      <w:pPr>
        <w:jc w:val="both"/>
        <w:rPr>
          <w:szCs w:val="28"/>
        </w:rPr>
      </w:pPr>
      <w:r w:rsidRPr="00242020">
        <w:rPr>
          <w:szCs w:val="28"/>
        </w:rPr>
        <w:t>За цією бюджетною програмою здійснюється фінансування діяльності апарату Фонду та регіональних відділень Фонду, які забезпечують реалізацію державної політики у сфері оренди, використання та відчуження державного майна, управління об’єктами державної власності, у тому числі корпоративними правами держави щодо об’єктів державної власності, що належать до сфери його управління.</w:t>
      </w:r>
    </w:p>
    <w:p w:rsidR="002703B9" w:rsidRPr="00242020" w:rsidRDefault="002703B9" w:rsidP="002703B9">
      <w:pPr>
        <w:jc w:val="both"/>
        <w:rPr>
          <w:szCs w:val="28"/>
        </w:rPr>
      </w:pPr>
      <w:r w:rsidRPr="00242020">
        <w:rPr>
          <w:szCs w:val="28"/>
        </w:rPr>
        <w:t>Протягом року забезпечено облік 1 070 850 об’єктів державної власності (державного майна), які підлягають щорічній інвентаризації для ведення Єдиного реєстру об’єктів державної власності.</w:t>
      </w:r>
    </w:p>
    <w:p w:rsidR="002703B9" w:rsidRPr="00242020" w:rsidRDefault="002703B9" w:rsidP="002703B9">
      <w:pPr>
        <w:jc w:val="both"/>
        <w:rPr>
          <w:szCs w:val="28"/>
        </w:rPr>
      </w:pPr>
      <w:r w:rsidRPr="00242020">
        <w:rPr>
          <w:szCs w:val="28"/>
        </w:rPr>
        <w:t>Станом на 01.01.2017 обліковується 19 162</w:t>
      </w:r>
      <w:r w:rsidRPr="00E216A3">
        <w:rPr>
          <w:szCs w:val="28"/>
        </w:rPr>
        <w:t xml:space="preserve"> </w:t>
      </w:r>
      <w:r w:rsidRPr="00242020">
        <w:rPr>
          <w:szCs w:val="28"/>
        </w:rPr>
        <w:t>договорів оренди.</w:t>
      </w:r>
    </w:p>
    <w:p w:rsidR="003772B9" w:rsidRPr="003772B9" w:rsidRDefault="003772B9" w:rsidP="003772B9">
      <w:pPr>
        <w:jc w:val="both"/>
        <w:rPr>
          <w:szCs w:val="28"/>
        </w:rPr>
      </w:pPr>
      <w:r w:rsidRPr="003772B9">
        <w:rPr>
          <w:szCs w:val="28"/>
        </w:rPr>
        <w:t xml:space="preserve">Відповідно до фінансових планів господарських товариств, що </w:t>
      </w:r>
      <w:r w:rsidR="001E1CA6">
        <w:rPr>
          <w:szCs w:val="28"/>
        </w:rPr>
        <w:t>належать</w:t>
      </w:r>
      <w:r w:rsidRPr="003772B9">
        <w:rPr>
          <w:szCs w:val="28"/>
        </w:rPr>
        <w:t xml:space="preserve"> до сфери управління Фонду, прогнозований розмір надходжен</w:t>
      </w:r>
      <w:r w:rsidR="001E1CA6">
        <w:rPr>
          <w:szCs w:val="28"/>
        </w:rPr>
        <w:t>ь</w:t>
      </w:r>
      <w:r w:rsidRPr="003772B9">
        <w:rPr>
          <w:szCs w:val="28"/>
        </w:rPr>
        <w:t xml:space="preserve"> дивідендів до Державного бюджету України у 2016 році, нарахованих на акції (частки, паї) господарських товариств, які належать до сфери управління Фонду</w:t>
      </w:r>
      <w:r w:rsidR="001E1CA6">
        <w:rPr>
          <w:szCs w:val="28"/>
        </w:rPr>
        <w:t>,</w:t>
      </w:r>
      <w:r w:rsidRPr="003772B9">
        <w:rPr>
          <w:szCs w:val="28"/>
        </w:rPr>
        <w:t xml:space="preserve"> становить 200 000,00 тис. грн. (</w:t>
      </w:r>
      <w:r w:rsidR="001E1CA6">
        <w:rPr>
          <w:szCs w:val="28"/>
        </w:rPr>
        <w:t>без урахування</w:t>
      </w:r>
      <w:r w:rsidRPr="003772B9">
        <w:rPr>
          <w:szCs w:val="28"/>
        </w:rPr>
        <w:t xml:space="preserve"> відрахуван</w:t>
      </w:r>
      <w:r w:rsidR="001E1CA6">
        <w:rPr>
          <w:szCs w:val="28"/>
        </w:rPr>
        <w:t>ь</w:t>
      </w:r>
      <w:r w:rsidRPr="003772B9">
        <w:rPr>
          <w:szCs w:val="28"/>
        </w:rPr>
        <w:t xml:space="preserve"> на корпоративні права держави найбільших платників ПАТ «</w:t>
      </w:r>
      <w:proofErr w:type="spellStart"/>
      <w:r w:rsidRPr="003772B9">
        <w:rPr>
          <w:szCs w:val="28"/>
        </w:rPr>
        <w:t>Турбоатом</w:t>
      </w:r>
      <w:proofErr w:type="spellEnd"/>
      <w:r w:rsidRPr="003772B9">
        <w:rPr>
          <w:szCs w:val="28"/>
        </w:rPr>
        <w:t>» та ПАТ «Одеський припортовий завод», фінансові плани яких на 2016 рік не були затверджені, а також суми відрахувань господарськи</w:t>
      </w:r>
      <w:r w:rsidR="001E1CA6">
        <w:rPr>
          <w:szCs w:val="28"/>
        </w:rPr>
        <w:t>х</w:t>
      </w:r>
      <w:r w:rsidRPr="003772B9">
        <w:rPr>
          <w:szCs w:val="28"/>
        </w:rPr>
        <w:t xml:space="preserve"> товариств, які відповідно до </w:t>
      </w:r>
      <w:r w:rsidR="001E1CA6">
        <w:rPr>
          <w:szCs w:val="28"/>
        </w:rPr>
        <w:t>чинн</w:t>
      </w:r>
      <w:r w:rsidRPr="003772B9">
        <w:rPr>
          <w:szCs w:val="28"/>
        </w:rPr>
        <w:t>ого законодавства не зобов</w:t>
      </w:r>
      <w:r w:rsidR="001E1CA6">
        <w:rPr>
          <w:szCs w:val="28"/>
        </w:rPr>
        <w:t>’</w:t>
      </w:r>
      <w:r w:rsidRPr="003772B9">
        <w:rPr>
          <w:szCs w:val="28"/>
        </w:rPr>
        <w:t>язані складати фінансові плани).</w:t>
      </w:r>
    </w:p>
    <w:p w:rsidR="003772B9" w:rsidRPr="003772B9" w:rsidRDefault="003772B9" w:rsidP="003772B9">
      <w:pPr>
        <w:jc w:val="both"/>
        <w:rPr>
          <w:szCs w:val="28"/>
        </w:rPr>
      </w:pPr>
      <w:r w:rsidRPr="003772B9">
        <w:rPr>
          <w:szCs w:val="28"/>
        </w:rPr>
        <w:t>Станом на 01.01.2017 до державного бюджету перераховано дивідендів, нарахованих на акції (частки, паї)</w:t>
      </w:r>
      <w:r w:rsidR="001E1CA6">
        <w:rPr>
          <w:szCs w:val="28"/>
        </w:rPr>
        <w:t xml:space="preserve"> господарських товариств</w:t>
      </w:r>
      <w:r w:rsidRPr="003772B9">
        <w:rPr>
          <w:szCs w:val="28"/>
        </w:rPr>
        <w:t>, які перебувають у державній власності</w:t>
      </w:r>
      <w:r w:rsidR="001E1CA6">
        <w:rPr>
          <w:szCs w:val="28"/>
        </w:rPr>
        <w:t xml:space="preserve"> та</w:t>
      </w:r>
      <w:r w:rsidRPr="003772B9">
        <w:rPr>
          <w:szCs w:val="28"/>
        </w:rPr>
        <w:t xml:space="preserve"> належать до сфери управління Фонду, з урахуванням відрахувань частини чистого прибутку обсягом 1 249 102,00 тис. грн. </w:t>
      </w:r>
    </w:p>
    <w:p w:rsidR="002703B9" w:rsidRPr="00242020" w:rsidRDefault="002703B9" w:rsidP="002703B9">
      <w:pPr>
        <w:jc w:val="both"/>
        <w:rPr>
          <w:szCs w:val="28"/>
        </w:rPr>
      </w:pPr>
      <w:r w:rsidRPr="00242020">
        <w:rPr>
          <w:szCs w:val="28"/>
        </w:rPr>
        <w:t xml:space="preserve">Законом України </w:t>
      </w:r>
      <w:r w:rsidR="001E1CA6">
        <w:rPr>
          <w:szCs w:val="28"/>
        </w:rPr>
        <w:t>«</w:t>
      </w:r>
      <w:r w:rsidRPr="00242020">
        <w:rPr>
          <w:szCs w:val="28"/>
        </w:rPr>
        <w:t>Про Державний бюджет України на 2016 рік</w:t>
      </w:r>
      <w:r w:rsidR="001E1CA6">
        <w:rPr>
          <w:szCs w:val="28"/>
        </w:rPr>
        <w:t>»</w:t>
      </w:r>
      <w:r w:rsidRPr="00242020">
        <w:rPr>
          <w:szCs w:val="28"/>
        </w:rPr>
        <w:t xml:space="preserve"> на Фонд покладено відповідальність і контроль за виконанням бюджетного завдання з н</w:t>
      </w:r>
      <w:r w:rsidRPr="00242020">
        <w:rPr>
          <w:rFonts w:eastAsia="Arial Unicode MS"/>
          <w:szCs w:val="28"/>
        </w:rPr>
        <w:t>адходження від орендної плати за користування цілісним майновим комплексом та іншим державним майном</w:t>
      </w:r>
      <w:r w:rsidRPr="00242020">
        <w:rPr>
          <w:szCs w:val="28"/>
        </w:rPr>
        <w:t xml:space="preserve"> в </w:t>
      </w:r>
      <w:r w:rsidR="001E1CA6">
        <w:rPr>
          <w:szCs w:val="28"/>
        </w:rPr>
        <w:t>розмір</w:t>
      </w:r>
      <w:r w:rsidRPr="00242020">
        <w:rPr>
          <w:szCs w:val="28"/>
        </w:rPr>
        <w:t xml:space="preserve">і </w:t>
      </w:r>
      <w:r w:rsidRPr="00242020">
        <w:rPr>
          <w:bCs/>
          <w:szCs w:val="28"/>
        </w:rPr>
        <w:t xml:space="preserve">615 000,00 тис. </w:t>
      </w:r>
      <w:proofErr w:type="spellStart"/>
      <w:r w:rsidRPr="00242020">
        <w:rPr>
          <w:szCs w:val="28"/>
        </w:rPr>
        <w:t>грн</w:t>
      </w:r>
      <w:proofErr w:type="spellEnd"/>
      <w:r w:rsidRPr="00242020">
        <w:rPr>
          <w:szCs w:val="28"/>
        </w:rPr>
        <w:t xml:space="preserve"> до державного бюджету.</w:t>
      </w:r>
    </w:p>
    <w:p w:rsidR="002703B9" w:rsidRDefault="002703B9" w:rsidP="002703B9">
      <w:pPr>
        <w:jc w:val="both"/>
        <w:rPr>
          <w:szCs w:val="28"/>
        </w:rPr>
      </w:pPr>
      <w:r w:rsidRPr="00242020">
        <w:rPr>
          <w:szCs w:val="28"/>
        </w:rPr>
        <w:t xml:space="preserve">Станом на </w:t>
      </w:r>
      <w:r w:rsidRPr="00242020">
        <w:rPr>
          <w:bCs/>
          <w:szCs w:val="28"/>
        </w:rPr>
        <w:t>01.01.2017</w:t>
      </w:r>
      <w:r w:rsidRPr="00242020">
        <w:rPr>
          <w:szCs w:val="28"/>
        </w:rPr>
        <w:t xml:space="preserve"> від оренди державного майна до державного бюджету надійшло 1 028 557,60 тис. </w:t>
      </w:r>
      <w:proofErr w:type="spellStart"/>
      <w:r w:rsidRPr="00242020">
        <w:rPr>
          <w:szCs w:val="28"/>
        </w:rPr>
        <w:t>грн</w:t>
      </w:r>
      <w:proofErr w:type="spellEnd"/>
      <w:r w:rsidRPr="00242020">
        <w:rPr>
          <w:szCs w:val="28"/>
        </w:rPr>
        <w:t>, що становить 167,3 % виконання річного завдання.</w:t>
      </w:r>
    </w:p>
    <w:p w:rsidR="001E1CA6" w:rsidRPr="00242020" w:rsidRDefault="001E1CA6" w:rsidP="002703B9">
      <w:pPr>
        <w:jc w:val="both"/>
        <w:rPr>
          <w:szCs w:val="28"/>
        </w:rPr>
      </w:pPr>
    </w:p>
    <w:p w:rsidR="002703B9" w:rsidRPr="001E1CA6" w:rsidRDefault="002703B9" w:rsidP="002703B9">
      <w:pPr>
        <w:jc w:val="both"/>
        <w:rPr>
          <w:szCs w:val="28"/>
        </w:rPr>
      </w:pPr>
    </w:p>
    <w:p w:rsidR="002703B9" w:rsidRPr="00242020" w:rsidRDefault="002703B9" w:rsidP="002703B9">
      <w:pPr>
        <w:jc w:val="both"/>
        <w:rPr>
          <w:b/>
          <w:szCs w:val="28"/>
        </w:rPr>
      </w:pPr>
      <w:r w:rsidRPr="00242020">
        <w:rPr>
          <w:b/>
          <w:szCs w:val="28"/>
        </w:rPr>
        <w:lastRenderedPageBreak/>
        <w:t xml:space="preserve">За бюджетною програмою </w:t>
      </w:r>
      <w:proofErr w:type="spellStart"/>
      <w:r w:rsidRPr="00242020">
        <w:rPr>
          <w:b/>
          <w:szCs w:val="28"/>
        </w:rPr>
        <w:t>КПКВК</w:t>
      </w:r>
      <w:proofErr w:type="spellEnd"/>
      <w:r w:rsidRPr="00242020">
        <w:rPr>
          <w:b/>
          <w:szCs w:val="28"/>
        </w:rPr>
        <w:t xml:space="preserve"> 6611020 </w:t>
      </w:r>
      <w:r w:rsidR="001E1CA6">
        <w:rPr>
          <w:b/>
          <w:szCs w:val="28"/>
        </w:rPr>
        <w:t>«</w:t>
      </w:r>
      <w:r w:rsidRPr="00242020">
        <w:rPr>
          <w:b/>
          <w:szCs w:val="28"/>
        </w:rPr>
        <w:t>Заходи, пов’язані з проведенням приватизації державного майна</w:t>
      </w:r>
      <w:r w:rsidR="001E1CA6">
        <w:rPr>
          <w:b/>
          <w:szCs w:val="28"/>
        </w:rPr>
        <w:t>»</w:t>
      </w:r>
      <w:r w:rsidRPr="00242020">
        <w:rPr>
          <w:b/>
          <w:szCs w:val="28"/>
        </w:rPr>
        <w:t>:</w:t>
      </w:r>
    </w:p>
    <w:p w:rsidR="002703B9" w:rsidRPr="00242020" w:rsidRDefault="002703B9" w:rsidP="002703B9">
      <w:pPr>
        <w:jc w:val="both"/>
        <w:rPr>
          <w:szCs w:val="28"/>
        </w:rPr>
      </w:pPr>
      <w:r w:rsidRPr="00242020">
        <w:rPr>
          <w:szCs w:val="28"/>
        </w:rPr>
        <w:t>Затверджено кошторисом за загальним фондом – 20 000,00 тис. грн</w:t>
      </w:r>
      <w:r w:rsidR="001E1CA6">
        <w:rPr>
          <w:szCs w:val="28"/>
        </w:rPr>
        <w:t>.</w:t>
      </w:r>
      <w:r w:rsidRPr="00242020">
        <w:rPr>
          <w:szCs w:val="28"/>
        </w:rPr>
        <w:t xml:space="preserve"> </w:t>
      </w:r>
    </w:p>
    <w:p w:rsidR="002703B9" w:rsidRPr="00242020" w:rsidRDefault="002703B9" w:rsidP="002703B9">
      <w:pPr>
        <w:jc w:val="both"/>
        <w:rPr>
          <w:szCs w:val="28"/>
        </w:rPr>
      </w:pPr>
      <w:r w:rsidRPr="00242020">
        <w:rPr>
          <w:szCs w:val="28"/>
        </w:rPr>
        <w:t xml:space="preserve">Використано (касові видатки) – 11 317,18 тис. </w:t>
      </w:r>
      <w:proofErr w:type="spellStart"/>
      <w:r w:rsidRPr="00242020">
        <w:rPr>
          <w:szCs w:val="28"/>
        </w:rPr>
        <w:t>грн</w:t>
      </w:r>
      <w:proofErr w:type="spellEnd"/>
      <w:r w:rsidRPr="00242020">
        <w:rPr>
          <w:szCs w:val="28"/>
        </w:rPr>
        <w:t xml:space="preserve"> (56,6 %).</w:t>
      </w:r>
    </w:p>
    <w:p w:rsidR="002703B9" w:rsidRPr="00242020" w:rsidRDefault="002703B9" w:rsidP="002703B9">
      <w:pPr>
        <w:jc w:val="both"/>
        <w:rPr>
          <w:szCs w:val="28"/>
        </w:rPr>
      </w:pPr>
      <w:r w:rsidRPr="00242020">
        <w:rPr>
          <w:szCs w:val="28"/>
        </w:rPr>
        <w:t>За цією бюджетною програмою здійснюється фінансування діяльності апарату Фонду та регіональних відділень Фонду, які забезпечують реалізацію державної політики у сфері приватизації, відчуження державного майна, державне регулювання у сфері оцінки майна, майнових прав та професійної оціночної діяльності.</w:t>
      </w:r>
    </w:p>
    <w:p w:rsidR="002703B9" w:rsidRPr="00242020" w:rsidRDefault="002703B9" w:rsidP="002703B9">
      <w:pPr>
        <w:jc w:val="both"/>
        <w:rPr>
          <w:szCs w:val="28"/>
        </w:rPr>
      </w:pPr>
      <w:r w:rsidRPr="00242020">
        <w:rPr>
          <w:szCs w:val="28"/>
        </w:rPr>
        <w:t xml:space="preserve">Протягом року підготовлено та опрацьовано 373 од. звітів про оцінку об’єктів, що підлягають приватизації, в т. ч. звітів про оцінку об’єктів разом із земельними ділянками, на яких такі об’єкти розташовані. </w:t>
      </w:r>
    </w:p>
    <w:p w:rsidR="002703B9" w:rsidRPr="00242020" w:rsidRDefault="002703B9" w:rsidP="002703B9">
      <w:pPr>
        <w:jc w:val="both"/>
        <w:rPr>
          <w:szCs w:val="28"/>
        </w:rPr>
      </w:pPr>
      <w:r w:rsidRPr="00242020">
        <w:rPr>
          <w:szCs w:val="28"/>
        </w:rPr>
        <w:t>Забезпечено контроль стану виконання 641 договор</w:t>
      </w:r>
      <w:r w:rsidR="001E1CA6">
        <w:rPr>
          <w:szCs w:val="28"/>
        </w:rPr>
        <w:t>у</w:t>
      </w:r>
      <w:r w:rsidRPr="00242020">
        <w:rPr>
          <w:szCs w:val="28"/>
        </w:rPr>
        <w:t xml:space="preserve"> купівлі-продажу державного майна.</w:t>
      </w:r>
    </w:p>
    <w:p w:rsidR="002703B9" w:rsidRPr="00242020" w:rsidRDefault="002703B9" w:rsidP="002703B9">
      <w:pPr>
        <w:jc w:val="both"/>
        <w:rPr>
          <w:szCs w:val="28"/>
        </w:rPr>
      </w:pPr>
      <w:r w:rsidRPr="00242020">
        <w:rPr>
          <w:szCs w:val="28"/>
        </w:rPr>
        <w:t xml:space="preserve">У 2016 році Фондом перераховано до Державного бюджету України від приватизації державного майна коштів у сумі 188 918,90 тис. </w:t>
      </w:r>
      <w:proofErr w:type="spellStart"/>
      <w:r w:rsidRPr="00242020">
        <w:rPr>
          <w:szCs w:val="28"/>
        </w:rPr>
        <w:t>грн</w:t>
      </w:r>
      <w:proofErr w:type="spellEnd"/>
      <w:r w:rsidRPr="00242020">
        <w:rPr>
          <w:szCs w:val="28"/>
        </w:rPr>
        <w:t>, що складає 1,1 % виконання планового показника (17</w:t>
      </w:r>
      <w:r w:rsidR="004252F1" w:rsidRPr="00242020">
        <w:rPr>
          <w:szCs w:val="28"/>
        </w:rPr>
        <w:t> </w:t>
      </w:r>
      <w:r w:rsidRPr="00242020">
        <w:rPr>
          <w:szCs w:val="28"/>
        </w:rPr>
        <w:t>100</w:t>
      </w:r>
      <w:r w:rsidR="004252F1" w:rsidRPr="00242020">
        <w:rPr>
          <w:szCs w:val="28"/>
        </w:rPr>
        <w:t> </w:t>
      </w:r>
      <w:r w:rsidRPr="00242020">
        <w:rPr>
          <w:szCs w:val="28"/>
        </w:rPr>
        <w:t xml:space="preserve">000,00 тис. </w:t>
      </w:r>
      <w:proofErr w:type="spellStart"/>
      <w:r w:rsidRPr="00242020">
        <w:rPr>
          <w:szCs w:val="28"/>
        </w:rPr>
        <w:t>грн</w:t>
      </w:r>
      <w:proofErr w:type="spellEnd"/>
      <w:r w:rsidRPr="00242020">
        <w:rPr>
          <w:szCs w:val="28"/>
        </w:rPr>
        <w:t>).</w:t>
      </w:r>
    </w:p>
    <w:p w:rsidR="002703B9" w:rsidRPr="00242020" w:rsidRDefault="002703B9" w:rsidP="002703B9">
      <w:pPr>
        <w:jc w:val="both"/>
        <w:rPr>
          <w:szCs w:val="28"/>
        </w:rPr>
      </w:pPr>
      <w:r w:rsidRPr="00242020">
        <w:rPr>
          <w:szCs w:val="28"/>
        </w:rPr>
        <w:t>Надходження коштів від продажу земельних ділянок несільськогосподарського призначення, що перебувають у державній власності, на яких розташовані об’єкти, що підлягають приватизації в 2016 році</w:t>
      </w:r>
      <w:r w:rsidR="001E1CA6">
        <w:rPr>
          <w:szCs w:val="28"/>
        </w:rPr>
        <w:t>,</w:t>
      </w:r>
      <w:r w:rsidRPr="00242020">
        <w:rPr>
          <w:szCs w:val="28"/>
        </w:rPr>
        <w:t xml:space="preserve"> були заплановані у сумі 2 528,00 тис. </w:t>
      </w:r>
      <w:proofErr w:type="spellStart"/>
      <w:r w:rsidRPr="00242020">
        <w:rPr>
          <w:szCs w:val="28"/>
        </w:rPr>
        <w:t>грн</w:t>
      </w:r>
      <w:proofErr w:type="spellEnd"/>
      <w:r w:rsidRPr="00242020">
        <w:rPr>
          <w:szCs w:val="28"/>
        </w:rPr>
        <w:t>,</w:t>
      </w:r>
      <w:r w:rsidRPr="00C5537C">
        <w:rPr>
          <w:szCs w:val="28"/>
        </w:rPr>
        <w:t xml:space="preserve"> </w:t>
      </w:r>
      <w:r w:rsidRPr="00242020">
        <w:rPr>
          <w:szCs w:val="28"/>
        </w:rPr>
        <w:t xml:space="preserve">фактично надійшло 4 274,20 тис. </w:t>
      </w:r>
      <w:proofErr w:type="spellStart"/>
      <w:r w:rsidRPr="00242020">
        <w:rPr>
          <w:szCs w:val="28"/>
        </w:rPr>
        <w:t>грн</w:t>
      </w:r>
      <w:proofErr w:type="spellEnd"/>
      <w:r w:rsidRPr="00242020">
        <w:rPr>
          <w:szCs w:val="28"/>
        </w:rPr>
        <w:t>,</w:t>
      </w:r>
      <w:r w:rsidRPr="00E216A3">
        <w:rPr>
          <w:szCs w:val="28"/>
        </w:rPr>
        <w:t xml:space="preserve"> </w:t>
      </w:r>
      <w:r w:rsidRPr="00242020">
        <w:rPr>
          <w:szCs w:val="28"/>
        </w:rPr>
        <w:t>що становить 169,1 % виконання річного плану.</w:t>
      </w:r>
    </w:p>
    <w:p w:rsidR="002703B9" w:rsidRPr="00242020" w:rsidRDefault="002703B9" w:rsidP="002703B9">
      <w:pPr>
        <w:jc w:val="both"/>
        <w:rPr>
          <w:szCs w:val="28"/>
        </w:rPr>
      </w:pPr>
      <w:r w:rsidRPr="00242020">
        <w:rPr>
          <w:szCs w:val="28"/>
        </w:rPr>
        <w:t>Фонд у межах затверджених видатків в Державному бюджеті України на 2016 рік забезпечував ефективне, результативне і цільове використання бюджетних коштів. Затверджені видатки у 2016 році були мінімальними та забезпечували лише основні напрями видатків.</w:t>
      </w:r>
    </w:p>
    <w:p w:rsidR="002703B9" w:rsidRPr="00242020" w:rsidRDefault="002703B9" w:rsidP="002703B9">
      <w:pPr>
        <w:jc w:val="both"/>
        <w:rPr>
          <w:szCs w:val="28"/>
        </w:rPr>
      </w:pPr>
      <w:r w:rsidRPr="00242020">
        <w:rPr>
          <w:szCs w:val="28"/>
        </w:rPr>
        <w:t>Інформація про бюджет за бюджетними програмами (загальний фонд, спеціальний фонд, разом) з деталізацією за кодами економічної класифікації видатків бюджету, затвердженою наказом Міністерства фінансів України від 01</w:t>
      </w:r>
      <w:r w:rsidR="001C7E15" w:rsidRPr="00242020">
        <w:rPr>
          <w:szCs w:val="28"/>
        </w:rPr>
        <w:t> </w:t>
      </w:r>
      <w:r w:rsidRPr="00242020">
        <w:rPr>
          <w:szCs w:val="28"/>
        </w:rPr>
        <w:t>грудня 2010 року №</w:t>
      </w:r>
      <w:r w:rsidR="001C7E15" w:rsidRPr="00242020">
        <w:rPr>
          <w:szCs w:val="28"/>
        </w:rPr>
        <w:t> </w:t>
      </w:r>
      <w:r w:rsidRPr="00242020">
        <w:rPr>
          <w:szCs w:val="28"/>
        </w:rPr>
        <w:t xml:space="preserve">1489 </w:t>
      </w:r>
      <w:r w:rsidR="007E7B3A">
        <w:rPr>
          <w:szCs w:val="28"/>
        </w:rPr>
        <w:t>«</w:t>
      </w:r>
      <w:r w:rsidRPr="00242020">
        <w:rPr>
          <w:szCs w:val="28"/>
        </w:rPr>
        <w:t>Про затвердження Вимог та форм публічного представлення головними розпорядниками коштів державного бюджету інформації про бюджет</w:t>
      </w:r>
      <w:r w:rsidR="007E7B3A">
        <w:rPr>
          <w:szCs w:val="28"/>
        </w:rPr>
        <w:t>»</w:t>
      </w:r>
      <w:r w:rsidRPr="00242020">
        <w:rPr>
          <w:szCs w:val="28"/>
        </w:rPr>
        <w:t xml:space="preserve"> наведена в додатку.</w:t>
      </w:r>
    </w:p>
    <w:p w:rsidR="00D2554D" w:rsidRDefault="00D2554D" w:rsidP="00D2554D">
      <w:pPr>
        <w:jc w:val="center"/>
        <w:rPr>
          <w:highlight w:val="magenta"/>
        </w:rPr>
      </w:pPr>
    </w:p>
    <w:p w:rsidR="00AD169B" w:rsidRDefault="00AD169B" w:rsidP="00D2554D">
      <w:pPr>
        <w:jc w:val="center"/>
        <w:rPr>
          <w:highlight w:val="magenta"/>
        </w:rPr>
      </w:pPr>
    </w:p>
    <w:p w:rsidR="00AD169B" w:rsidRDefault="00AD169B" w:rsidP="00D2554D">
      <w:pPr>
        <w:jc w:val="center"/>
        <w:rPr>
          <w:highlight w:val="magenta"/>
        </w:rPr>
      </w:pPr>
    </w:p>
    <w:p w:rsidR="007E7B3A" w:rsidRDefault="007E7B3A" w:rsidP="00D2554D">
      <w:pPr>
        <w:jc w:val="center"/>
        <w:rPr>
          <w:highlight w:val="magenta"/>
        </w:rPr>
      </w:pPr>
    </w:p>
    <w:p w:rsidR="007E7B3A" w:rsidRDefault="007E7B3A" w:rsidP="00D2554D">
      <w:pPr>
        <w:jc w:val="center"/>
        <w:rPr>
          <w:highlight w:val="magenta"/>
        </w:rPr>
      </w:pPr>
    </w:p>
    <w:p w:rsidR="007E7B3A" w:rsidRDefault="007E7B3A" w:rsidP="00D2554D">
      <w:pPr>
        <w:jc w:val="center"/>
        <w:rPr>
          <w:highlight w:val="magenta"/>
        </w:rPr>
      </w:pPr>
    </w:p>
    <w:p w:rsidR="007E7B3A" w:rsidRDefault="007E7B3A" w:rsidP="00D2554D">
      <w:pPr>
        <w:jc w:val="center"/>
        <w:rPr>
          <w:highlight w:val="magenta"/>
        </w:rPr>
      </w:pPr>
    </w:p>
    <w:p w:rsidR="007E7B3A" w:rsidRDefault="007E7B3A" w:rsidP="00D2554D">
      <w:pPr>
        <w:jc w:val="center"/>
        <w:rPr>
          <w:highlight w:val="magenta"/>
        </w:rPr>
      </w:pPr>
    </w:p>
    <w:p w:rsidR="007E7B3A" w:rsidRDefault="007E7B3A" w:rsidP="00D2554D">
      <w:pPr>
        <w:jc w:val="center"/>
        <w:rPr>
          <w:highlight w:val="magenta"/>
        </w:rPr>
      </w:pPr>
    </w:p>
    <w:p w:rsidR="00AD169B" w:rsidRPr="00242020" w:rsidRDefault="00AD169B" w:rsidP="00D2554D">
      <w:pPr>
        <w:jc w:val="center"/>
        <w:rPr>
          <w:highlight w:val="magenta"/>
        </w:rPr>
      </w:pPr>
    </w:p>
    <w:p w:rsidR="00D2554D" w:rsidRPr="00242020" w:rsidRDefault="00D2554D" w:rsidP="00D2554D">
      <w:pPr>
        <w:jc w:val="center"/>
        <w:rPr>
          <w:highlight w:val="magenta"/>
        </w:rPr>
      </w:pPr>
    </w:p>
    <w:p w:rsidR="00D2554D" w:rsidRPr="00242020" w:rsidRDefault="00D2554D" w:rsidP="00D2554D">
      <w:pPr>
        <w:jc w:val="center"/>
        <w:rPr>
          <w:highlight w:val="magenta"/>
        </w:rPr>
      </w:pPr>
    </w:p>
    <w:p w:rsidR="00D2554D" w:rsidRPr="00242020" w:rsidRDefault="00D2554D" w:rsidP="00D2554D">
      <w:pPr>
        <w:jc w:val="center"/>
        <w:rPr>
          <w:highlight w:val="magenta"/>
        </w:rPr>
      </w:pPr>
    </w:p>
    <w:p w:rsidR="00D2554D" w:rsidRPr="00242020" w:rsidRDefault="00D2554D" w:rsidP="00D2554D">
      <w:pPr>
        <w:ind w:left="5508" w:firstLine="21"/>
        <w:jc w:val="both"/>
      </w:pPr>
      <w:r w:rsidRPr="00242020">
        <w:lastRenderedPageBreak/>
        <w:t xml:space="preserve">Додаток до Інформації про бюджет головного розпорядника бюджетних коштів за </w:t>
      </w:r>
      <w:proofErr w:type="spellStart"/>
      <w:r w:rsidRPr="00242020">
        <w:t>КВКВ</w:t>
      </w:r>
      <w:proofErr w:type="spellEnd"/>
      <w:r w:rsidRPr="00242020">
        <w:t xml:space="preserve"> 661 «Фонд державного майна України» за 201</w:t>
      </w:r>
      <w:r w:rsidR="00102F52" w:rsidRPr="00242020">
        <w:t>6</w:t>
      </w:r>
      <w:r w:rsidRPr="00242020">
        <w:t xml:space="preserve"> рік</w:t>
      </w:r>
    </w:p>
    <w:p w:rsidR="00D2554D" w:rsidRPr="00242020" w:rsidRDefault="00D2554D" w:rsidP="00D2554D">
      <w:pPr>
        <w:jc w:val="center"/>
        <w:rPr>
          <w:sz w:val="16"/>
          <w:szCs w:val="16"/>
        </w:rPr>
      </w:pPr>
    </w:p>
    <w:p w:rsidR="00D2554D" w:rsidRPr="00242020" w:rsidRDefault="00D2554D" w:rsidP="00D2554D">
      <w:pPr>
        <w:jc w:val="center"/>
        <w:rPr>
          <w:b/>
          <w:szCs w:val="28"/>
        </w:rPr>
      </w:pPr>
      <w:r w:rsidRPr="00242020">
        <w:rPr>
          <w:b/>
          <w:szCs w:val="28"/>
        </w:rPr>
        <w:t>Інформація про бюджет за бюджетними програмами з деталізацією за кодами економічної класифікації видатків бюджету</w:t>
      </w:r>
    </w:p>
    <w:p w:rsidR="00D2554D" w:rsidRPr="00242020" w:rsidRDefault="00D2554D" w:rsidP="00D2554D">
      <w:pPr>
        <w:jc w:val="center"/>
        <w:rPr>
          <w:b/>
          <w:szCs w:val="28"/>
          <w:u w:val="single"/>
        </w:rPr>
      </w:pPr>
      <w:r w:rsidRPr="00242020">
        <w:rPr>
          <w:b/>
          <w:szCs w:val="28"/>
          <w:u w:val="single"/>
        </w:rPr>
        <w:t>Фонд державного майна України</w:t>
      </w:r>
    </w:p>
    <w:p w:rsidR="00D2554D" w:rsidRPr="00242020" w:rsidRDefault="00D2554D" w:rsidP="00D2554D">
      <w:pPr>
        <w:jc w:val="center"/>
        <w:rPr>
          <w:b/>
          <w:szCs w:val="28"/>
          <w:u w:val="single"/>
        </w:rPr>
      </w:pPr>
      <w:r w:rsidRPr="00242020">
        <w:rPr>
          <w:b/>
          <w:szCs w:val="28"/>
          <w:u w:val="single"/>
        </w:rPr>
        <w:t>за 201</w:t>
      </w:r>
      <w:r w:rsidR="00102F52" w:rsidRPr="00242020">
        <w:rPr>
          <w:b/>
          <w:szCs w:val="28"/>
          <w:u w:val="single"/>
        </w:rPr>
        <w:t>6</w:t>
      </w:r>
      <w:r w:rsidRPr="00242020">
        <w:rPr>
          <w:b/>
          <w:szCs w:val="28"/>
          <w:u w:val="single"/>
        </w:rPr>
        <w:t xml:space="preserve"> рік</w:t>
      </w:r>
    </w:p>
    <w:p w:rsidR="00D2554D" w:rsidRPr="00242020" w:rsidRDefault="00D2554D" w:rsidP="00D2554D">
      <w:pPr>
        <w:jc w:val="center"/>
        <w:rPr>
          <w:b/>
          <w:sz w:val="16"/>
          <w:szCs w:val="16"/>
          <w:u w:val="single"/>
        </w:rPr>
      </w:pPr>
    </w:p>
    <w:p w:rsidR="00D2554D" w:rsidRPr="00242020" w:rsidRDefault="00D2554D" w:rsidP="00D2554D">
      <w:pPr>
        <w:jc w:val="right"/>
      </w:pPr>
      <w:r w:rsidRPr="00242020">
        <w:t xml:space="preserve">(тис. </w:t>
      </w:r>
      <w:proofErr w:type="spellStart"/>
      <w:r w:rsidRPr="00242020">
        <w:t>грн</w:t>
      </w:r>
      <w:proofErr w:type="spellEnd"/>
      <w:r w:rsidRPr="00242020">
        <w:t>)</w:t>
      </w:r>
    </w:p>
    <w:tbl>
      <w:tblPr>
        <w:tblW w:w="96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1263"/>
        <w:gridCol w:w="1230"/>
        <w:gridCol w:w="1230"/>
        <w:gridCol w:w="1212"/>
        <w:gridCol w:w="1338"/>
        <w:gridCol w:w="1212"/>
      </w:tblGrid>
      <w:tr w:rsidR="00D2554D" w:rsidRPr="00242020" w:rsidTr="00E37DE1">
        <w:trPr>
          <w:trHeight w:val="255"/>
        </w:trPr>
        <w:tc>
          <w:tcPr>
            <w:tcW w:w="2160" w:type="dxa"/>
            <w:vMerge w:val="restart"/>
            <w:shd w:val="clear" w:color="auto" w:fill="D9D9D9" w:themeFill="background1" w:themeFillShade="D9"/>
            <w:vAlign w:val="center"/>
          </w:tcPr>
          <w:p w:rsidR="00D2554D" w:rsidRPr="00242020" w:rsidRDefault="00102F52" w:rsidP="00D2554D">
            <w:pPr>
              <w:ind w:firstLine="0"/>
              <w:jc w:val="center"/>
              <w:rPr>
                <w:sz w:val="16"/>
                <w:szCs w:val="16"/>
                <w:highlight w:val="magenta"/>
              </w:rPr>
            </w:pPr>
            <w:r w:rsidRPr="00242020">
              <w:rPr>
                <w:sz w:val="16"/>
                <w:szCs w:val="16"/>
              </w:rPr>
              <w:t>Код програмної класифікації видатків та кредитування бюджету/код економічної класифікації видатків бюджету або код кредитування бюджету</w:t>
            </w:r>
          </w:p>
        </w:tc>
        <w:tc>
          <w:tcPr>
            <w:tcW w:w="2493" w:type="dxa"/>
            <w:gridSpan w:val="2"/>
            <w:shd w:val="clear" w:color="auto" w:fill="D9D9D9" w:themeFill="background1" w:themeFillShade="D9"/>
            <w:noWrap/>
            <w:vAlign w:val="center"/>
          </w:tcPr>
          <w:p w:rsidR="00D2554D" w:rsidRPr="00242020" w:rsidRDefault="00D2554D" w:rsidP="00D2554D">
            <w:pPr>
              <w:ind w:firstLine="0"/>
              <w:jc w:val="center"/>
              <w:rPr>
                <w:sz w:val="16"/>
                <w:szCs w:val="16"/>
              </w:rPr>
            </w:pPr>
            <w:r w:rsidRPr="00242020">
              <w:rPr>
                <w:sz w:val="16"/>
                <w:szCs w:val="16"/>
              </w:rPr>
              <w:t>Загальний фонд</w:t>
            </w:r>
          </w:p>
        </w:tc>
        <w:tc>
          <w:tcPr>
            <w:tcW w:w="2442" w:type="dxa"/>
            <w:gridSpan w:val="2"/>
            <w:shd w:val="clear" w:color="auto" w:fill="D9D9D9" w:themeFill="background1" w:themeFillShade="D9"/>
            <w:noWrap/>
            <w:vAlign w:val="center"/>
          </w:tcPr>
          <w:p w:rsidR="00D2554D" w:rsidRPr="00242020" w:rsidRDefault="00D2554D" w:rsidP="00D2554D">
            <w:pPr>
              <w:ind w:firstLine="0"/>
              <w:jc w:val="center"/>
              <w:rPr>
                <w:sz w:val="16"/>
                <w:szCs w:val="16"/>
              </w:rPr>
            </w:pPr>
            <w:r w:rsidRPr="00242020">
              <w:rPr>
                <w:sz w:val="16"/>
                <w:szCs w:val="16"/>
              </w:rPr>
              <w:t>Спеціальний фонд</w:t>
            </w:r>
          </w:p>
        </w:tc>
        <w:tc>
          <w:tcPr>
            <w:tcW w:w="2550" w:type="dxa"/>
            <w:gridSpan w:val="2"/>
            <w:shd w:val="clear" w:color="auto" w:fill="D9D9D9" w:themeFill="background1" w:themeFillShade="D9"/>
            <w:noWrap/>
            <w:vAlign w:val="center"/>
          </w:tcPr>
          <w:p w:rsidR="00D2554D" w:rsidRPr="00242020" w:rsidRDefault="00D2554D" w:rsidP="00D2554D">
            <w:pPr>
              <w:ind w:firstLine="0"/>
              <w:jc w:val="center"/>
              <w:rPr>
                <w:sz w:val="16"/>
                <w:szCs w:val="16"/>
              </w:rPr>
            </w:pPr>
            <w:r w:rsidRPr="00242020">
              <w:rPr>
                <w:sz w:val="16"/>
                <w:szCs w:val="16"/>
              </w:rPr>
              <w:t>Разом</w:t>
            </w:r>
          </w:p>
        </w:tc>
      </w:tr>
      <w:tr w:rsidR="00D2554D" w:rsidRPr="00242020" w:rsidTr="00E37DE1">
        <w:trPr>
          <w:trHeight w:val="1080"/>
        </w:trPr>
        <w:tc>
          <w:tcPr>
            <w:tcW w:w="2160" w:type="dxa"/>
            <w:vMerge/>
            <w:shd w:val="clear" w:color="auto" w:fill="auto"/>
            <w:vAlign w:val="center"/>
          </w:tcPr>
          <w:p w:rsidR="00D2554D" w:rsidRPr="00242020" w:rsidRDefault="00D2554D" w:rsidP="00D2554D">
            <w:pPr>
              <w:ind w:firstLine="0"/>
              <w:rPr>
                <w:sz w:val="16"/>
                <w:szCs w:val="16"/>
                <w:highlight w:val="magenta"/>
              </w:rPr>
            </w:pPr>
          </w:p>
        </w:tc>
        <w:tc>
          <w:tcPr>
            <w:tcW w:w="1263" w:type="dxa"/>
            <w:shd w:val="clear" w:color="auto" w:fill="auto"/>
            <w:vAlign w:val="center"/>
          </w:tcPr>
          <w:p w:rsidR="00D2554D" w:rsidRPr="00242020" w:rsidRDefault="00D2554D" w:rsidP="00102F52">
            <w:pPr>
              <w:ind w:firstLine="0"/>
              <w:jc w:val="center"/>
              <w:rPr>
                <w:sz w:val="16"/>
                <w:szCs w:val="16"/>
              </w:rPr>
            </w:pPr>
            <w:r w:rsidRPr="00242020">
              <w:rPr>
                <w:sz w:val="16"/>
                <w:szCs w:val="16"/>
              </w:rPr>
              <w:t>План на 201</w:t>
            </w:r>
            <w:r w:rsidR="00102F52" w:rsidRPr="00242020">
              <w:rPr>
                <w:sz w:val="16"/>
                <w:szCs w:val="16"/>
              </w:rPr>
              <w:t>6</w:t>
            </w:r>
            <w:r w:rsidRPr="00242020">
              <w:rPr>
                <w:sz w:val="16"/>
                <w:szCs w:val="16"/>
              </w:rPr>
              <w:t xml:space="preserve"> рік з урахуванням внесених змін</w:t>
            </w:r>
          </w:p>
        </w:tc>
        <w:tc>
          <w:tcPr>
            <w:tcW w:w="1230" w:type="dxa"/>
            <w:shd w:val="clear" w:color="auto" w:fill="auto"/>
            <w:vAlign w:val="center"/>
          </w:tcPr>
          <w:p w:rsidR="00D2554D" w:rsidRPr="00242020" w:rsidRDefault="00D2554D" w:rsidP="00102F52">
            <w:pPr>
              <w:ind w:firstLine="0"/>
              <w:jc w:val="center"/>
              <w:rPr>
                <w:sz w:val="16"/>
                <w:szCs w:val="16"/>
              </w:rPr>
            </w:pPr>
            <w:r w:rsidRPr="00242020">
              <w:rPr>
                <w:sz w:val="16"/>
                <w:szCs w:val="16"/>
              </w:rPr>
              <w:t>Касове виконання за 201</w:t>
            </w:r>
            <w:r w:rsidR="00102F52" w:rsidRPr="00242020">
              <w:rPr>
                <w:sz w:val="16"/>
                <w:szCs w:val="16"/>
              </w:rPr>
              <w:t>6</w:t>
            </w:r>
            <w:r w:rsidRPr="00242020">
              <w:rPr>
                <w:sz w:val="16"/>
                <w:szCs w:val="16"/>
              </w:rPr>
              <w:t xml:space="preserve"> рік</w:t>
            </w:r>
          </w:p>
        </w:tc>
        <w:tc>
          <w:tcPr>
            <w:tcW w:w="1230" w:type="dxa"/>
            <w:shd w:val="clear" w:color="auto" w:fill="auto"/>
            <w:vAlign w:val="center"/>
          </w:tcPr>
          <w:p w:rsidR="00D2554D" w:rsidRPr="00242020" w:rsidRDefault="00D2554D" w:rsidP="00102F52">
            <w:pPr>
              <w:ind w:firstLine="0"/>
              <w:jc w:val="center"/>
              <w:rPr>
                <w:sz w:val="16"/>
                <w:szCs w:val="16"/>
              </w:rPr>
            </w:pPr>
            <w:r w:rsidRPr="00242020">
              <w:rPr>
                <w:sz w:val="16"/>
                <w:szCs w:val="16"/>
              </w:rPr>
              <w:t>План на 201</w:t>
            </w:r>
            <w:r w:rsidR="00102F52" w:rsidRPr="00242020">
              <w:rPr>
                <w:sz w:val="16"/>
                <w:szCs w:val="16"/>
              </w:rPr>
              <w:t>6</w:t>
            </w:r>
            <w:r w:rsidRPr="00242020">
              <w:rPr>
                <w:sz w:val="16"/>
                <w:szCs w:val="16"/>
              </w:rPr>
              <w:t xml:space="preserve"> рік з урахуванням внесених змін</w:t>
            </w:r>
          </w:p>
        </w:tc>
        <w:tc>
          <w:tcPr>
            <w:tcW w:w="1212" w:type="dxa"/>
            <w:shd w:val="clear" w:color="auto" w:fill="auto"/>
            <w:vAlign w:val="center"/>
          </w:tcPr>
          <w:p w:rsidR="00D2554D" w:rsidRPr="00242020" w:rsidRDefault="00D2554D" w:rsidP="00102F52">
            <w:pPr>
              <w:ind w:firstLine="0"/>
              <w:jc w:val="center"/>
              <w:rPr>
                <w:sz w:val="16"/>
                <w:szCs w:val="16"/>
              </w:rPr>
            </w:pPr>
            <w:r w:rsidRPr="00242020">
              <w:rPr>
                <w:sz w:val="16"/>
                <w:szCs w:val="16"/>
              </w:rPr>
              <w:t>Касове виконання за 201</w:t>
            </w:r>
            <w:r w:rsidR="00102F52" w:rsidRPr="00242020">
              <w:rPr>
                <w:sz w:val="16"/>
                <w:szCs w:val="16"/>
              </w:rPr>
              <w:t>6</w:t>
            </w:r>
            <w:r w:rsidRPr="00242020">
              <w:rPr>
                <w:sz w:val="16"/>
                <w:szCs w:val="16"/>
              </w:rPr>
              <w:t xml:space="preserve"> рік</w:t>
            </w:r>
          </w:p>
        </w:tc>
        <w:tc>
          <w:tcPr>
            <w:tcW w:w="1338" w:type="dxa"/>
            <w:shd w:val="clear" w:color="auto" w:fill="auto"/>
            <w:vAlign w:val="center"/>
          </w:tcPr>
          <w:p w:rsidR="00D2554D" w:rsidRPr="00242020" w:rsidRDefault="00D2554D" w:rsidP="00102F52">
            <w:pPr>
              <w:ind w:firstLine="0"/>
              <w:jc w:val="center"/>
              <w:rPr>
                <w:sz w:val="16"/>
                <w:szCs w:val="16"/>
              </w:rPr>
            </w:pPr>
            <w:r w:rsidRPr="00242020">
              <w:rPr>
                <w:sz w:val="16"/>
                <w:szCs w:val="16"/>
              </w:rPr>
              <w:t>План на 201</w:t>
            </w:r>
            <w:r w:rsidR="00102F52" w:rsidRPr="00242020">
              <w:rPr>
                <w:sz w:val="16"/>
                <w:szCs w:val="16"/>
              </w:rPr>
              <w:t>6</w:t>
            </w:r>
            <w:r w:rsidRPr="00242020">
              <w:rPr>
                <w:sz w:val="16"/>
                <w:szCs w:val="16"/>
              </w:rPr>
              <w:t xml:space="preserve"> рік з урахуванням внесених змін</w:t>
            </w:r>
          </w:p>
        </w:tc>
        <w:tc>
          <w:tcPr>
            <w:tcW w:w="1212" w:type="dxa"/>
            <w:shd w:val="clear" w:color="auto" w:fill="auto"/>
            <w:vAlign w:val="center"/>
          </w:tcPr>
          <w:p w:rsidR="00D2554D" w:rsidRPr="00242020" w:rsidRDefault="00D2554D" w:rsidP="00102F52">
            <w:pPr>
              <w:ind w:firstLine="0"/>
              <w:jc w:val="center"/>
              <w:rPr>
                <w:sz w:val="16"/>
                <w:szCs w:val="16"/>
              </w:rPr>
            </w:pPr>
            <w:r w:rsidRPr="00242020">
              <w:rPr>
                <w:sz w:val="16"/>
                <w:szCs w:val="16"/>
              </w:rPr>
              <w:t>Касове виконання за 201</w:t>
            </w:r>
            <w:r w:rsidR="00102F52" w:rsidRPr="00242020">
              <w:rPr>
                <w:sz w:val="16"/>
                <w:szCs w:val="16"/>
              </w:rPr>
              <w:t>6</w:t>
            </w:r>
            <w:r w:rsidRPr="00242020">
              <w:rPr>
                <w:sz w:val="16"/>
                <w:szCs w:val="16"/>
              </w:rPr>
              <w:t xml:space="preserve"> рік</w:t>
            </w:r>
          </w:p>
        </w:tc>
      </w:tr>
      <w:tr w:rsidR="00D2554D" w:rsidRPr="00242020" w:rsidTr="00E37DE1">
        <w:trPr>
          <w:trHeight w:val="339"/>
        </w:trPr>
        <w:tc>
          <w:tcPr>
            <w:tcW w:w="2160" w:type="dxa"/>
            <w:shd w:val="clear" w:color="auto" w:fill="D9D9D9" w:themeFill="background1" w:themeFillShade="D9"/>
            <w:vAlign w:val="center"/>
          </w:tcPr>
          <w:p w:rsidR="00D2554D" w:rsidRPr="00242020" w:rsidRDefault="00D2554D" w:rsidP="00D2554D">
            <w:pPr>
              <w:ind w:firstLine="0"/>
              <w:jc w:val="center"/>
              <w:rPr>
                <w:b/>
                <w:sz w:val="20"/>
              </w:rPr>
            </w:pPr>
            <w:r w:rsidRPr="00242020">
              <w:rPr>
                <w:b/>
                <w:sz w:val="20"/>
              </w:rPr>
              <w:t>1</w:t>
            </w:r>
          </w:p>
        </w:tc>
        <w:tc>
          <w:tcPr>
            <w:tcW w:w="1263" w:type="dxa"/>
            <w:shd w:val="clear" w:color="auto" w:fill="D9D9D9" w:themeFill="background1" w:themeFillShade="D9"/>
            <w:noWrap/>
            <w:vAlign w:val="center"/>
          </w:tcPr>
          <w:p w:rsidR="00D2554D" w:rsidRPr="00242020" w:rsidRDefault="00D2554D" w:rsidP="00D2554D">
            <w:pPr>
              <w:ind w:firstLine="0"/>
              <w:jc w:val="center"/>
              <w:rPr>
                <w:b/>
                <w:sz w:val="20"/>
              </w:rPr>
            </w:pPr>
            <w:r w:rsidRPr="00242020">
              <w:rPr>
                <w:b/>
                <w:sz w:val="20"/>
              </w:rPr>
              <w:t>2</w:t>
            </w:r>
          </w:p>
        </w:tc>
        <w:tc>
          <w:tcPr>
            <w:tcW w:w="1230" w:type="dxa"/>
            <w:shd w:val="clear" w:color="auto" w:fill="D9D9D9" w:themeFill="background1" w:themeFillShade="D9"/>
            <w:noWrap/>
            <w:vAlign w:val="center"/>
          </w:tcPr>
          <w:p w:rsidR="00D2554D" w:rsidRPr="00242020" w:rsidRDefault="00D2554D" w:rsidP="00D2554D">
            <w:pPr>
              <w:ind w:firstLine="0"/>
              <w:jc w:val="center"/>
              <w:rPr>
                <w:b/>
                <w:sz w:val="20"/>
              </w:rPr>
            </w:pPr>
            <w:r w:rsidRPr="00242020">
              <w:rPr>
                <w:b/>
                <w:sz w:val="20"/>
              </w:rPr>
              <w:t>3</w:t>
            </w:r>
          </w:p>
        </w:tc>
        <w:tc>
          <w:tcPr>
            <w:tcW w:w="1230" w:type="dxa"/>
            <w:shd w:val="clear" w:color="auto" w:fill="D9D9D9" w:themeFill="background1" w:themeFillShade="D9"/>
            <w:noWrap/>
            <w:vAlign w:val="center"/>
          </w:tcPr>
          <w:p w:rsidR="00D2554D" w:rsidRPr="00242020" w:rsidRDefault="00D2554D" w:rsidP="00D2554D">
            <w:pPr>
              <w:ind w:firstLine="0"/>
              <w:jc w:val="center"/>
              <w:rPr>
                <w:b/>
                <w:sz w:val="20"/>
              </w:rPr>
            </w:pPr>
            <w:r w:rsidRPr="00242020">
              <w:rPr>
                <w:b/>
                <w:sz w:val="20"/>
              </w:rPr>
              <w:t>4</w:t>
            </w:r>
          </w:p>
        </w:tc>
        <w:tc>
          <w:tcPr>
            <w:tcW w:w="1212" w:type="dxa"/>
            <w:shd w:val="clear" w:color="auto" w:fill="D9D9D9" w:themeFill="background1" w:themeFillShade="D9"/>
            <w:noWrap/>
            <w:vAlign w:val="center"/>
          </w:tcPr>
          <w:p w:rsidR="00D2554D" w:rsidRPr="00242020" w:rsidRDefault="00D2554D" w:rsidP="00D2554D">
            <w:pPr>
              <w:ind w:firstLine="0"/>
              <w:jc w:val="center"/>
              <w:rPr>
                <w:b/>
                <w:sz w:val="20"/>
              </w:rPr>
            </w:pPr>
            <w:r w:rsidRPr="00242020">
              <w:rPr>
                <w:b/>
                <w:sz w:val="20"/>
              </w:rPr>
              <w:t>5</w:t>
            </w:r>
          </w:p>
        </w:tc>
        <w:tc>
          <w:tcPr>
            <w:tcW w:w="1338" w:type="dxa"/>
            <w:shd w:val="clear" w:color="auto" w:fill="D9D9D9" w:themeFill="background1" w:themeFillShade="D9"/>
            <w:noWrap/>
            <w:vAlign w:val="center"/>
          </w:tcPr>
          <w:p w:rsidR="00D2554D" w:rsidRPr="00242020" w:rsidRDefault="00D2554D" w:rsidP="00D2554D">
            <w:pPr>
              <w:ind w:firstLine="0"/>
              <w:jc w:val="center"/>
              <w:rPr>
                <w:b/>
                <w:sz w:val="20"/>
              </w:rPr>
            </w:pPr>
            <w:r w:rsidRPr="00242020">
              <w:rPr>
                <w:b/>
                <w:sz w:val="20"/>
              </w:rPr>
              <w:t>6</w:t>
            </w:r>
          </w:p>
        </w:tc>
        <w:tc>
          <w:tcPr>
            <w:tcW w:w="1212" w:type="dxa"/>
            <w:shd w:val="clear" w:color="auto" w:fill="D9D9D9" w:themeFill="background1" w:themeFillShade="D9"/>
            <w:noWrap/>
            <w:vAlign w:val="center"/>
          </w:tcPr>
          <w:p w:rsidR="00D2554D" w:rsidRPr="00242020" w:rsidRDefault="00D2554D" w:rsidP="00D2554D">
            <w:pPr>
              <w:ind w:firstLine="0"/>
              <w:jc w:val="center"/>
              <w:rPr>
                <w:b/>
                <w:sz w:val="20"/>
              </w:rPr>
            </w:pPr>
            <w:r w:rsidRPr="00242020">
              <w:rPr>
                <w:b/>
                <w:sz w:val="20"/>
              </w:rPr>
              <w:t>7</w:t>
            </w:r>
          </w:p>
        </w:tc>
      </w:tr>
      <w:tr w:rsidR="00102F52" w:rsidRPr="00242020" w:rsidTr="00E37DE1">
        <w:trPr>
          <w:trHeight w:val="788"/>
        </w:trPr>
        <w:tc>
          <w:tcPr>
            <w:tcW w:w="2160" w:type="dxa"/>
            <w:shd w:val="clear" w:color="auto" w:fill="auto"/>
            <w:vAlign w:val="bottom"/>
          </w:tcPr>
          <w:p w:rsidR="00102F52" w:rsidRPr="00242020" w:rsidRDefault="00102F52" w:rsidP="00D2554D">
            <w:pPr>
              <w:ind w:firstLine="0"/>
              <w:rPr>
                <w:b/>
                <w:bCs/>
                <w:sz w:val="16"/>
                <w:szCs w:val="16"/>
              </w:rPr>
            </w:pPr>
            <w:r w:rsidRPr="00242020">
              <w:rPr>
                <w:b/>
                <w:bCs/>
                <w:sz w:val="16"/>
                <w:szCs w:val="16"/>
              </w:rPr>
              <w:t>Видатки, всього за головним розпорядником коштів державного бюджету, у т.ч.:</w:t>
            </w:r>
          </w:p>
        </w:tc>
        <w:tc>
          <w:tcPr>
            <w:tcW w:w="1263" w:type="dxa"/>
            <w:shd w:val="clear" w:color="auto" w:fill="auto"/>
            <w:noWrap/>
            <w:vAlign w:val="bottom"/>
          </w:tcPr>
          <w:p w:rsidR="00102F52" w:rsidRPr="00242020" w:rsidRDefault="00102F52" w:rsidP="00102F52">
            <w:pPr>
              <w:ind w:firstLine="0"/>
              <w:jc w:val="right"/>
              <w:rPr>
                <w:b/>
                <w:sz w:val="22"/>
              </w:rPr>
            </w:pPr>
            <w:r w:rsidRPr="00242020">
              <w:rPr>
                <w:b/>
                <w:sz w:val="22"/>
              </w:rPr>
              <w:t>180 159,40</w:t>
            </w:r>
          </w:p>
        </w:tc>
        <w:tc>
          <w:tcPr>
            <w:tcW w:w="1230" w:type="dxa"/>
            <w:shd w:val="clear" w:color="auto" w:fill="auto"/>
            <w:noWrap/>
            <w:vAlign w:val="bottom"/>
          </w:tcPr>
          <w:p w:rsidR="00102F52" w:rsidRPr="00242020" w:rsidRDefault="00102F52" w:rsidP="00102F52">
            <w:pPr>
              <w:ind w:firstLine="0"/>
              <w:jc w:val="right"/>
              <w:rPr>
                <w:b/>
                <w:sz w:val="22"/>
              </w:rPr>
            </w:pPr>
            <w:r w:rsidRPr="00242020">
              <w:rPr>
                <w:b/>
                <w:sz w:val="22"/>
              </w:rPr>
              <w:t>170 474,21</w:t>
            </w:r>
          </w:p>
        </w:tc>
        <w:tc>
          <w:tcPr>
            <w:tcW w:w="1230" w:type="dxa"/>
            <w:shd w:val="clear" w:color="auto" w:fill="auto"/>
            <w:noWrap/>
            <w:vAlign w:val="bottom"/>
          </w:tcPr>
          <w:p w:rsidR="00102F52" w:rsidRPr="00242020" w:rsidRDefault="00102F52" w:rsidP="00102F52">
            <w:pPr>
              <w:ind w:firstLine="0"/>
              <w:jc w:val="right"/>
              <w:rPr>
                <w:b/>
                <w:sz w:val="22"/>
              </w:rPr>
            </w:pPr>
            <w:r w:rsidRPr="00242020">
              <w:rPr>
                <w:b/>
                <w:sz w:val="22"/>
              </w:rPr>
              <w:t>771,13</w:t>
            </w:r>
          </w:p>
        </w:tc>
        <w:tc>
          <w:tcPr>
            <w:tcW w:w="1212" w:type="dxa"/>
            <w:shd w:val="clear" w:color="auto" w:fill="auto"/>
            <w:noWrap/>
            <w:vAlign w:val="bottom"/>
          </w:tcPr>
          <w:p w:rsidR="00102F52" w:rsidRPr="00242020" w:rsidRDefault="00102F52" w:rsidP="00102F52">
            <w:pPr>
              <w:ind w:firstLine="0"/>
              <w:jc w:val="right"/>
              <w:rPr>
                <w:b/>
                <w:sz w:val="22"/>
              </w:rPr>
            </w:pPr>
            <w:r w:rsidRPr="00242020">
              <w:rPr>
                <w:b/>
                <w:sz w:val="22"/>
              </w:rPr>
              <w:t>544,11</w:t>
            </w:r>
          </w:p>
        </w:tc>
        <w:tc>
          <w:tcPr>
            <w:tcW w:w="1338" w:type="dxa"/>
            <w:shd w:val="clear" w:color="auto" w:fill="auto"/>
            <w:noWrap/>
            <w:vAlign w:val="bottom"/>
          </w:tcPr>
          <w:p w:rsidR="00102F52" w:rsidRPr="00242020" w:rsidRDefault="00102F52" w:rsidP="00102F52">
            <w:pPr>
              <w:ind w:firstLine="0"/>
              <w:jc w:val="right"/>
              <w:rPr>
                <w:b/>
                <w:sz w:val="22"/>
              </w:rPr>
            </w:pPr>
            <w:r w:rsidRPr="00242020">
              <w:rPr>
                <w:b/>
                <w:sz w:val="22"/>
              </w:rPr>
              <w:t>180 930,53</w:t>
            </w:r>
          </w:p>
        </w:tc>
        <w:tc>
          <w:tcPr>
            <w:tcW w:w="1212" w:type="dxa"/>
            <w:shd w:val="clear" w:color="auto" w:fill="auto"/>
            <w:noWrap/>
            <w:vAlign w:val="bottom"/>
          </w:tcPr>
          <w:p w:rsidR="00102F52" w:rsidRPr="00242020" w:rsidRDefault="00102F52" w:rsidP="00102F52">
            <w:pPr>
              <w:ind w:firstLine="0"/>
              <w:jc w:val="right"/>
              <w:rPr>
                <w:b/>
                <w:sz w:val="22"/>
              </w:rPr>
            </w:pPr>
            <w:r w:rsidRPr="00242020">
              <w:rPr>
                <w:b/>
                <w:sz w:val="22"/>
              </w:rPr>
              <w:t>171 018,32</w:t>
            </w:r>
          </w:p>
        </w:tc>
      </w:tr>
      <w:tr w:rsidR="00102F52" w:rsidRPr="00242020" w:rsidTr="00E37DE1">
        <w:trPr>
          <w:trHeight w:val="315"/>
        </w:trPr>
        <w:tc>
          <w:tcPr>
            <w:tcW w:w="2160" w:type="dxa"/>
            <w:shd w:val="clear" w:color="auto" w:fill="D9D9D9" w:themeFill="background1" w:themeFillShade="D9"/>
            <w:noWrap/>
            <w:vAlign w:val="center"/>
          </w:tcPr>
          <w:p w:rsidR="00102F52" w:rsidRPr="00242020" w:rsidRDefault="00102F52" w:rsidP="00E37DE1">
            <w:pPr>
              <w:ind w:firstLine="0"/>
              <w:jc w:val="right"/>
              <w:rPr>
                <w:sz w:val="22"/>
              </w:rPr>
            </w:pPr>
            <w:r w:rsidRPr="00242020">
              <w:rPr>
                <w:sz w:val="22"/>
              </w:rPr>
              <w:t>2000</w:t>
            </w:r>
          </w:p>
        </w:tc>
        <w:tc>
          <w:tcPr>
            <w:tcW w:w="1263" w:type="dxa"/>
            <w:shd w:val="clear" w:color="auto" w:fill="D9D9D9" w:themeFill="background1" w:themeFillShade="D9"/>
            <w:noWrap/>
            <w:vAlign w:val="center"/>
          </w:tcPr>
          <w:p w:rsidR="00102F52" w:rsidRPr="00242020" w:rsidRDefault="00102F52" w:rsidP="00E37DE1">
            <w:pPr>
              <w:ind w:firstLine="0"/>
              <w:jc w:val="right"/>
              <w:rPr>
                <w:sz w:val="22"/>
              </w:rPr>
            </w:pPr>
            <w:r w:rsidRPr="00242020">
              <w:rPr>
                <w:sz w:val="22"/>
              </w:rPr>
              <w:t>180 149,40</w:t>
            </w:r>
          </w:p>
        </w:tc>
        <w:tc>
          <w:tcPr>
            <w:tcW w:w="1230" w:type="dxa"/>
            <w:shd w:val="clear" w:color="auto" w:fill="D9D9D9" w:themeFill="background1" w:themeFillShade="D9"/>
            <w:noWrap/>
            <w:vAlign w:val="center"/>
          </w:tcPr>
          <w:p w:rsidR="00102F52" w:rsidRPr="00242020" w:rsidRDefault="00102F52" w:rsidP="00E37DE1">
            <w:pPr>
              <w:ind w:firstLine="0"/>
              <w:jc w:val="right"/>
              <w:rPr>
                <w:sz w:val="22"/>
              </w:rPr>
            </w:pPr>
            <w:r w:rsidRPr="00242020">
              <w:rPr>
                <w:sz w:val="22"/>
              </w:rPr>
              <w:t>170 465,21</w:t>
            </w:r>
          </w:p>
        </w:tc>
        <w:tc>
          <w:tcPr>
            <w:tcW w:w="1230" w:type="dxa"/>
            <w:shd w:val="clear" w:color="auto" w:fill="D9D9D9" w:themeFill="background1" w:themeFillShade="D9"/>
            <w:noWrap/>
            <w:vAlign w:val="center"/>
          </w:tcPr>
          <w:p w:rsidR="00102F52" w:rsidRPr="00242020" w:rsidRDefault="00102F52" w:rsidP="00E37DE1">
            <w:pPr>
              <w:ind w:firstLine="0"/>
              <w:jc w:val="right"/>
              <w:rPr>
                <w:sz w:val="22"/>
              </w:rPr>
            </w:pPr>
            <w:r w:rsidRPr="00242020">
              <w:rPr>
                <w:sz w:val="22"/>
              </w:rPr>
              <w:t>741,13</w:t>
            </w:r>
          </w:p>
        </w:tc>
        <w:tc>
          <w:tcPr>
            <w:tcW w:w="1212" w:type="dxa"/>
            <w:shd w:val="clear" w:color="auto" w:fill="D9D9D9" w:themeFill="background1" w:themeFillShade="D9"/>
            <w:noWrap/>
            <w:vAlign w:val="center"/>
          </w:tcPr>
          <w:p w:rsidR="00102F52" w:rsidRPr="00242020" w:rsidRDefault="00102F52" w:rsidP="00E37DE1">
            <w:pPr>
              <w:ind w:firstLine="0"/>
              <w:jc w:val="right"/>
              <w:rPr>
                <w:sz w:val="22"/>
              </w:rPr>
            </w:pPr>
            <w:r w:rsidRPr="00242020">
              <w:rPr>
                <w:sz w:val="22"/>
              </w:rPr>
              <w:t>530,96</w:t>
            </w:r>
          </w:p>
        </w:tc>
        <w:tc>
          <w:tcPr>
            <w:tcW w:w="1338" w:type="dxa"/>
            <w:shd w:val="clear" w:color="auto" w:fill="D9D9D9" w:themeFill="background1" w:themeFillShade="D9"/>
            <w:noWrap/>
            <w:vAlign w:val="center"/>
          </w:tcPr>
          <w:p w:rsidR="00102F52" w:rsidRPr="00242020" w:rsidRDefault="00102F52" w:rsidP="00E37DE1">
            <w:pPr>
              <w:ind w:firstLine="0"/>
              <w:jc w:val="right"/>
              <w:rPr>
                <w:b/>
                <w:bCs/>
                <w:sz w:val="22"/>
              </w:rPr>
            </w:pPr>
            <w:r w:rsidRPr="00242020">
              <w:rPr>
                <w:b/>
                <w:bCs/>
                <w:sz w:val="22"/>
              </w:rPr>
              <w:t>180 890,53</w:t>
            </w:r>
          </w:p>
        </w:tc>
        <w:tc>
          <w:tcPr>
            <w:tcW w:w="1212" w:type="dxa"/>
            <w:shd w:val="clear" w:color="auto" w:fill="D9D9D9" w:themeFill="background1" w:themeFillShade="D9"/>
            <w:noWrap/>
            <w:vAlign w:val="center"/>
          </w:tcPr>
          <w:p w:rsidR="00102F52" w:rsidRPr="00242020" w:rsidRDefault="00102F52" w:rsidP="00E37DE1">
            <w:pPr>
              <w:ind w:firstLine="0"/>
              <w:jc w:val="right"/>
              <w:rPr>
                <w:b/>
                <w:bCs/>
                <w:sz w:val="22"/>
              </w:rPr>
            </w:pPr>
            <w:r w:rsidRPr="00242020">
              <w:rPr>
                <w:b/>
                <w:bCs/>
                <w:sz w:val="22"/>
              </w:rPr>
              <w:t>170 996,17</w:t>
            </w:r>
          </w:p>
        </w:tc>
      </w:tr>
      <w:tr w:rsidR="00102F52" w:rsidRPr="00242020" w:rsidTr="00E37DE1">
        <w:trPr>
          <w:trHeight w:val="315"/>
        </w:trPr>
        <w:tc>
          <w:tcPr>
            <w:tcW w:w="2160" w:type="dxa"/>
            <w:shd w:val="clear" w:color="auto" w:fill="auto"/>
            <w:noWrap/>
            <w:vAlign w:val="center"/>
          </w:tcPr>
          <w:p w:rsidR="00102F52" w:rsidRPr="00242020" w:rsidRDefault="00102F52" w:rsidP="00E37DE1">
            <w:pPr>
              <w:ind w:firstLine="0"/>
              <w:jc w:val="right"/>
              <w:rPr>
                <w:sz w:val="22"/>
              </w:rPr>
            </w:pPr>
            <w:r w:rsidRPr="00242020">
              <w:rPr>
                <w:sz w:val="22"/>
              </w:rPr>
              <w:t>2110</w:t>
            </w:r>
          </w:p>
        </w:tc>
        <w:tc>
          <w:tcPr>
            <w:tcW w:w="1263" w:type="dxa"/>
            <w:shd w:val="clear" w:color="auto" w:fill="auto"/>
            <w:noWrap/>
            <w:vAlign w:val="center"/>
          </w:tcPr>
          <w:p w:rsidR="00102F52" w:rsidRPr="00242020" w:rsidRDefault="00102F52" w:rsidP="00E37DE1">
            <w:pPr>
              <w:ind w:firstLine="0"/>
              <w:jc w:val="right"/>
              <w:rPr>
                <w:sz w:val="22"/>
              </w:rPr>
            </w:pPr>
            <w:r w:rsidRPr="00242020">
              <w:rPr>
                <w:sz w:val="22"/>
              </w:rPr>
              <w:t>115 846,90</w:t>
            </w:r>
          </w:p>
        </w:tc>
        <w:tc>
          <w:tcPr>
            <w:tcW w:w="1230" w:type="dxa"/>
            <w:shd w:val="clear" w:color="auto" w:fill="auto"/>
            <w:noWrap/>
            <w:vAlign w:val="center"/>
          </w:tcPr>
          <w:p w:rsidR="00102F52" w:rsidRPr="00242020" w:rsidRDefault="00102F52" w:rsidP="00E37DE1">
            <w:pPr>
              <w:ind w:firstLine="0"/>
              <w:jc w:val="right"/>
              <w:rPr>
                <w:sz w:val="22"/>
              </w:rPr>
            </w:pPr>
            <w:r w:rsidRPr="00242020">
              <w:rPr>
                <w:sz w:val="22"/>
              </w:rPr>
              <w:t>115 838,45</w:t>
            </w:r>
          </w:p>
        </w:tc>
        <w:tc>
          <w:tcPr>
            <w:tcW w:w="1230" w:type="dxa"/>
            <w:shd w:val="clear" w:color="auto" w:fill="auto"/>
            <w:noWrap/>
            <w:vAlign w:val="center"/>
          </w:tcPr>
          <w:p w:rsidR="00102F52" w:rsidRPr="00242020" w:rsidRDefault="00102F52" w:rsidP="00E37DE1">
            <w:pPr>
              <w:ind w:firstLine="0"/>
              <w:jc w:val="right"/>
              <w:rPr>
                <w:sz w:val="22"/>
              </w:rPr>
            </w:pPr>
          </w:p>
        </w:tc>
        <w:tc>
          <w:tcPr>
            <w:tcW w:w="1212" w:type="dxa"/>
            <w:shd w:val="clear" w:color="auto" w:fill="auto"/>
            <w:noWrap/>
            <w:vAlign w:val="center"/>
          </w:tcPr>
          <w:p w:rsidR="00102F52" w:rsidRPr="00242020" w:rsidRDefault="00102F52" w:rsidP="00E37DE1">
            <w:pPr>
              <w:ind w:firstLine="0"/>
              <w:jc w:val="right"/>
              <w:rPr>
                <w:sz w:val="22"/>
              </w:rPr>
            </w:pPr>
          </w:p>
        </w:tc>
        <w:tc>
          <w:tcPr>
            <w:tcW w:w="1338" w:type="dxa"/>
            <w:shd w:val="clear" w:color="auto" w:fill="auto"/>
            <w:noWrap/>
            <w:vAlign w:val="center"/>
          </w:tcPr>
          <w:p w:rsidR="00102F52" w:rsidRPr="00242020" w:rsidRDefault="00102F52" w:rsidP="00E37DE1">
            <w:pPr>
              <w:ind w:firstLine="0"/>
              <w:jc w:val="right"/>
              <w:rPr>
                <w:b/>
                <w:bCs/>
                <w:sz w:val="22"/>
              </w:rPr>
            </w:pPr>
            <w:r w:rsidRPr="00242020">
              <w:rPr>
                <w:b/>
                <w:bCs/>
                <w:sz w:val="22"/>
              </w:rPr>
              <w:t>115 846,90</w:t>
            </w:r>
          </w:p>
        </w:tc>
        <w:tc>
          <w:tcPr>
            <w:tcW w:w="1212" w:type="dxa"/>
            <w:shd w:val="clear" w:color="auto" w:fill="auto"/>
            <w:noWrap/>
            <w:vAlign w:val="center"/>
          </w:tcPr>
          <w:p w:rsidR="00102F52" w:rsidRPr="00242020" w:rsidRDefault="00102F52" w:rsidP="00E37DE1">
            <w:pPr>
              <w:ind w:firstLine="0"/>
              <w:jc w:val="right"/>
              <w:rPr>
                <w:b/>
                <w:bCs/>
                <w:sz w:val="22"/>
              </w:rPr>
            </w:pPr>
            <w:r w:rsidRPr="00242020">
              <w:rPr>
                <w:b/>
                <w:bCs/>
                <w:sz w:val="22"/>
              </w:rPr>
              <w:t>115 838,45</w:t>
            </w:r>
          </w:p>
        </w:tc>
      </w:tr>
      <w:tr w:rsidR="00102F52" w:rsidRPr="00242020" w:rsidTr="00E37DE1">
        <w:trPr>
          <w:trHeight w:val="315"/>
        </w:trPr>
        <w:tc>
          <w:tcPr>
            <w:tcW w:w="2160" w:type="dxa"/>
            <w:shd w:val="clear" w:color="auto" w:fill="D9D9D9" w:themeFill="background1" w:themeFillShade="D9"/>
            <w:noWrap/>
            <w:vAlign w:val="center"/>
          </w:tcPr>
          <w:p w:rsidR="00102F52" w:rsidRPr="00242020" w:rsidRDefault="00102F52" w:rsidP="00E37DE1">
            <w:pPr>
              <w:ind w:firstLine="0"/>
              <w:jc w:val="right"/>
              <w:rPr>
                <w:sz w:val="22"/>
              </w:rPr>
            </w:pPr>
            <w:r w:rsidRPr="00242020">
              <w:rPr>
                <w:sz w:val="22"/>
              </w:rPr>
              <w:t>2120</w:t>
            </w:r>
          </w:p>
        </w:tc>
        <w:tc>
          <w:tcPr>
            <w:tcW w:w="1263" w:type="dxa"/>
            <w:shd w:val="clear" w:color="auto" w:fill="D9D9D9" w:themeFill="background1" w:themeFillShade="D9"/>
            <w:noWrap/>
            <w:vAlign w:val="center"/>
          </w:tcPr>
          <w:p w:rsidR="00102F52" w:rsidRPr="00242020" w:rsidRDefault="00102F52" w:rsidP="00E37DE1">
            <w:pPr>
              <w:ind w:firstLine="0"/>
              <w:jc w:val="right"/>
              <w:rPr>
                <w:sz w:val="22"/>
              </w:rPr>
            </w:pPr>
            <w:r w:rsidRPr="00242020">
              <w:rPr>
                <w:sz w:val="22"/>
              </w:rPr>
              <w:t>25 327,10</w:t>
            </w:r>
          </w:p>
        </w:tc>
        <w:tc>
          <w:tcPr>
            <w:tcW w:w="1230" w:type="dxa"/>
            <w:shd w:val="clear" w:color="auto" w:fill="D9D9D9" w:themeFill="background1" w:themeFillShade="D9"/>
            <w:noWrap/>
            <w:vAlign w:val="center"/>
          </w:tcPr>
          <w:p w:rsidR="00102F52" w:rsidRPr="00242020" w:rsidRDefault="00102F52" w:rsidP="00E37DE1">
            <w:pPr>
              <w:ind w:firstLine="0"/>
              <w:jc w:val="right"/>
              <w:rPr>
                <w:sz w:val="22"/>
              </w:rPr>
            </w:pPr>
            <w:r w:rsidRPr="00242020">
              <w:rPr>
                <w:sz w:val="22"/>
              </w:rPr>
              <w:t>25 208,45</w:t>
            </w:r>
          </w:p>
        </w:tc>
        <w:tc>
          <w:tcPr>
            <w:tcW w:w="1230" w:type="dxa"/>
            <w:shd w:val="clear" w:color="auto" w:fill="D9D9D9" w:themeFill="background1" w:themeFillShade="D9"/>
            <w:noWrap/>
            <w:vAlign w:val="center"/>
          </w:tcPr>
          <w:p w:rsidR="00102F52" w:rsidRPr="00242020" w:rsidRDefault="00102F52" w:rsidP="00E37DE1">
            <w:pPr>
              <w:ind w:firstLine="0"/>
              <w:jc w:val="right"/>
              <w:rPr>
                <w:sz w:val="22"/>
              </w:rPr>
            </w:pPr>
            <w:r w:rsidRPr="00242020">
              <w:rPr>
                <w:sz w:val="22"/>
              </w:rPr>
              <w:t> </w:t>
            </w:r>
          </w:p>
        </w:tc>
        <w:tc>
          <w:tcPr>
            <w:tcW w:w="1212" w:type="dxa"/>
            <w:shd w:val="clear" w:color="auto" w:fill="D9D9D9" w:themeFill="background1" w:themeFillShade="D9"/>
            <w:noWrap/>
            <w:vAlign w:val="center"/>
          </w:tcPr>
          <w:p w:rsidR="00102F52" w:rsidRPr="00242020" w:rsidRDefault="00102F52" w:rsidP="00E37DE1">
            <w:pPr>
              <w:ind w:firstLine="0"/>
              <w:jc w:val="right"/>
              <w:rPr>
                <w:sz w:val="22"/>
              </w:rPr>
            </w:pPr>
            <w:r w:rsidRPr="00242020">
              <w:rPr>
                <w:sz w:val="22"/>
              </w:rPr>
              <w:t> </w:t>
            </w:r>
          </w:p>
        </w:tc>
        <w:tc>
          <w:tcPr>
            <w:tcW w:w="1338" w:type="dxa"/>
            <w:shd w:val="clear" w:color="auto" w:fill="D9D9D9" w:themeFill="background1" w:themeFillShade="D9"/>
            <w:noWrap/>
            <w:vAlign w:val="center"/>
          </w:tcPr>
          <w:p w:rsidR="00102F52" w:rsidRPr="00242020" w:rsidRDefault="00102F52" w:rsidP="00E37DE1">
            <w:pPr>
              <w:ind w:firstLine="0"/>
              <w:jc w:val="right"/>
              <w:rPr>
                <w:b/>
                <w:bCs/>
                <w:sz w:val="22"/>
              </w:rPr>
            </w:pPr>
            <w:r w:rsidRPr="00242020">
              <w:rPr>
                <w:b/>
                <w:bCs/>
                <w:sz w:val="22"/>
              </w:rPr>
              <w:t>25 327,10</w:t>
            </w:r>
          </w:p>
        </w:tc>
        <w:tc>
          <w:tcPr>
            <w:tcW w:w="1212" w:type="dxa"/>
            <w:shd w:val="clear" w:color="auto" w:fill="D9D9D9" w:themeFill="background1" w:themeFillShade="D9"/>
            <w:noWrap/>
            <w:vAlign w:val="center"/>
          </w:tcPr>
          <w:p w:rsidR="00102F52" w:rsidRPr="00242020" w:rsidRDefault="00102F52" w:rsidP="00E37DE1">
            <w:pPr>
              <w:ind w:firstLine="0"/>
              <w:jc w:val="right"/>
              <w:rPr>
                <w:b/>
                <w:bCs/>
                <w:sz w:val="22"/>
              </w:rPr>
            </w:pPr>
            <w:r w:rsidRPr="00242020">
              <w:rPr>
                <w:b/>
                <w:bCs/>
                <w:sz w:val="22"/>
              </w:rPr>
              <w:t>25 208,45</w:t>
            </w:r>
          </w:p>
        </w:tc>
      </w:tr>
      <w:tr w:rsidR="00102F52" w:rsidRPr="00242020" w:rsidTr="00E37DE1">
        <w:trPr>
          <w:trHeight w:val="315"/>
        </w:trPr>
        <w:tc>
          <w:tcPr>
            <w:tcW w:w="2160" w:type="dxa"/>
            <w:shd w:val="clear" w:color="auto" w:fill="auto"/>
            <w:noWrap/>
            <w:vAlign w:val="center"/>
          </w:tcPr>
          <w:p w:rsidR="00102F52" w:rsidRPr="00242020" w:rsidRDefault="00102F52" w:rsidP="00E37DE1">
            <w:pPr>
              <w:ind w:firstLine="0"/>
              <w:jc w:val="right"/>
              <w:rPr>
                <w:sz w:val="22"/>
              </w:rPr>
            </w:pPr>
            <w:r w:rsidRPr="00242020">
              <w:rPr>
                <w:sz w:val="22"/>
              </w:rPr>
              <w:t>2210</w:t>
            </w:r>
          </w:p>
        </w:tc>
        <w:tc>
          <w:tcPr>
            <w:tcW w:w="1263" w:type="dxa"/>
            <w:shd w:val="clear" w:color="auto" w:fill="auto"/>
            <w:noWrap/>
            <w:vAlign w:val="center"/>
          </w:tcPr>
          <w:p w:rsidR="00102F52" w:rsidRPr="00242020" w:rsidRDefault="00102F52" w:rsidP="00E37DE1">
            <w:pPr>
              <w:ind w:firstLine="0"/>
              <w:jc w:val="right"/>
              <w:rPr>
                <w:sz w:val="22"/>
              </w:rPr>
            </w:pPr>
            <w:r w:rsidRPr="00242020">
              <w:rPr>
                <w:sz w:val="22"/>
              </w:rPr>
              <w:t>2 668,10</w:t>
            </w:r>
          </w:p>
        </w:tc>
        <w:tc>
          <w:tcPr>
            <w:tcW w:w="1230" w:type="dxa"/>
            <w:shd w:val="clear" w:color="auto" w:fill="auto"/>
            <w:noWrap/>
            <w:vAlign w:val="center"/>
          </w:tcPr>
          <w:p w:rsidR="00102F52" w:rsidRPr="00242020" w:rsidRDefault="00102F52" w:rsidP="00E37DE1">
            <w:pPr>
              <w:ind w:firstLine="0"/>
              <w:jc w:val="right"/>
              <w:rPr>
                <w:sz w:val="22"/>
              </w:rPr>
            </w:pPr>
            <w:r w:rsidRPr="00242020">
              <w:rPr>
                <w:sz w:val="22"/>
              </w:rPr>
              <w:t>2 565,22</w:t>
            </w:r>
          </w:p>
        </w:tc>
        <w:tc>
          <w:tcPr>
            <w:tcW w:w="1230" w:type="dxa"/>
            <w:shd w:val="clear" w:color="auto" w:fill="auto"/>
            <w:noWrap/>
            <w:vAlign w:val="center"/>
          </w:tcPr>
          <w:p w:rsidR="00102F52" w:rsidRPr="00242020" w:rsidRDefault="00102F52" w:rsidP="00E37DE1">
            <w:pPr>
              <w:ind w:firstLine="0"/>
              <w:jc w:val="right"/>
              <w:rPr>
                <w:sz w:val="22"/>
              </w:rPr>
            </w:pPr>
            <w:r w:rsidRPr="00242020">
              <w:rPr>
                <w:sz w:val="22"/>
              </w:rPr>
              <w:t>87,41</w:t>
            </w:r>
          </w:p>
        </w:tc>
        <w:tc>
          <w:tcPr>
            <w:tcW w:w="1212" w:type="dxa"/>
            <w:shd w:val="clear" w:color="auto" w:fill="auto"/>
            <w:noWrap/>
            <w:vAlign w:val="center"/>
          </w:tcPr>
          <w:p w:rsidR="00102F52" w:rsidRPr="00242020" w:rsidRDefault="00102F52" w:rsidP="00E37DE1">
            <w:pPr>
              <w:ind w:firstLine="0"/>
              <w:jc w:val="right"/>
              <w:rPr>
                <w:sz w:val="22"/>
              </w:rPr>
            </w:pPr>
            <w:r w:rsidRPr="00242020">
              <w:rPr>
                <w:sz w:val="22"/>
              </w:rPr>
              <w:t>47,60</w:t>
            </w:r>
          </w:p>
        </w:tc>
        <w:tc>
          <w:tcPr>
            <w:tcW w:w="1338" w:type="dxa"/>
            <w:shd w:val="clear" w:color="auto" w:fill="auto"/>
            <w:noWrap/>
            <w:vAlign w:val="center"/>
          </w:tcPr>
          <w:p w:rsidR="00102F52" w:rsidRPr="00242020" w:rsidRDefault="00102F52" w:rsidP="00E37DE1">
            <w:pPr>
              <w:ind w:firstLine="0"/>
              <w:jc w:val="right"/>
              <w:rPr>
                <w:b/>
                <w:bCs/>
                <w:sz w:val="22"/>
              </w:rPr>
            </w:pPr>
            <w:r w:rsidRPr="00242020">
              <w:rPr>
                <w:b/>
                <w:bCs/>
                <w:sz w:val="22"/>
              </w:rPr>
              <w:t>2 755,51</w:t>
            </w:r>
          </w:p>
        </w:tc>
        <w:tc>
          <w:tcPr>
            <w:tcW w:w="1212" w:type="dxa"/>
            <w:shd w:val="clear" w:color="auto" w:fill="auto"/>
            <w:noWrap/>
            <w:vAlign w:val="center"/>
          </w:tcPr>
          <w:p w:rsidR="00102F52" w:rsidRPr="00242020" w:rsidRDefault="00102F52" w:rsidP="00E37DE1">
            <w:pPr>
              <w:ind w:firstLine="0"/>
              <w:jc w:val="right"/>
              <w:rPr>
                <w:b/>
                <w:bCs/>
                <w:sz w:val="22"/>
              </w:rPr>
            </w:pPr>
            <w:r w:rsidRPr="00242020">
              <w:rPr>
                <w:b/>
                <w:bCs/>
                <w:sz w:val="22"/>
              </w:rPr>
              <w:t>2 612,82</w:t>
            </w:r>
          </w:p>
        </w:tc>
      </w:tr>
      <w:tr w:rsidR="00102F52" w:rsidRPr="00242020" w:rsidTr="00E37DE1">
        <w:trPr>
          <w:trHeight w:val="315"/>
        </w:trPr>
        <w:tc>
          <w:tcPr>
            <w:tcW w:w="2160" w:type="dxa"/>
            <w:shd w:val="clear" w:color="auto" w:fill="D9D9D9" w:themeFill="background1" w:themeFillShade="D9"/>
            <w:noWrap/>
            <w:vAlign w:val="center"/>
          </w:tcPr>
          <w:p w:rsidR="00102F52" w:rsidRPr="00242020" w:rsidRDefault="00102F52" w:rsidP="00E37DE1">
            <w:pPr>
              <w:ind w:firstLine="0"/>
              <w:jc w:val="right"/>
              <w:rPr>
                <w:sz w:val="22"/>
              </w:rPr>
            </w:pPr>
            <w:r w:rsidRPr="00242020">
              <w:rPr>
                <w:sz w:val="22"/>
              </w:rPr>
              <w:t>2240</w:t>
            </w:r>
          </w:p>
        </w:tc>
        <w:tc>
          <w:tcPr>
            <w:tcW w:w="1263" w:type="dxa"/>
            <w:shd w:val="clear" w:color="auto" w:fill="D9D9D9" w:themeFill="background1" w:themeFillShade="D9"/>
            <w:noWrap/>
            <w:vAlign w:val="center"/>
          </w:tcPr>
          <w:p w:rsidR="00102F52" w:rsidRPr="00242020" w:rsidRDefault="00102F52" w:rsidP="00E37DE1">
            <w:pPr>
              <w:ind w:firstLine="0"/>
              <w:jc w:val="right"/>
              <w:rPr>
                <w:sz w:val="22"/>
              </w:rPr>
            </w:pPr>
            <w:r w:rsidRPr="00242020">
              <w:rPr>
                <w:sz w:val="22"/>
              </w:rPr>
              <w:t>21 953,74</w:t>
            </w:r>
          </w:p>
        </w:tc>
        <w:tc>
          <w:tcPr>
            <w:tcW w:w="1230" w:type="dxa"/>
            <w:shd w:val="clear" w:color="auto" w:fill="D9D9D9" w:themeFill="background1" w:themeFillShade="D9"/>
            <w:noWrap/>
            <w:vAlign w:val="center"/>
          </w:tcPr>
          <w:p w:rsidR="00102F52" w:rsidRPr="00242020" w:rsidRDefault="00102F52" w:rsidP="00E37DE1">
            <w:pPr>
              <w:ind w:firstLine="0"/>
              <w:jc w:val="right"/>
              <w:rPr>
                <w:sz w:val="22"/>
              </w:rPr>
            </w:pPr>
            <w:r w:rsidRPr="00242020">
              <w:rPr>
                <w:sz w:val="22"/>
              </w:rPr>
              <w:t>13 884,66</w:t>
            </w:r>
          </w:p>
        </w:tc>
        <w:tc>
          <w:tcPr>
            <w:tcW w:w="1230" w:type="dxa"/>
            <w:shd w:val="clear" w:color="auto" w:fill="D9D9D9" w:themeFill="background1" w:themeFillShade="D9"/>
            <w:noWrap/>
            <w:vAlign w:val="center"/>
          </w:tcPr>
          <w:p w:rsidR="00102F52" w:rsidRPr="00242020" w:rsidRDefault="00102F52" w:rsidP="00E37DE1">
            <w:pPr>
              <w:ind w:firstLine="0"/>
              <w:jc w:val="right"/>
              <w:rPr>
                <w:sz w:val="22"/>
              </w:rPr>
            </w:pPr>
            <w:r w:rsidRPr="00242020">
              <w:rPr>
                <w:sz w:val="22"/>
              </w:rPr>
              <w:t>178,73</w:t>
            </w:r>
          </w:p>
        </w:tc>
        <w:tc>
          <w:tcPr>
            <w:tcW w:w="1212" w:type="dxa"/>
            <w:shd w:val="clear" w:color="auto" w:fill="D9D9D9" w:themeFill="background1" w:themeFillShade="D9"/>
            <w:noWrap/>
            <w:vAlign w:val="center"/>
          </w:tcPr>
          <w:p w:rsidR="00102F52" w:rsidRPr="00242020" w:rsidRDefault="00102F52" w:rsidP="00E37DE1">
            <w:pPr>
              <w:ind w:firstLine="0"/>
              <w:jc w:val="right"/>
              <w:rPr>
                <w:sz w:val="22"/>
              </w:rPr>
            </w:pPr>
            <w:r w:rsidRPr="00242020">
              <w:rPr>
                <w:sz w:val="22"/>
              </w:rPr>
              <w:t>137,08</w:t>
            </w:r>
          </w:p>
        </w:tc>
        <w:tc>
          <w:tcPr>
            <w:tcW w:w="1338" w:type="dxa"/>
            <w:shd w:val="clear" w:color="auto" w:fill="D9D9D9" w:themeFill="background1" w:themeFillShade="D9"/>
            <w:noWrap/>
            <w:vAlign w:val="center"/>
          </w:tcPr>
          <w:p w:rsidR="00102F52" w:rsidRPr="00242020" w:rsidRDefault="00102F52" w:rsidP="00E37DE1">
            <w:pPr>
              <w:ind w:firstLine="0"/>
              <w:jc w:val="right"/>
              <w:rPr>
                <w:b/>
                <w:bCs/>
                <w:sz w:val="22"/>
              </w:rPr>
            </w:pPr>
            <w:r w:rsidRPr="00242020">
              <w:rPr>
                <w:b/>
                <w:bCs/>
                <w:sz w:val="22"/>
              </w:rPr>
              <w:t>22 132,47</w:t>
            </w:r>
          </w:p>
        </w:tc>
        <w:tc>
          <w:tcPr>
            <w:tcW w:w="1212" w:type="dxa"/>
            <w:shd w:val="clear" w:color="auto" w:fill="D9D9D9" w:themeFill="background1" w:themeFillShade="D9"/>
            <w:noWrap/>
            <w:vAlign w:val="center"/>
          </w:tcPr>
          <w:p w:rsidR="00102F52" w:rsidRPr="00242020" w:rsidRDefault="00102F52" w:rsidP="00E37DE1">
            <w:pPr>
              <w:ind w:firstLine="0"/>
              <w:jc w:val="right"/>
              <w:rPr>
                <w:b/>
                <w:bCs/>
                <w:sz w:val="22"/>
              </w:rPr>
            </w:pPr>
            <w:r w:rsidRPr="00242020">
              <w:rPr>
                <w:b/>
                <w:bCs/>
                <w:sz w:val="22"/>
              </w:rPr>
              <w:t>14 021,74</w:t>
            </w:r>
          </w:p>
        </w:tc>
      </w:tr>
      <w:tr w:rsidR="00476011" w:rsidRPr="00242020" w:rsidTr="00E37DE1">
        <w:trPr>
          <w:trHeight w:val="315"/>
        </w:trPr>
        <w:tc>
          <w:tcPr>
            <w:tcW w:w="2160" w:type="dxa"/>
            <w:shd w:val="clear" w:color="auto" w:fill="auto"/>
            <w:noWrap/>
            <w:vAlign w:val="center"/>
          </w:tcPr>
          <w:p w:rsidR="00476011" w:rsidRPr="00242020" w:rsidRDefault="00476011" w:rsidP="00E37DE1">
            <w:pPr>
              <w:ind w:firstLine="0"/>
              <w:jc w:val="right"/>
              <w:rPr>
                <w:sz w:val="22"/>
              </w:rPr>
            </w:pPr>
            <w:r w:rsidRPr="00242020">
              <w:rPr>
                <w:sz w:val="22"/>
              </w:rPr>
              <w:t>2250</w:t>
            </w:r>
          </w:p>
        </w:tc>
        <w:tc>
          <w:tcPr>
            <w:tcW w:w="1263" w:type="dxa"/>
            <w:shd w:val="clear" w:color="auto" w:fill="auto"/>
            <w:noWrap/>
            <w:vAlign w:val="center"/>
          </w:tcPr>
          <w:p w:rsidR="00476011" w:rsidRPr="00242020" w:rsidRDefault="00476011" w:rsidP="00E37DE1">
            <w:pPr>
              <w:ind w:firstLine="0"/>
              <w:jc w:val="right"/>
              <w:rPr>
                <w:sz w:val="22"/>
              </w:rPr>
            </w:pPr>
            <w:r w:rsidRPr="00242020">
              <w:rPr>
                <w:sz w:val="22"/>
              </w:rPr>
              <w:t>1 091,90</w:t>
            </w:r>
          </w:p>
        </w:tc>
        <w:tc>
          <w:tcPr>
            <w:tcW w:w="1230" w:type="dxa"/>
            <w:shd w:val="clear" w:color="auto" w:fill="auto"/>
            <w:noWrap/>
            <w:vAlign w:val="center"/>
          </w:tcPr>
          <w:p w:rsidR="00476011" w:rsidRPr="00242020" w:rsidRDefault="00476011" w:rsidP="00E37DE1">
            <w:pPr>
              <w:ind w:firstLine="0"/>
              <w:jc w:val="right"/>
              <w:rPr>
                <w:sz w:val="22"/>
              </w:rPr>
            </w:pPr>
            <w:r w:rsidRPr="00242020">
              <w:rPr>
                <w:sz w:val="22"/>
              </w:rPr>
              <w:t>992,50</w:t>
            </w:r>
          </w:p>
        </w:tc>
        <w:tc>
          <w:tcPr>
            <w:tcW w:w="1230" w:type="dxa"/>
            <w:shd w:val="clear" w:color="auto" w:fill="auto"/>
            <w:noWrap/>
            <w:vAlign w:val="center"/>
          </w:tcPr>
          <w:p w:rsidR="00476011" w:rsidRPr="00242020" w:rsidRDefault="00476011" w:rsidP="00E37DE1">
            <w:pPr>
              <w:ind w:firstLine="0"/>
              <w:jc w:val="right"/>
              <w:rPr>
                <w:sz w:val="22"/>
              </w:rPr>
            </w:pPr>
            <w:r w:rsidRPr="00242020">
              <w:rPr>
                <w:sz w:val="22"/>
              </w:rPr>
              <w:t> </w:t>
            </w:r>
          </w:p>
        </w:tc>
        <w:tc>
          <w:tcPr>
            <w:tcW w:w="1212" w:type="dxa"/>
            <w:shd w:val="clear" w:color="auto" w:fill="auto"/>
            <w:noWrap/>
            <w:vAlign w:val="center"/>
          </w:tcPr>
          <w:p w:rsidR="00476011" w:rsidRPr="00242020" w:rsidRDefault="00476011" w:rsidP="00E37DE1">
            <w:pPr>
              <w:ind w:firstLine="0"/>
              <w:jc w:val="right"/>
              <w:rPr>
                <w:sz w:val="22"/>
              </w:rPr>
            </w:pPr>
            <w:r w:rsidRPr="00242020">
              <w:rPr>
                <w:sz w:val="22"/>
              </w:rPr>
              <w:t> </w:t>
            </w:r>
          </w:p>
        </w:tc>
        <w:tc>
          <w:tcPr>
            <w:tcW w:w="1338" w:type="dxa"/>
            <w:shd w:val="clear" w:color="auto" w:fill="auto"/>
            <w:noWrap/>
            <w:vAlign w:val="center"/>
          </w:tcPr>
          <w:p w:rsidR="00476011" w:rsidRPr="00242020" w:rsidRDefault="00476011" w:rsidP="00E37DE1">
            <w:pPr>
              <w:ind w:firstLine="0"/>
              <w:jc w:val="right"/>
              <w:rPr>
                <w:b/>
                <w:bCs/>
                <w:sz w:val="22"/>
              </w:rPr>
            </w:pPr>
            <w:r w:rsidRPr="00242020">
              <w:rPr>
                <w:b/>
                <w:bCs/>
                <w:sz w:val="22"/>
              </w:rPr>
              <w:t>1 091,90</w:t>
            </w:r>
          </w:p>
        </w:tc>
        <w:tc>
          <w:tcPr>
            <w:tcW w:w="1212" w:type="dxa"/>
            <w:shd w:val="clear" w:color="auto" w:fill="auto"/>
            <w:noWrap/>
            <w:vAlign w:val="center"/>
          </w:tcPr>
          <w:p w:rsidR="00476011" w:rsidRPr="00242020" w:rsidRDefault="00476011" w:rsidP="00E37DE1">
            <w:pPr>
              <w:ind w:firstLine="0"/>
              <w:jc w:val="right"/>
              <w:rPr>
                <w:b/>
                <w:bCs/>
                <w:sz w:val="22"/>
              </w:rPr>
            </w:pPr>
            <w:r w:rsidRPr="00242020">
              <w:rPr>
                <w:b/>
                <w:bCs/>
                <w:sz w:val="22"/>
              </w:rPr>
              <w:t>992,50</w:t>
            </w:r>
          </w:p>
        </w:tc>
      </w:tr>
      <w:tr w:rsidR="00476011" w:rsidRPr="00242020" w:rsidTr="00E37DE1">
        <w:trPr>
          <w:trHeight w:val="315"/>
        </w:trPr>
        <w:tc>
          <w:tcPr>
            <w:tcW w:w="2160" w:type="dxa"/>
            <w:shd w:val="clear" w:color="auto" w:fill="D9D9D9" w:themeFill="background1" w:themeFillShade="D9"/>
            <w:noWrap/>
            <w:vAlign w:val="center"/>
          </w:tcPr>
          <w:p w:rsidR="00476011" w:rsidRPr="00242020" w:rsidRDefault="00476011" w:rsidP="00E37DE1">
            <w:pPr>
              <w:ind w:firstLine="0"/>
              <w:jc w:val="right"/>
              <w:rPr>
                <w:sz w:val="22"/>
              </w:rPr>
            </w:pPr>
            <w:r w:rsidRPr="00242020">
              <w:rPr>
                <w:sz w:val="22"/>
              </w:rPr>
              <w:t>2271</w:t>
            </w:r>
          </w:p>
        </w:tc>
        <w:tc>
          <w:tcPr>
            <w:tcW w:w="1263" w:type="dxa"/>
            <w:shd w:val="clear" w:color="auto" w:fill="D9D9D9" w:themeFill="background1" w:themeFillShade="D9"/>
            <w:noWrap/>
            <w:vAlign w:val="center"/>
          </w:tcPr>
          <w:p w:rsidR="00476011" w:rsidRPr="00242020" w:rsidRDefault="00476011" w:rsidP="00E37DE1">
            <w:pPr>
              <w:ind w:firstLine="0"/>
              <w:jc w:val="right"/>
              <w:rPr>
                <w:sz w:val="22"/>
              </w:rPr>
            </w:pPr>
            <w:r w:rsidRPr="00242020">
              <w:rPr>
                <w:sz w:val="22"/>
              </w:rPr>
              <w:t>4 084,20</w:t>
            </w:r>
          </w:p>
        </w:tc>
        <w:tc>
          <w:tcPr>
            <w:tcW w:w="1230" w:type="dxa"/>
            <w:shd w:val="clear" w:color="auto" w:fill="D9D9D9" w:themeFill="background1" w:themeFillShade="D9"/>
            <w:noWrap/>
            <w:vAlign w:val="center"/>
          </w:tcPr>
          <w:p w:rsidR="00476011" w:rsidRPr="00242020" w:rsidRDefault="00476011" w:rsidP="00E37DE1">
            <w:pPr>
              <w:ind w:firstLine="0"/>
              <w:jc w:val="right"/>
              <w:rPr>
                <w:sz w:val="22"/>
              </w:rPr>
            </w:pPr>
            <w:r w:rsidRPr="00242020">
              <w:rPr>
                <w:sz w:val="22"/>
              </w:rPr>
              <w:t>3 701,56</w:t>
            </w:r>
          </w:p>
        </w:tc>
        <w:tc>
          <w:tcPr>
            <w:tcW w:w="1230" w:type="dxa"/>
            <w:shd w:val="clear" w:color="auto" w:fill="D9D9D9" w:themeFill="background1" w:themeFillShade="D9"/>
            <w:noWrap/>
            <w:vAlign w:val="center"/>
          </w:tcPr>
          <w:p w:rsidR="00476011" w:rsidRPr="00242020" w:rsidRDefault="00476011" w:rsidP="00E37DE1">
            <w:pPr>
              <w:ind w:firstLine="0"/>
              <w:jc w:val="right"/>
              <w:rPr>
                <w:sz w:val="22"/>
              </w:rPr>
            </w:pPr>
            <w:r w:rsidRPr="00242020">
              <w:rPr>
                <w:sz w:val="22"/>
              </w:rPr>
              <w:t> </w:t>
            </w:r>
          </w:p>
        </w:tc>
        <w:tc>
          <w:tcPr>
            <w:tcW w:w="1212" w:type="dxa"/>
            <w:shd w:val="clear" w:color="auto" w:fill="D9D9D9" w:themeFill="background1" w:themeFillShade="D9"/>
            <w:noWrap/>
            <w:vAlign w:val="center"/>
          </w:tcPr>
          <w:p w:rsidR="00476011" w:rsidRPr="00242020" w:rsidRDefault="00476011" w:rsidP="00E37DE1">
            <w:pPr>
              <w:ind w:firstLine="0"/>
              <w:jc w:val="right"/>
              <w:rPr>
                <w:sz w:val="22"/>
              </w:rPr>
            </w:pPr>
            <w:r w:rsidRPr="00242020">
              <w:rPr>
                <w:sz w:val="22"/>
              </w:rPr>
              <w:t> </w:t>
            </w:r>
          </w:p>
        </w:tc>
        <w:tc>
          <w:tcPr>
            <w:tcW w:w="1338" w:type="dxa"/>
            <w:shd w:val="clear" w:color="auto" w:fill="D9D9D9" w:themeFill="background1" w:themeFillShade="D9"/>
            <w:noWrap/>
            <w:vAlign w:val="center"/>
          </w:tcPr>
          <w:p w:rsidR="00476011" w:rsidRPr="00242020" w:rsidRDefault="00476011" w:rsidP="00E37DE1">
            <w:pPr>
              <w:ind w:firstLine="0"/>
              <w:jc w:val="right"/>
              <w:rPr>
                <w:b/>
                <w:bCs/>
                <w:sz w:val="22"/>
              </w:rPr>
            </w:pPr>
            <w:r w:rsidRPr="00242020">
              <w:rPr>
                <w:b/>
                <w:bCs/>
                <w:sz w:val="22"/>
              </w:rPr>
              <w:t>4 084,20</w:t>
            </w:r>
          </w:p>
        </w:tc>
        <w:tc>
          <w:tcPr>
            <w:tcW w:w="1212" w:type="dxa"/>
            <w:shd w:val="clear" w:color="auto" w:fill="D9D9D9" w:themeFill="background1" w:themeFillShade="D9"/>
            <w:noWrap/>
            <w:vAlign w:val="center"/>
          </w:tcPr>
          <w:p w:rsidR="00476011" w:rsidRPr="00242020" w:rsidRDefault="00476011" w:rsidP="00E37DE1">
            <w:pPr>
              <w:ind w:firstLine="0"/>
              <w:jc w:val="right"/>
              <w:rPr>
                <w:b/>
                <w:bCs/>
                <w:sz w:val="22"/>
              </w:rPr>
            </w:pPr>
            <w:r w:rsidRPr="00242020">
              <w:rPr>
                <w:b/>
                <w:bCs/>
                <w:sz w:val="22"/>
              </w:rPr>
              <w:t>3 701,56</w:t>
            </w:r>
          </w:p>
        </w:tc>
      </w:tr>
      <w:tr w:rsidR="00476011" w:rsidRPr="00242020" w:rsidTr="00E37DE1">
        <w:trPr>
          <w:trHeight w:val="315"/>
        </w:trPr>
        <w:tc>
          <w:tcPr>
            <w:tcW w:w="2160" w:type="dxa"/>
            <w:shd w:val="clear" w:color="auto" w:fill="auto"/>
            <w:noWrap/>
            <w:vAlign w:val="center"/>
          </w:tcPr>
          <w:p w:rsidR="00476011" w:rsidRPr="00242020" w:rsidRDefault="00476011" w:rsidP="00E37DE1">
            <w:pPr>
              <w:ind w:firstLine="0"/>
              <w:jc w:val="right"/>
              <w:rPr>
                <w:sz w:val="22"/>
              </w:rPr>
            </w:pPr>
            <w:r w:rsidRPr="00242020">
              <w:rPr>
                <w:sz w:val="22"/>
              </w:rPr>
              <w:t>2272</w:t>
            </w:r>
          </w:p>
        </w:tc>
        <w:tc>
          <w:tcPr>
            <w:tcW w:w="1263" w:type="dxa"/>
            <w:shd w:val="clear" w:color="auto" w:fill="auto"/>
            <w:noWrap/>
            <w:vAlign w:val="center"/>
          </w:tcPr>
          <w:p w:rsidR="00476011" w:rsidRPr="00242020" w:rsidRDefault="00476011" w:rsidP="00E37DE1">
            <w:pPr>
              <w:ind w:firstLine="0"/>
              <w:jc w:val="right"/>
              <w:rPr>
                <w:sz w:val="22"/>
              </w:rPr>
            </w:pPr>
            <w:r w:rsidRPr="00242020">
              <w:rPr>
                <w:sz w:val="22"/>
              </w:rPr>
              <w:t>170,60</w:t>
            </w:r>
          </w:p>
        </w:tc>
        <w:tc>
          <w:tcPr>
            <w:tcW w:w="1230" w:type="dxa"/>
            <w:shd w:val="clear" w:color="auto" w:fill="auto"/>
            <w:noWrap/>
            <w:vAlign w:val="center"/>
          </w:tcPr>
          <w:p w:rsidR="00476011" w:rsidRPr="00242020" w:rsidRDefault="00476011" w:rsidP="00E37DE1">
            <w:pPr>
              <w:ind w:firstLine="0"/>
              <w:jc w:val="right"/>
              <w:rPr>
                <w:sz w:val="22"/>
              </w:rPr>
            </w:pPr>
            <w:r w:rsidRPr="00242020">
              <w:rPr>
                <w:sz w:val="22"/>
              </w:rPr>
              <w:t>147,50</w:t>
            </w:r>
          </w:p>
        </w:tc>
        <w:tc>
          <w:tcPr>
            <w:tcW w:w="1230" w:type="dxa"/>
            <w:shd w:val="clear" w:color="auto" w:fill="auto"/>
            <w:noWrap/>
            <w:vAlign w:val="center"/>
          </w:tcPr>
          <w:p w:rsidR="00476011" w:rsidRPr="00242020" w:rsidRDefault="00476011" w:rsidP="00E37DE1">
            <w:pPr>
              <w:ind w:firstLine="0"/>
              <w:jc w:val="right"/>
              <w:rPr>
                <w:sz w:val="22"/>
              </w:rPr>
            </w:pPr>
            <w:r w:rsidRPr="00242020">
              <w:rPr>
                <w:sz w:val="22"/>
              </w:rPr>
              <w:t> </w:t>
            </w:r>
          </w:p>
        </w:tc>
        <w:tc>
          <w:tcPr>
            <w:tcW w:w="1212" w:type="dxa"/>
            <w:shd w:val="clear" w:color="auto" w:fill="auto"/>
            <w:noWrap/>
            <w:vAlign w:val="center"/>
          </w:tcPr>
          <w:p w:rsidR="00476011" w:rsidRPr="00242020" w:rsidRDefault="00476011" w:rsidP="00E37DE1">
            <w:pPr>
              <w:ind w:firstLine="0"/>
              <w:jc w:val="right"/>
              <w:rPr>
                <w:sz w:val="22"/>
              </w:rPr>
            </w:pPr>
            <w:r w:rsidRPr="00242020">
              <w:rPr>
                <w:sz w:val="22"/>
              </w:rPr>
              <w:t> </w:t>
            </w:r>
          </w:p>
        </w:tc>
        <w:tc>
          <w:tcPr>
            <w:tcW w:w="1338" w:type="dxa"/>
            <w:shd w:val="clear" w:color="auto" w:fill="auto"/>
            <w:noWrap/>
            <w:vAlign w:val="center"/>
          </w:tcPr>
          <w:p w:rsidR="00476011" w:rsidRPr="00242020" w:rsidRDefault="00476011" w:rsidP="00E37DE1">
            <w:pPr>
              <w:ind w:firstLine="0"/>
              <w:jc w:val="right"/>
              <w:rPr>
                <w:b/>
                <w:bCs/>
                <w:sz w:val="22"/>
              </w:rPr>
            </w:pPr>
            <w:r w:rsidRPr="00242020">
              <w:rPr>
                <w:b/>
                <w:bCs/>
                <w:sz w:val="22"/>
              </w:rPr>
              <w:t>170,60</w:t>
            </w:r>
          </w:p>
        </w:tc>
        <w:tc>
          <w:tcPr>
            <w:tcW w:w="1212" w:type="dxa"/>
            <w:shd w:val="clear" w:color="auto" w:fill="auto"/>
            <w:noWrap/>
            <w:vAlign w:val="center"/>
          </w:tcPr>
          <w:p w:rsidR="00476011" w:rsidRPr="00242020" w:rsidRDefault="00476011" w:rsidP="00E37DE1">
            <w:pPr>
              <w:ind w:firstLine="0"/>
              <w:jc w:val="right"/>
              <w:rPr>
                <w:b/>
                <w:bCs/>
                <w:sz w:val="22"/>
              </w:rPr>
            </w:pPr>
            <w:r w:rsidRPr="00242020">
              <w:rPr>
                <w:b/>
                <w:bCs/>
                <w:sz w:val="22"/>
              </w:rPr>
              <w:t>147,50</w:t>
            </w:r>
          </w:p>
        </w:tc>
      </w:tr>
      <w:tr w:rsidR="00476011" w:rsidRPr="00242020" w:rsidTr="00E37DE1">
        <w:trPr>
          <w:trHeight w:val="315"/>
        </w:trPr>
        <w:tc>
          <w:tcPr>
            <w:tcW w:w="2160" w:type="dxa"/>
            <w:shd w:val="clear" w:color="auto" w:fill="D9D9D9" w:themeFill="background1" w:themeFillShade="D9"/>
            <w:noWrap/>
            <w:vAlign w:val="center"/>
          </w:tcPr>
          <w:p w:rsidR="00476011" w:rsidRPr="00242020" w:rsidRDefault="00476011" w:rsidP="00E37DE1">
            <w:pPr>
              <w:ind w:firstLine="0"/>
              <w:jc w:val="right"/>
              <w:rPr>
                <w:sz w:val="22"/>
              </w:rPr>
            </w:pPr>
            <w:r w:rsidRPr="00242020">
              <w:rPr>
                <w:sz w:val="22"/>
              </w:rPr>
              <w:t>2273</w:t>
            </w:r>
          </w:p>
        </w:tc>
        <w:tc>
          <w:tcPr>
            <w:tcW w:w="1263" w:type="dxa"/>
            <w:shd w:val="clear" w:color="auto" w:fill="D9D9D9" w:themeFill="background1" w:themeFillShade="D9"/>
            <w:noWrap/>
            <w:vAlign w:val="center"/>
          </w:tcPr>
          <w:p w:rsidR="00476011" w:rsidRPr="00242020" w:rsidRDefault="00476011" w:rsidP="00E37DE1">
            <w:pPr>
              <w:ind w:firstLine="0"/>
              <w:jc w:val="right"/>
              <w:rPr>
                <w:sz w:val="22"/>
              </w:rPr>
            </w:pPr>
            <w:r w:rsidRPr="00242020">
              <w:rPr>
                <w:sz w:val="22"/>
              </w:rPr>
              <w:t>2 936,20</w:t>
            </w:r>
          </w:p>
        </w:tc>
        <w:tc>
          <w:tcPr>
            <w:tcW w:w="1230" w:type="dxa"/>
            <w:shd w:val="clear" w:color="auto" w:fill="D9D9D9" w:themeFill="background1" w:themeFillShade="D9"/>
            <w:noWrap/>
            <w:vAlign w:val="center"/>
          </w:tcPr>
          <w:p w:rsidR="00476011" w:rsidRPr="00242020" w:rsidRDefault="00476011" w:rsidP="00E37DE1">
            <w:pPr>
              <w:ind w:firstLine="0"/>
              <w:jc w:val="right"/>
              <w:rPr>
                <w:sz w:val="22"/>
              </w:rPr>
            </w:pPr>
            <w:r w:rsidRPr="00242020">
              <w:rPr>
                <w:sz w:val="22"/>
              </w:rPr>
              <w:t>2 746,13</w:t>
            </w:r>
          </w:p>
        </w:tc>
        <w:tc>
          <w:tcPr>
            <w:tcW w:w="1230" w:type="dxa"/>
            <w:shd w:val="clear" w:color="auto" w:fill="D9D9D9" w:themeFill="background1" w:themeFillShade="D9"/>
            <w:noWrap/>
            <w:vAlign w:val="center"/>
          </w:tcPr>
          <w:p w:rsidR="00476011" w:rsidRPr="00242020" w:rsidRDefault="00476011" w:rsidP="00E37DE1">
            <w:pPr>
              <w:ind w:firstLine="0"/>
              <w:jc w:val="right"/>
              <w:rPr>
                <w:sz w:val="22"/>
              </w:rPr>
            </w:pPr>
            <w:r w:rsidRPr="00242020">
              <w:rPr>
                <w:sz w:val="22"/>
              </w:rPr>
              <w:t> </w:t>
            </w:r>
          </w:p>
        </w:tc>
        <w:tc>
          <w:tcPr>
            <w:tcW w:w="1212" w:type="dxa"/>
            <w:shd w:val="clear" w:color="auto" w:fill="D9D9D9" w:themeFill="background1" w:themeFillShade="D9"/>
            <w:noWrap/>
            <w:vAlign w:val="center"/>
          </w:tcPr>
          <w:p w:rsidR="00476011" w:rsidRPr="00242020" w:rsidRDefault="00476011" w:rsidP="00E37DE1">
            <w:pPr>
              <w:ind w:firstLine="0"/>
              <w:jc w:val="right"/>
              <w:rPr>
                <w:sz w:val="22"/>
              </w:rPr>
            </w:pPr>
            <w:r w:rsidRPr="00242020">
              <w:rPr>
                <w:sz w:val="22"/>
              </w:rPr>
              <w:t> </w:t>
            </w:r>
          </w:p>
        </w:tc>
        <w:tc>
          <w:tcPr>
            <w:tcW w:w="1338" w:type="dxa"/>
            <w:shd w:val="clear" w:color="auto" w:fill="D9D9D9" w:themeFill="background1" w:themeFillShade="D9"/>
            <w:noWrap/>
            <w:vAlign w:val="center"/>
          </w:tcPr>
          <w:p w:rsidR="00476011" w:rsidRPr="00242020" w:rsidRDefault="00476011" w:rsidP="00E37DE1">
            <w:pPr>
              <w:ind w:firstLine="0"/>
              <w:jc w:val="right"/>
              <w:rPr>
                <w:b/>
                <w:bCs/>
                <w:sz w:val="22"/>
              </w:rPr>
            </w:pPr>
            <w:r w:rsidRPr="00242020">
              <w:rPr>
                <w:b/>
                <w:bCs/>
                <w:sz w:val="22"/>
              </w:rPr>
              <w:t>2 936,20</w:t>
            </w:r>
          </w:p>
        </w:tc>
        <w:tc>
          <w:tcPr>
            <w:tcW w:w="1212" w:type="dxa"/>
            <w:shd w:val="clear" w:color="auto" w:fill="D9D9D9" w:themeFill="background1" w:themeFillShade="D9"/>
            <w:noWrap/>
            <w:vAlign w:val="center"/>
          </w:tcPr>
          <w:p w:rsidR="00476011" w:rsidRPr="00242020" w:rsidRDefault="00476011" w:rsidP="00E37DE1">
            <w:pPr>
              <w:ind w:firstLine="0"/>
              <w:jc w:val="right"/>
              <w:rPr>
                <w:b/>
                <w:bCs/>
                <w:sz w:val="22"/>
              </w:rPr>
            </w:pPr>
            <w:r w:rsidRPr="00242020">
              <w:rPr>
                <w:b/>
                <w:bCs/>
                <w:sz w:val="22"/>
              </w:rPr>
              <w:t>2 746,13</w:t>
            </w:r>
          </w:p>
        </w:tc>
      </w:tr>
      <w:tr w:rsidR="00476011" w:rsidRPr="00242020" w:rsidTr="00E37DE1">
        <w:trPr>
          <w:trHeight w:val="315"/>
        </w:trPr>
        <w:tc>
          <w:tcPr>
            <w:tcW w:w="2160" w:type="dxa"/>
            <w:shd w:val="clear" w:color="auto" w:fill="auto"/>
            <w:noWrap/>
            <w:vAlign w:val="center"/>
          </w:tcPr>
          <w:p w:rsidR="00476011" w:rsidRPr="00242020" w:rsidRDefault="00476011" w:rsidP="00E37DE1">
            <w:pPr>
              <w:ind w:firstLine="0"/>
              <w:jc w:val="right"/>
              <w:rPr>
                <w:sz w:val="22"/>
              </w:rPr>
            </w:pPr>
            <w:r w:rsidRPr="00242020">
              <w:rPr>
                <w:sz w:val="22"/>
              </w:rPr>
              <w:t>2274</w:t>
            </w:r>
          </w:p>
        </w:tc>
        <w:tc>
          <w:tcPr>
            <w:tcW w:w="1263" w:type="dxa"/>
            <w:shd w:val="clear" w:color="auto" w:fill="auto"/>
            <w:noWrap/>
            <w:vAlign w:val="center"/>
          </w:tcPr>
          <w:p w:rsidR="00476011" w:rsidRPr="00242020" w:rsidRDefault="00476011" w:rsidP="00E37DE1">
            <w:pPr>
              <w:ind w:firstLine="0"/>
              <w:jc w:val="right"/>
              <w:rPr>
                <w:sz w:val="22"/>
              </w:rPr>
            </w:pPr>
            <w:r w:rsidRPr="00242020">
              <w:rPr>
                <w:sz w:val="22"/>
              </w:rPr>
              <w:t>173,40</w:t>
            </w:r>
          </w:p>
        </w:tc>
        <w:tc>
          <w:tcPr>
            <w:tcW w:w="1230" w:type="dxa"/>
            <w:shd w:val="clear" w:color="auto" w:fill="auto"/>
            <w:noWrap/>
            <w:vAlign w:val="center"/>
          </w:tcPr>
          <w:p w:rsidR="00476011" w:rsidRPr="00242020" w:rsidRDefault="00476011" w:rsidP="00E37DE1">
            <w:pPr>
              <w:ind w:firstLine="0"/>
              <w:jc w:val="right"/>
              <w:rPr>
                <w:sz w:val="22"/>
              </w:rPr>
            </w:pPr>
            <w:r w:rsidRPr="00242020">
              <w:rPr>
                <w:sz w:val="22"/>
              </w:rPr>
              <w:t>153,36</w:t>
            </w:r>
          </w:p>
        </w:tc>
        <w:tc>
          <w:tcPr>
            <w:tcW w:w="1230" w:type="dxa"/>
            <w:shd w:val="clear" w:color="auto" w:fill="auto"/>
            <w:noWrap/>
            <w:vAlign w:val="center"/>
          </w:tcPr>
          <w:p w:rsidR="00476011" w:rsidRPr="00242020" w:rsidRDefault="00476011" w:rsidP="00E37DE1">
            <w:pPr>
              <w:ind w:firstLine="0"/>
              <w:jc w:val="right"/>
              <w:rPr>
                <w:sz w:val="22"/>
              </w:rPr>
            </w:pPr>
            <w:r w:rsidRPr="00242020">
              <w:rPr>
                <w:sz w:val="22"/>
              </w:rPr>
              <w:t> </w:t>
            </w:r>
          </w:p>
        </w:tc>
        <w:tc>
          <w:tcPr>
            <w:tcW w:w="1212" w:type="dxa"/>
            <w:shd w:val="clear" w:color="auto" w:fill="auto"/>
            <w:noWrap/>
            <w:vAlign w:val="center"/>
          </w:tcPr>
          <w:p w:rsidR="00476011" w:rsidRPr="00242020" w:rsidRDefault="00476011" w:rsidP="00E37DE1">
            <w:pPr>
              <w:ind w:firstLine="0"/>
              <w:jc w:val="right"/>
              <w:rPr>
                <w:sz w:val="22"/>
              </w:rPr>
            </w:pPr>
            <w:r w:rsidRPr="00242020">
              <w:rPr>
                <w:sz w:val="22"/>
              </w:rPr>
              <w:t> </w:t>
            </w:r>
          </w:p>
        </w:tc>
        <w:tc>
          <w:tcPr>
            <w:tcW w:w="1338" w:type="dxa"/>
            <w:shd w:val="clear" w:color="auto" w:fill="auto"/>
            <w:noWrap/>
            <w:vAlign w:val="center"/>
          </w:tcPr>
          <w:p w:rsidR="00476011" w:rsidRPr="00242020" w:rsidRDefault="00476011" w:rsidP="00E37DE1">
            <w:pPr>
              <w:ind w:firstLine="0"/>
              <w:jc w:val="right"/>
              <w:rPr>
                <w:b/>
                <w:bCs/>
                <w:sz w:val="22"/>
              </w:rPr>
            </w:pPr>
            <w:r w:rsidRPr="00242020">
              <w:rPr>
                <w:b/>
                <w:bCs/>
                <w:sz w:val="22"/>
              </w:rPr>
              <w:t>173,40</w:t>
            </w:r>
          </w:p>
        </w:tc>
        <w:tc>
          <w:tcPr>
            <w:tcW w:w="1212" w:type="dxa"/>
            <w:shd w:val="clear" w:color="auto" w:fill="auto"/>
            <w:noWrap/>
            <w:vAlign w:val="center"/>
          </w:tcPr>
          <w:p w:rsidR="00476011" w:rsidRPr="00242020" w:rsidRDefault="00476011" w:rsidP="00E37DE1">
            <w:pPr>
              <w:ind w:firstLine="0"/>
              <w:jc w:val="right"/>
              <w:rPr>
                <w:b/>
                <w:bCs/>
                <w:sz w:val="22"/>
              </w:rPr>
            </w:pPr>
            <w:r w:rsidRPr="00242020">
              <w:rPr>
                <w:b/>
                <w:bCs/>
                <w:sz w:val="22"/>
              </w:rPr>
              <w:t>153,36</w:t>
            </w:r>
          </w:p>
        </w:tc>
      </w:tr>
      <w:tr w:rsidR="00476011" w:rsidRPr="00242020" w:rsidTr="00E37DE1">
        <w:trPr>
          <w:trHeight w:val="315"/>
        </w:trPr>
        <w:tc>
          <w:tcPr>
            <w:tcW w:w="2160" w:type="dxa"/>
            <w:shd w:val="clear" w:color="auto" w:fill="D9D9D9" w:themeFill="background1" w:themeFillShade="D9"/>
            <w:noWrap/>
            <w:vAlign w:val="center"/>
          </w:tcPr>
          <w:p w:rsidR="00476011" w:rsidRPr="00242020" w:rsidRDefault="00476011" w:rsidP="00E37DE1">
            <w:pPr>
              <w:ind w:firstLine="0"/>
              <w:jc w:val="right"/>
              <w:rPr>
                <w:sz w:val="22"/>
              </w:rPr>
            </w:pPr>
            <w:r w:rsidRPr="00242020">
              <w:rPr>
                <w:sz w:val="22"/>
              </w:rPr>
              <w:t>2282</w:t>
            </w:r>
          </w:p>
        </w:tc>
        <w:tc>
          <w:tcPr>
            <w:tcW w:w="1263" w:type="dxa"/>
            <w:shd w:val="clear" w:color="auto" w:fill="D9D9D9" w:themeFill="background1" w:themeFillShade="D9"/>
            <w:noWrap/>
            <w:vAlign w:val="center"/>
          </w:tcPr>
          <w:p w:rsidR="00476011" w:rsidRPr="00242020" w:rsidRDefault="00476011" w:rsidP="00E37DE1">
            <w:pPr>
              <w:ind w:firstLine="0"/>
              <w:jc w:val="right"/>
              <w:rPr>
                <w:sz w:val="22"/>
              </w:rPr>
            </w:pPr>
            <w:r w:rsidRPr="00242020">
              <w:rPr>
                <w:sz w:val="22"/>
              </w:rPr>
              <w:t>522,45</w:t>
            </w:r>
          </w:p>
        </w:tc>
        <w:tc>
          <w:tcPr>
            <w:tcW w:w="1230" w:type="dxa"/>
            <w:shd w:val="clear" w:color="auto" w:fill="D9D9D9" w:themeFill="background1" w:themeFillShade="D9"/>
            <w:noWrap/>
            <w:vAlign w:val="center"/>
          </w:tcPr>
          <w:p w:rsidR="00476011" w:rsidRPr="00242020" w:rsidRDefault="00476011" w:rsidP="00E37DE1">
            <w:pPr>
              <w:ind w:firstLine="0"/>
              <w:jc w:val="right"/>
              <w:rPr>
                <w:sz w:val="22"/>
              </w:rPr>
            </w:pPr>
            <w:r w:rsidRPr="00242020">
              <w:rPr>
                <w:sz w:val="22"/>
              </w:rPr>
              <w:t>370,81</w:t>
            </w:r>
          </w:p>
        </w:tc>
        <w:tc>
          <w:tcPr>
            <w:tcW w:w="1230" w:type="dxa"/>
            <w:shd w:val="clear" w:color="auto" w:fill="D9D9D9" w:themeFill="background1" w:themeFillShade="D9"/>
            <w:noWrap/>
            <w:vAlign w:val="center"/>
          </w:tcPr>
          <w:p w:rsidR="00476011" w:rsidRPr="00242020" w:rsidRDefault="00476011" w:rsidP="00E37DE1">
            <w:pPr>
              <w:ind w:firstLine="0"/>
              <w:jc w:val="right"/>
              <w:rPr>
                <w:sz w:val="22"/>
              </w:rPr>
            </w:pPr>
            <w:r w:rsidRPr="00242020">
              <w:rPr>
                <w:sz w:val="22"/>
              </w:rPr>
              <w:t> </w:t>
            </w:r>
          </w:p>
        </w:tc>
        <w:tc>
          <w:tcPr>
            <w:tcW w:w="1212" w:type="dxa"/>
            <w:shd w:val="clear" w:color="auto" w:fill="D9D9D9" w:themeFill="background1" w:themeFillShade="D9"/>
            <w:noWrap/>
            <w:vAlign w:val="center"/>
          </w:tcPr>
          <w:p w:rsidR="00476011" w:rsidRPr="00242020" w:rsidRDefault="00476011" w:rsidP="00E37DE1">
            <w:pPr>
              <w:ind w:firstLine="0"/>
              <w:jc w:val="right"/>
              <w:rPr>
                <w:sz w:val="22"/>
              </w:rPr>
            </w:pPr>
            <w:r w:rsidRPr="00242020">
              <w:rPr>
                <w:sz w:val="22"/>
              </w:rPr>
              <w:t> </w:t>
            </w:r>
          </w:p>
        </w:tc>
        <w:tc>
          <w:tcPr>
            <w:tcW w:w="1338" w:type="dxa"/>
            <w:shd w:val="clear" w:color="auto" w:fill="D9D9D9" w:themeFill="background1" w:themeFillShade="D9"/>
            <w:noWrap/>
            <w:vAlign w:val="center"/>
          </w:tcPr>
          <w:p w:rsidR="00476011" w:rsidRPr="00242020" w:rsidRDefault="00476011" w:rsidP="00E37DE1">
            <w:pPr>
              <w:ind w:firstLine="0"/>
              <w:jc w:val="right"/>
              <w:rPr>
                <w:b/>
                <w:bCs/>
                <w:sz w:val="22"/>
              </w:rPr>
            </w:pPr>
            <w:r w:rsidRPr="00242020">
              <w:rPr>
                <w:b/>
                <w:bCs/>
                <w:sz w:val="22"/>
              </w:rPr>
              <w:t>522,45</w:t>
            </w:r>
          </w:p>
        </w:tc>
        <w:tc>
          <w:tcPr>
            <w:tcW w:w="1212" w:type="dxa"/>
            <w:shd w:val="clear" w:color="auto" w:fill="D9D9D9" w:themeFill="background1" w:themeFillShade="D9"/>
            <w:noWrap/>
            <w:vAlign w:val="center"/>
          </w:tcPr>
          <w:p w:rsidR="00476011" w:rsidRPr="00242020" w:rsidRDefault="00476011" w:rsidP="00E37DE1">
            <w:pPr>
              <w:ind w:firstLine="0"/>
              <w:jc w:val="right"/>
              <w:rPr>
                <w:b/>
                <w:bCs/>
                <w:sz w:val="22"/>
              </w:rPr>
            </w:pPr>
            <w:r w:rsidRPr="00242020">
              <w:rPr>
                <w:b/>
                <w:bCs/>
                <w:sz w:val="22"/>
              </w:rPr>
              <w:t>370,81</w:t>
            </w:r>
          </w:p>
        </w:tc>
      </w:tr>
      <w:tr w:rsidR="00476011" w:rsidRPr="00242020" w:rsidTr="00E37DE1">
        <w:trPr>
          <w:trHeight w:val="315"/>
        </w:trPr>
        <w:tc>
          <w:tcPr>
            <w:tcW w:w="2160" w:type="dxa"/>
            <w:shd w:val="clear" w:color="auto" w:fill="auto"/>
            <w:noWrap/>
            <w:vAlign w:val="center"/>
          </w:tcPr>
          <w:p w:rsidR="00476011" w:rsidRPr="00242020" w:rsidRDefault="00476011" w:rsidP="00E37DE1">
            <w:pPr>
              <w:ind w:firstLine="0"/>
              <w:jc w:val="right"/>
              <w:rPr>
                <w:sz w:val="22"/>
              </w:rPr>
            </w:pPr>
            <w:r w:rsidRPr="00242020">
              <w:rPr>
                <w:sz w:val="22"/>
              </w:rPr>
              <w:t>2800</w:t>
            </w:r>
          </w:p>
        </w:tc>
        <w:tc>
          <w:tcPr>
            <w:tcW w:w="1263" w:type="dxa"/>
            <w:shd w:val="clear" w:color="auto" w:fill="auto"/>
            <w:noWrap/>
            <w:vAlign w:val="center"/>
          </w:tcPr>
          <w:p w:rsidR="00476011" w:rsidRPr="00242020" w:rsidRDefault="00476011" w:rsidP="00E37DE1">
            <w:pPr>
              <w:ind w:firstLine="0"/>
              <w:jc w:val="right"/>
              <w:rPr>
                <w:sz w:val="22"/>
              </w:rPr>
            </w:pPr>
            <w:r w:rsidRPr="00242020">
              <w:rPr>
                <w:sz w:val="22"/>
              </w:rPr>
              <w:t>5 374,81</w:t>
            </w:r>
          </w:p>
        </w:tc>
        <w:tc>
          <w:tcPr>
            <w:tcW w:w="1230" w:type="dxa"/>
            <w:shd w:val="clear" w:color="auto" w:fill="auto"/>
            <w:noWrap/>
            <w:vAlign w:val="center"/>
          </w:tcPr>
          <w:p w:rsidR="00476011" w:rsidRPr="00242020" w:rsidRDefault="00476011" w:rsidP="00E37DE1">
            <w:pPr>
              <w:ind w:firstLine="0"/>
              <w:jc w:val="right"/>
              <w:rPr>
                <w:sz w:val="22"/>
              </w:rPr>
            </w:pPr>
            <w:r w:rsidRPr="00242020">
              <w:rPr>
                <w:sz w:val="22"/>
              </w:rPr>
              <w:t>4 856,57</w:t>
            </w:r>
          </w:p>
        </w:tc>
        <w:tc>
          <w:tcPr>
            <w:tcW w:w="1230" w:type="dxa"/>
            <w:shd w:val="clear" w:color="auto" w:fill="auto"/>
            <w:noWrap/>
            <w:vAlign w:val="center"/>
          </w:tcPr>
          <w:p w:rsidR="00476011" w:rsidRPr="00242020" w:rsidRDefault="00476011" w:rsidP="00E37DE1">
            <w:pPr>
              <w:ind w:firstLine="0"/>
              <w:jc w:val="right"/>
              <w:rPr>
                <w:sz w:val="22"/>
              </w:rPr>
            </w:pPr>
            <w:r w:rsidRPr="00242020">
              <w:rPr>
                <w:sz w:val="22"/>
              </w:rPr>
              <w:t>474,99</w:t>
            </w:r>
          </w:p>
        </w:tc>
        <w:tc>
          <w:tcPr>
            <w:tcW w:w="1212" w:type="dxa"/>
            <w:shd w:val="clear" w:color="auto" w:fill="auto"/>
            <w:noWrap/>
            <w:vAlign w:val="center"/>
          </w:tcPr>
          <w:p w:rsidR="00476011" w:rsidRPr="00242020" w:rsidRDefault="00476011" w:rsidP="00E37DE1">
            <w:pPr>
              <w:ind w:firstLine="0"/>
              <w:jc w:val="right"/>
              <w:rPr>
                <w:sz w:val="22"/>
              </w:rPr>
            </w:pPr>
            <w:r w:rsidRPr="00242020">
              <w:rPr>
                <w:sz w:val="22"/>
              </w:rPr>
              <w:t>346,28</w:t>
            </w:r>
          </w:p>
        </w:tc>
        <w:tc>
          <w:tcPr>
            <w:tcW w:w="1338" w:type="dxa"/>
            <w:shd w:val="clear" w:color="auto" w:fill="auto"/>
            <w:noWrap/>
            <w:vAlign w:val="center"/>
          </w:tcPr>
          <w:p w:rsidR="00476011" w:rsidRPr="00242020" w:rsidRDefault="00476011" w:rsidP="00E37DE1">
            <w:pPr>
              <w:ind w:firstLine="0"/>
              <w:jc w:val="right"/>
              <w:rPr>
                <w:b/>
                <w:bCs/>
                <w:sz w:val="22"/>
              </w:rPr>
            </w:pPr>
            <w:r w:rsidRPr="00242020">
              <w:rPr>
                <w:b/>
                <w:bCs/>
                <w:sz w:val="22"/>
              </w:rPr>
              <w:t>5 849,80</w:t>
            </w:r>
          </w:p>
        </w:tc>
        <w:tc>
          <w:tcPr>
            <w:tcW w:w="1212" w:type="dxa"/>
            <w:shd w:val="clear" w:color="auto" w:fill="auto"/>
            <w:noWrap/>
            <w:vAlign w:val="center"/>
          </w:tcPr>
          <w:p w:rsidR="00476011" w:rsidRPr="00242020" w:rsidRDefault="00476011" w:rsidP="00E37DE1">
            <w:pPr>
              <w:ind w:firstLine="0"/>
              <w:jc w:val="right"/>
              <w:rPr>
                <w:b/>
                <w:bCs/>
                <w:sz w:val="22"/>
              </w:rPr>
            </w:pPr>
            <w:r w:rsidRPr="00242020">
              <w:rPr>
                <w:b/>
                <w:bCs/>
                <w:sz w:val="22"/>
              </w:rPr>
              <w:t>5 202,85</w:t>
            </w:r>
          </w:p>
        </w:tc>
      </w:tr>
      <w:tr w:rsidR="00476011" w:rsidRPr="00242020" w:rsidTr="00E37DE1">
        <w:trPr>
          <w:trHeight w:val="315"/>
        </w:trPr>
        <w:tc>
          <w:tcPr>
            <w:tcW w:w="2160" w:type="dxa"/>
            <w:shd w:val="clear" w:color="auto" w:fill="D9D9D9" w:themeFill="background1" w:themeFillShade="D9"/>
            <w:noWrap/>
            <w:vAlign w:val="center"/>
          </w:tcPr>
          <w:p w:rsidR="00476011" w:rsidRPr="00242020" w:rsidRDefault="00476011" w:rsidP="00E37DE1">
            <w:pPr>
              <w:ind w:firstLine="0"/>
              <w:jc w:val="right"/>
              <w:rPr>
                <w:sz w:val="22"/>
              </w:rPr>
            </w:pPr>
            <w:r w:rsidRPr="00242020">
              <w:rPr>
                <w:sz w:val="22"/>
              </w:rPr>
              <w:t>3000</w:t>
            </w:r>
          </w:p>
        </w:tc>
        <w:tc>
          <w:tcPr>
            <w:tcW w:w="1263" w:type="dxa"/>
            <w:shd w:val="clear" w:color="auto" w:fill="D9D9D9" w:themeFill="background1" w:themeFillShade="D9"/>
            <w:noWrap/>
            <w:vAlign w:val="center"/>
          </w:tcPr>
          <w:p w:rsidR="00476011" w:rsidRPr="00242020" w:rsidRDefault="00476011" w:rsidP="00E37DE1">
            <w:pPr>
              <w:ind w:firstLine="0"/>
              <w:jc w:val="right"/>
              <w:rPr>
                <w:sz w:val="22"/>
              </w:rPr>
            </w:pPr>
            <w:r w:rsidRPr="00242020">
              <w:rPr>
                <w:sz w:val="22"/>
              </w:rPr>
              <w:t>10,00</w:t>
            </w:r>
          </w:p>
        </w:tc>
        <w:tc>
          <w:tcPr>
            <w:tcW w:w="1230" w:type="dxa"/>
            <w:shd w:val="clear" w:color="auto" w:fill="D9D9D9" w:themeFill="background1" w:themeFillShade="D9"/>
            <w:noWrap/>
            <w:vAlign w:val="center"/>
          </w:tcPr>
          <w:p w:rsidR="00476011" w:rsidRPr="00242020" w:rsidRDefault="00476011" w:rsidP="00E37DE1">
            <w:pPr>
              <w:ind w:firstLine="0"/>
              <w:jc w:val="right"/>
              <w:rPr>
                <w:sz w:val="22"/>
              </w:rPr>
            </w:pPr>
            <w:r w:rsidRPr="00242020">
              <w:rPr>
                <w:sz w:val="22"/>
              </w:rPr>
              <w:t>9,00</w:t>
            </w:r>
          </w:p>
        </w:tc>
        <w:tc>
          <w:tcPr>
            <w:tcW w:w="1230" w:type="dxa"/>
            <w:shd w:val="clear" w:color="auto" w:fill="D9D9D9" w:themeFill="background1" w:themeFillShade="D9"/>
            <w:noWrap/>
            <w:vAlign w:val="center"/>
          </w:tcPr>
          <w:p w:rsidR="00476011" w:rsidRPr="00242020" w:rsidRDefault="00476011" w:rsidP="00E37DE1">
            <w:pPr>
              <w:ind w:firstLine="0"/>
              <w:jc w:val="right"/>
              <w:rPr>
                <w:sz w:val="22"/>
              </w:rPr>
            </w:pPr>
            <w:r w:rsidRPr="00242020">
              <w:rPr>
                <w:sz w:val="22"/>
              </w:rPr>
              <w:t>30,00</w:t>
            </w:r>
          </w:p>
        </w:tc>
        <w:tc>
          <w:tcPr>
            <w:tcW w:w="1212" w:type="dxa"/>
            <w:shd w:val="clear" w:color="auto" w:fill="D9D9D9" w:themeFill="background1" w:themeFillShade="D9"/>
            <w:noWrap/>
            <w:vAlign w:val="center"/>
          </w:tcPr>
          <w:p w:rsidR="00476011" w:rsidRPr="00242020" w:rsidRDefault="00476011" w:rsidP="00E37DE1">
            <w:pPr>
              <w:ind w:firstLine="0"/>
              <w:jc w:val="right"/>
              <w:rPr>
                <w:sz w:val="22"/>
              </w:rPr>
            </w:pPr>
            <w:r w:rsidRPr="00242020">
              <w:rPr>
                <w:sz w:val="22"/>
              </w:rPr>
              <w:t>13,15</w:t>
            </w:r>
          </w:p>
        </w:tc>
        <w:tc>
          <w:tcPr>
            <w:tcW w:w="1338" w:type="dxa"/>
            <w:shd w:val="clear" w:color="auto" w:fill="D9D9D9" w:themeFill="background1" w:themeFillShade="D9"/>
            <w:noWrap/>
            <w:vAlign w:val="center"/>
          </w:tcPr>
          <w:p w:rsidR="00476011" w:rsidRPr="00242020" w:rsidRDefault="00476011" w:rsidP="00E37DE1">
            <w:pPr>
              <w:ind w:firstLine="0"/>
              <w:jc w:val="right"/>
              <w:rPr>
                <w:b/>
                <w:bCs/>
                <w:sz w:val="22"/>
              </w:rPr>
            </w:pPr>
            <w:r w:rsidRPr="00242020">
              <w:rPr>
                <w:b/>
                <w:bCs/>
                <w:sz w:val="22"/>
              </w:rPr>
              <w:t>40,00</w:t>
            </w:r>
          </w:p>
        </w:tc>
        <w:tc>
          <w:tcPr>
            <w:tcW w:w="1212" w:type="dxa"/>
            <w:shd w:val="clear" w:color="auto" w:fill="D9D9D9" w:themeFill="background1" w:themeFillShade="D9"/>
            <w:noWrap/>
            <w:vAlign w:val="center"/>
          </w:tcPr>
          <w:p w:rsidR="00476011" w:rsidRPr="00242020" w:rsidRDefault="00476011" w:rsidP="00E37DE1">
            <w:pPr>
              <w:ind w:firstLine="0"/>
              <w:jc w:val="right"/>
              <w:rPr>
                <w:b/>
                <w:bCs/>
                <w:sz w:val="22"/>
              </w:rPr>
            </w:pPr>
            <w:r w:rsidRPr="00242020">
              <w:rPr>
                <w:b/>
                <w:bCs/>
                <w:sz w:val="22"/>
              </w:rPr>
              <w:t>22,15</w:t>
            </w:r>
          </w:p>
        </w:tc>
      </w:tr>
      <w:tr w:rsidR="00476011" w:rsidRPr="00242020" w:rsidTr="00E37DE1">
        <w:trPr>
          <w:trHeight w:val="285"/>
        </w:trPr>
        <w:tc>
          <w:tcPr>
            <w:tcW w:w="2160" w:type="dxa"/>
            <w:shd w:val="clear" w:color="auto" w:fill="auto"/>
            <w:noWrap/>
            <w:vAlign w:val="center"/>
          </w:tcPr>
          <w:p w:rsidR="00476011" w:rsidRPr="00242020" w:rsidRDefault="00476011" w:rsidP="00E37DE1">
            <w:pPr>
              <w:ind w:firstLine="0"/>
              <w:jc w:val="right"/>
              <w:rPr>
                <w:sz w:val="22"/>
              </w:rPr>
            </w:pPr>
            <w:r w:rsidRPr="00242020">
              <w:rPr>
                <w:sz w:val="22"/>
              </w:rPr>
              <w:t>3110</w:t>
            </w:r>
          </w:p>
        </w:tc>
        <w:tc>
          <w:tcPr>
            <w:tcW w:w="1263" w:type="dxa"/>
            <w:shd w:val="clear" w:color="auto" w:fill="auto"/>
            <w:noWrap/>
            <w:vAlign w:val="center"/>
          </w:tcPr>
          <w:p w:rsidR="00476011" w:rsidRPr="00242020" w:rsidRDefault="00476011" w:rsidP="00E37DE1">
            <w:pPr>
              <w:ind w:firstLine="0"/>
              <w:jc w:val="right"/>
              <w:rPr>
                <w:sz w:val="22"/>
              </w:rPr>
            </w:pPr>
            <w:r w:rsidRPr="00242020">
              <w:rPr>
                <w:sz w:val="22"/>
              </w:rPr>
              <w:t>10,00</w:t>
            </w:r>
          </w:p>
        </w:tc>
        <w:tc>
          <w:tcPr>
            <w:tcW w:w="1230" w:type="dxa"/>
            <w:shd w:val="clear" w:color="auto" w:fill="auto"/>
            <w:noWrap/>
            <w:vAlign w:val="center"/>
          </w:tcPr>
          <w:p w:rsidR="00476011" w:rsidRPr="00242020" w:rsidRDefault="00476011" w:rsidP="00E37DE1">
            <w:pPr>
              <w:ind w:firstLine="0"/>
              <w:jc w:val="right"/>
              <w:rPr>
                <w:sz w:val="22"/>
              </w:rPr>
            </w:pPr>
            <w:r w:rsidRPr="00242020">
              <w:rPr>
                <w:sz w:val="22"/>
              </w:rPr>
              <w:t>9,00</w:t>
            </w:r>
          </w:p>
        </w:tc>
        <w:tc>
          <w:tcPr>
            <w:tcW w:w="1230" w:type="dxa"/>
            <w:shd w:val="clear" w:color="auto" w:fill="auto"/>
            <w:noWrap/>
            <w:vAlign w:val="center"/>
          </w:tcPr>
          <w:p w:rsidR="00476011" w:rsidRPr="00242020" w:rsidRDefault="00476011" w:rsidP="00E37DE1">
            <w:pPr>
              <w:ind w:firstLine="0"/>
              <w:jc w:val="right"/>
              <w:rPr>
                <w:sz w:val="22"/>
              </w:rPr>
            </w:pPr>
            <w:r w:rsidRPr="00242020">
              <w:rPr>
                <w:sz w:val="22"/>
              </w:rPr>
              <w:t>30,00</w:t>
            </w:r>
          </w:p>
        </w:tc>
        <w:tc>
          <w:tcPr>
            <w:tcW w:w="1212" w:type="dxa"/>
            <w:shd w:val="clear" w:color="auto" w:fill="auto"/>
            <w:noWrap/>
            <w:vAlign w:val="center"/>
          </w:tcPr>
          <w:p w:rsidR="00476011" w:rsidRPr="00242020" w:rsidRDefault="00476011" w:rsidP="00E37DE1">
            <w:pPr>
              <w:ind w:firstLine="0"/>
              <w:jc w:val="right"/>
              <w:rPr>
                <w:sz w:val="22"/>
              </w:rPr>
            </w:pPr>
            <w:r w:rsidRPr="00242020">
              <w:rPr>
                <w:sz w:val="22"/>
              </w:rPr>
              <w:t>1 315,00</w:t>
            </w:r>
          </w:p>
        </w:tc>
        <w:tc>
          <w:tcPr>
            <w:tcW w:w="1338" w:type="dxa"/>
            <w:shd w:val="clear" w:color="auto" w:fill="auto"/>
            <w:noWrap/>
            <w:vAlign w:val="center"/>
          </w:tcPr>
          <w:p w:rsidR="00476011" w:rsidRPr="00242020" w:rsidRDefault="00476011" w:rsidP="00E37DE1">
            <w:pPr>
              <w:ind w:firstLine="0"/>
              <w:jc w:val="right"/>
              <w:rPr>
                <w:b/>
                <w:bCs/>
                <w:sz w:val="22"/>
              </w:rPr>
            </w:pPr>
            <w:r w:rsidRPr="00242020">
              <w:rPr>
                <w:b/>
                <w:bCs/>
                <w:sz w:val="22"/>
              </w:rPr>
              <w:t>40,00</w:t>
            </w:r>
          </w:p>
        </w:tc>
        <w:tc>
          <w:tcPr>
            <w:tcW w:w="1212" w:type="dxa"/>
            <w:shd w:val="clear" w:color="auto" w:fill="auto"/>
            <w:noWrap/>
            <w:vAlign w:val="center"/>
          </w:tcPr>
          <w:p w:rsidR="00476011" w:rsidRPr="00242020" w:rsidRDefault="00476011" w:rsidP="00E37DE1">
            <w:pPr>
              <w:ind w:firstLine="0"/>
              <w:jc w:val="right"/>
              <w:rPr>
                <w:b/>
                <w:bCs/>
                <w:sz w:val="22"/>
              </w:rPr>
            </w:pPr>
            <w:r w:rsidRPr="00242020">
              <w:rPr>
                <w:b/>
                <w:bCs/>
                <w:sz w:val="22"/>
              </w:rPr>
              <w:t>1 324,00</w:t>
            </w:r>
          </w:p>
        </w:tc>
      </w:tr>
      <w:tr w:rsidR="00D2554D" w:rsidRPr="00242020" w:rsidTr="00E37DE1">
        <w:trPr>
          <w:trHeight w:val="315"/>
        </w:trPr>
        <w:tc>
          <w:tcPr>
            <w:tcW w:w="9645" w:type="dxa"/>
            <w:gridSpan w:val="7"/>
            <w:shd w:val="clear" w:color="auto" w:fill="D9D9D9" w:themeFill="background1" w:themeFillShade="D9"/>
            <w:noWrap/>
            <w:vAlign w:val="bottom"/>
          </w:tcPr>
          <w:p w:rsidR="00D2554D" w:rsidRPr="00242020" w:rsidRDefault="00D2554D" w:rsidP="00E37DE1">
            <w:pPr>
              <w:ind w:firstLine="0"/>
              <w:rPr>
                <w:b/>
                <w:bCs/>
                <w:sz w:val="22"/>
              </w:rPr>
            </w:pPr>
            <w:r w:rsidRPr="00242020">
              <w:rPr>
                <w:b/>
                <w:bCs/>
                <w:sz w:val="22"/>
              </w:rPr>
              <w:t>у т.ч. за бюджетн</w:t>
            </w:r>
            <w:r w:rsidR="00E37DE1" w:rsidRPr="00242020">
              <w:rPr>
                <w:b/>
                <w:bCs/>
                <w:sz w:val="22"/>
              </w:rPr>
              <w:t>ими</w:t>
            </w:r>
            <w:r w:rsidRPr="00242020">
              <w:rPr>
                <w:b/>
                <w:bCs/>
                <w:sz w:val="22"/>
              </w:rPr>
              <w:t xml:space="preserve"> програм</w:t>
            </w:r>
            <w:r w:rsidR="00E37DE1" w:rsidRPr="00242020">
              <w:rPr>
                <w:b/>
                <w:bCs/>
                <w:sz w:val="22"/>
              </w:rPr>
              <w:t>ами</w:t>
            </w:r>
            <w:r w:rsidRPr="00242020">
              <w:rPr>
                <w:b/>
                <w:bCs/>
                <w:sz w:val="22"/>
              </w:rPr>
              <w:t xml:space="preserve"> </w:t>
            </w:r>
          </w:p>
        </w:tc>
      </w:tr>
      <w:tr w:rsidR="00E37DE1" w:rsidRPr="00242020" w:rsidTr="00E37DE1">
        <w:trPr>
          <w:trHeight w:val="315"/>
        </w:trPr>
        <w:tc>
          <w:tcPr>
            <w:tcW w:w="9645" w:type="dxa"/>
            <w:gridSpan w:val="7"/>
            <w:shd w:val="clear" w:color="auto" w:fill="auto"/>
            <w:noWrap/>
            <w:vAlign w:val="center"/>
          </w:tcPr>
          <w:p w:rsidR="00E37DE1" w:rsidRPr="00242020" w:rsidRDefault="00E37DE1" w:rsidP="00E37DE1">
            <w:pPr>
              <w:ind w:firstLine="0"/>
              <w:rPr>
                <w:b/>
                <w:bCs/>
                <w:sz w:val="22"/>
              </w:rPr>
            </w:pPr>
            <w:r w:rsidRPr="00242020">
              <w:rPr>
                <w:b/>
                <w:bCs/>
                <w:sz w:val="22"/>
              </w:rPr>
              <w:t>6611010 «Керівництво та управління у сфері державного майна»</w:t>
            </w:r>
          </w:p>
        </w:tc>
      </w:tr>
      <w:tr w:rsidR="00476011" w:rsidRPr="00242020" w:rsidTr="00E37DE1">
        <w:trPr>
          <w:trHeight w:val="315"/>
        </w:trPr>
        <w:tc>
          <w:tcPr>
            <w:tcW w:w="2160" w:type="dxa"/>
            <w:shd w:val="clear" w:color="auto" w:fill="D9D9D9" w:themeFill="background1" w:themeFillShade="D9"/>
            <w:noWrap/>
            <w:vAlign w:val="center"/>
          </w:tcPr>
          <w:p w:rsidR="00476011" w:rsidRPr="00242020" w:rsidRDefault="00476011" w:rsidP="00E37DE1">
            <w:pPr>
              <w:ind w:firstLine="0"/>
              <w:jc w:val="right"/>
              <w:rPr>
                <w:b/>
                <w:bCs/>
                <w:sz w:val="22"/>
              </w:rPr>
            </w:pPr>
            <w:r w:rsidRPr="00242020">
              <w:rPr>
                <w:b/>
                <w:bCs/>
                <w:sz w:val="22"/>
              </w:rPr>
              <w:t>Всього</w:t>
            </w:r>
          </w:p>
        </w:tc>
        <w:tc>
          <w:tcPr>
            <w:tcW w:w="1263" w:type="dxa"/>
            <w:shd w:val="clear" w:color="auto" w:fill="D9D9D9" w:themeFill="background1" w:themeFillShade="D9"/>
            <w:noWrap/>
            <w:vAlign w:val="center"/>
          </w:tcPr>
          <w:p w:rsidR="00476011" w:rsidRPr="00242020" w:rsidRDefault="00476011" w:rsidP="00476011">
            <w:pPr>
              <w:ind w:firstLine="0"/>
              <w:jc w:val="right"/>
              <w:rPr>
                <w:b/>
                <w:bCs/>
                <w:sz w:val="22"/>
              </w:rPr>
            </w:pPr>
            <w:r w:rsidRPr="00242020">
              <w:rPr>
                <w:b/>
                <w:bCs/>
                <w:sz w:val="22"/>
              </w:rPr>
              <w:t>160 159,40</w:t>
            </w:r>
          </w:p>
        </w:tc>
        <w:tc>
          <w:tcPr>
            <w:tcW w:w="1230" w:type="dxa"/>
            <w:shd w:val="clear" w:color="auto" w:fill="D9D9D9" w:themeFill="background1" w:themeFillShade="D9"/>
            <w:noWrap/>
            <w:vAlign w:val="center"/>
          </w:tcPr>
          <w:p w:rsidR="00476011" w:rsidRPr="00242020" w:rsidRDefault="00476011" w:rsidP="00476011">
            <w:pPr>
              <w:ind w:firstLine="0"/>
              <w:jc w:val="right"/>
              <w:rPr>
                <w:b/>
                <w:bCs/>
                <w:sz w:val="22"/>
              </w:rPr>
            </w:pPr>
            <w:r w:rsidRPr="00242020">
              <w:rPr>
                <w:b/>
                <w:bCs/>
                <w:sz w:val="22"/>
              </w:rPr>
              <w:t>159 157,03</w:t>
            </w:r>
          </w:p>
        </w:tc>
        <w:tc>
          <w:tcPr>
            <w:tcW w:w="1230" w:type="dxa"/>
            <w:shd w:val="clear" w:color="auto" w:fill="D9D9D9" w:themeFill="background1" w:themeFillShade="D9"/>
            <w:noWrap/>
            <w:vAlign w:val="center"/>
          </w:tcPr>
          <w:p w:rsidR="00476011" w:rsidRPr="00242020" w:rsidRDefault="00476011" w:rsidP="00476011">
            <w:pPr>
              <w:ind w:firstLine="0"/>
              <w:jc w:val="right"/>
              <w:rPr>
                <w:b/>
                <w:bCs/>
                <w:sz w:val="22"/>
              </w:rPr>
            </w:pPr>
            <w:r w:rsidRPr="00242020">
              <w:rPr>
                <w:b/>
                <w:bCs/>
                <w:sz w:val="22"/>
              </w:rPr>
              <w:t>771,13</w:t>
            </w:r>
          </w:p>
        </w:tc>
        <w:tc>
          <w:tcPr>
            <w:tcW w:w="1212" w:type="dxa"/>
            <w:shd w:val="clear" w:color="auto" w:fill="D9D9D9" w:themeFill="background1" w:themeFillShade="D9"/>
            <w:noWrap/>
            <w:vAlign w:val="center"/>
          </w:tcPr>
          <w:p w:rsidR="00476011" w:rsidRPr="00242020" w:rsidRDefault="00476011" w:rsidP="00476011">
            <w:pPr>
              <w:ind w:firstLine="0"/>
              <w:jc w:val="right"/>
              <w:rPr>
                <w:b/>
                <w:bCs/>
                <w:sz w:val="22"/>
              </w:rPr>
            </w:pPr>
            <w:r w:rsidRPr="00242020">
              <w:rPr>
                <w:b/>
                <w:bCs/>
                <w:sz w:val="22"/>
              </w:rPr>
              <w:t>544,11</w:t>
            </w:r>
          </w:p>
        </w:tc>
        <w:tc>
          <w:tcPr>
            <w:tcW w:w="1338" w:type="dxa"/>
            <w:shd w:val="clear" w:color="auto" w:fill="D9D9D9" w:themeFill="background1" w:themeFillShade="D9"/>
            <w:noWrap/>
            <w:vAlign w:val="center"/>
          </w:tcPr>
          <w:p w:rsidR="00476011" w:rsidRPr="00242020" w:rsidRDefault="00476011" w:rsidP="00476011">
            <w:pPr>
              <w:ind w:firstLine="0"/>
              <w:jc w:val="right"/>
              <w:rPr>
                <w:b/>
                <w:bCs/>
                <w:sz w:val="22"/>
              </w:rPr>
            </w:pPr>
            <w:r w:rsidRPr="00242020">
              <w:rPr>
                <w:b/>
                <w:bCs/>
                <w:sz w:val="22"/>
              </w:rPr>
              <w:t>160 930,53</w:t>
            </w:r>
          </w:p>
        </w:tc>
        <w:tc>
          <w:tcPr>
            <w:tcW w:w="1212" w:type="dxa"/>
            <w:shd w:val="clear" w:color="auto" w:fill="D9D9D9" w:themeFill="background1" w:themeFillShade="D9"/>
            <w:noWrap/>
            <w:vAlign w:val="center"/>
          </w:tcPr>
          <w:p w:rsidR="00476011" w:rsidRPr="00242020" w:rsidRDefault="00476011" w:rsidP="00476011">
            <w:pPr>
              <w:ind w:firstLine="0"/>
              <w:jc w:val="right"/>
              <w:rPr>
                <w:b/>
                <w:bCs/>
                <w:sz w:val="22"/>
              </w:rPr>
            </w:pPr>
            <w:r w:rsidRPr="00242020">
              <w:rPr>
                <w:b/>
                <w:bCs/>
                <w:sz w:val="22"/>
              </w:rPr>
              <w:t>159 701,14</w:t>
            </w:r>
          </w:p>
        </w:tc>
      </w:tr>
      <w:tr w:rsidR="00476011" w:rsidRPr="00242020" w:rsidTr="00E37DE1">
        <w:trPr>
          <w:trHeight w:val="315"/>
        </w:trPr>
        <w:tc>
          <w:tcPr>
            <w:tcW w:w="2160" w:type="dxa"/>
            <w:shd w:val="clear" w:color="auto" w:fill="auto"/>
            <w:noWrap/>
            <w:vAlign w:val="center"/>
          </w:tcPr>
          <w:p w:rsidR="00476011" w:rsidRPr="00242020" w:rsidRDefault="00476011" w:rsidP="00D2554D">
            <w:pPr>
              <w:ind w:firstLine="0"/>
              <w:jc w:val="right"/>
              <w:rPr>
                <w:sz w:val="22"/>
              </w:rPr>
            </w:pPr>
            <w:r w:rsidRPr="00242020">
              <w:rPr>
                <w:sz w:val="22"/>
              </w:rPr>
              <w:t>2000</w:t>
            </w:r>
          </w:p>
        </w:tc>
        <w:tc>
          <w:tcPr>
            <w:tcW w:w="1263" w:type="dxa"/>
            <w:shd w:val="clear" w:color="auto" w:fill="auto"/>
            <w:noWrap/>
            <w:vAlign w:val="center"/>
          </w:tcPr>
          <w:p w:rsidR="00476011" w:rsidRPr="00242020" w:rsidRDefault="00476011" w:rsidP="00476011">
            <w:pPr>
              <w:ind w:firstLine="0"/>
              <w:jc w:val="right"/>
              <w:rPr>
                <w:sz w:val="22"/>
              </w:rPr>
            </w:pPr>
            <w:r w:rsidRPr="00242020">
              <w:rPr>
                <w:sz w:val="22"/>
              </w:rPr>
              <w:t>160 149,40</w:t>
            </w:r>
          </w:p>
        </w:tc>
        <w:tc>
          <w:tcPr>
            <w:tcW w:w="1230" w:type="dxa"/>
            <w:shd w:val="clear" w:color="auto" w:fill="auto"/>
            <w:noWrap/>
            <w:vAlign w:val="center"/>
          </w:tcPr>
          <w:p w:rsidR="00476011" w:rsidRPr="00242020" w:rsidRDefault="00476011" w:rsidP="00476011">
            <w:pPr>
              <w:ind w:firstLine="0"/>
              <w:jc w:val="right"/>
              <w:rPr>
                <w:sz w:val="22"/>
              </w:rPr>
            </w:pPr>
            <w:r w:rsidRPr="00242020">
              <w:rPr>
                <w:sz w:val="22"/>
              </w:rPr>
              <w:t>159 148,03</w:t>
            </w:r>
          </w:p>
        </w:tc>
        <w:tc>
          <w:tcPr>
            <w:tcW w:w="1230" w:type="dxa"/>
            <w:shd w:val="clear" w:color="auto" w:fill="auto"/>
            <w:noWrap/>
            <w:vAlign w:val="center"/>
          </w:tcPr>
          <w:p w:rsidR="00476011" w:rsidRPr="00242020" w:rsidRDefault="00476011" w:rsidP="00476011">
            <w:pPr>
              <w:ind w:firstLine="0"/>
              <w:jc w:val="right"/>
              <w:rPr>
                <w:sz w:val="22"/>
              </w:rPr>
            </w:pPr>
            <w:r w:rsidRPr="00242020">
              <w:rPr>
                <w:sz w:val="22"/>
              </w:rPr>
              <w:t>741,13</w:t>
            </w:r>
          </w:p>
        </w:tc>
        <w:tc>
          <w:tcPr>
            <w:tcW w:w="1212" w:type="dxa"/>
            <w:shd w:val="clear" w:color="auto" w:fill="auto"/>
            <w:noWrap/>
            <w:vAlign w:val="center"/>
          </w:tcPr>
          <w:p w:rsidR="00476011" w:rsidRPr="00242020" w:rsidRDefault="00476011" w:rsidP="00476011">
            <w:pPr>
              <w:ind w:firstLine="0"/>
              <w:jc w:val="right"/>
              <w:rPr>
                <w:sz w:val="22"/>
              </w:rPr>
            </w:pPr>
            <w:r w:rsidRPr="00242020">
              <w:rPr>
                <w:sz w:val="22"/>
              </w:rPr>
              <w:t>530,96</w:t>
            </w:r>
          </w:p>
        </w:tc>
        <w:tc>
          <w:tcPr>
            <w:tcW w:w="1338" w:type="dxa"/>
            <w:shd w:val="clear" w:color="auto" w:fill="auto"/>
            <w:noWrap/>
            <w:vAlign w:val="center"/>
          </w:tcPr>
          <w:p w:rsidR="00476011" w:rsidRPr="00242020" w:rsidRDefault="00476011" w:rsidP="00476011">
            <w:pPr>
              <w:ind w:firstLine="0"/>
              <w:jc w:val="right"/>
              <w:rPr>
                <w:b/>
                <w:bCs/>
                <w:sz w:val="22"/>
              </w:rPr>
            </w:pPr>
            <w:r w:rsidRPr="00242020">
              <w:rPr>
                <w:b/>
                <w:bCs/>
                <w:sz w:val="22"/>
              </w:rPr>
              <w:t>160 890,53</w:t>
            </w:r>
          </w:p>
        </w:tc>
        <w:tc>
          <w:tcPr>
            <w:tcW w:w="1212" w:type="dxa"/>
            <w:shd w:val="clear" w:color="auto" w:fill="auto"/>
            <w:noWrap/>
            <w:vAlign w:val="center"/>
          </w:tcPr>
          <w:p w:rsidR="00476011" w:rsidRPr="00242020" w:rsidRDefault="00476011" w:rsidP="00476011">
            <w:pPr>
              <w:ind w:firstLine="0"/>
              <w:jc w:val="right"/>
              <w:rPr>
                <w:b/>
                <w:bCs/>
                <w:sz w:val="22"/>
              </w:rPr>
            </w:pPr>
            <w:r w:rsidRPr="00242020">
              <w:rPr>
                <w:b/>
                <w:bCs/>
                <w:sz w:val="22"/>
              </w:rPr>
              <w:t>159 678,99</w:t>
            </w:r>
          </w:p>
        </w:tc>
      </w:tr>
      <w:tr w:rsidR="00476011" w:rsidRPr="00242020" w:rsidTr="00E37DE1">
        <w:trPr>
          <w:trHeight w:val="315"/>
        </w:trPr>
        <w:tc>
          <w:tcPr>
            <w:tcW w:w="2160" w:type="dxa"/>
            <w:shd w:val="clear" w:color="auto" w:fill="D9D9D9" w:themeFill="background1" w:themeFillShade="D9"/>
            <w:noWrap/>
            <w:vAlign w:val="center"/>
          </w:tcPr>
          <w:p w:rsidR="00476011" w:rsidRPr="00242020" w:rsidRDefault="00476011" w:rsidP="00D2554D">
            <w:pPr>
              <w:ind w:firstLine="0"/>
              <w:jc w:val="right"/>
              <w:rPr>
                <w:sz w:val="22"/>
              </w:rPr>
            </w:pPr>
            <w:r w:rsidRPr="00242020">
              <w:rPr>
                <w:sz w:val="22"/>
              </w:rPr>
              <w:t>2110</w:t>
            </w:r>
          </w:p>
        </w:tc>
        <w:tc>
          <w:tcPr>
            <w:tcW w:w="1263" w:type="dxa"/>
            <w:shd w:val="clear" w:color="auto" w:fill="D9D9D9" w:themeFill="background1" w:themeFillShade="D9"/>
            <w:noWrap/>
            <w:vAlign w:val="center"/>
          </w:tcPr>
          <w:p w:rsidR="00476011" w:rsidRPr="00242020" w:rsidRDefault="00476011" w:rsidP="00476011">
            <w:pPr>
              <w:ind w:firstLine="0"/>
              <w:jc w:val="right"/>
              <w:rPr>
                <w:sz w:val="22"/>
              </w:rPr>
            </w:pPr>
            <w:r w:rsidRPr="00242020">
              <w:rPr>
                <w:sz w:val="22"/>
              </w:rPr>
              <w:t>115 846,90</w:t>
            </w:r>
          </w:p>
        </w:tc>
        <w:tc>
          <w:tcPr>
            <w:tcW w:w="1230" w:type="dxa"/>
            <w:shd w:val="clear" w:color="auto" w:fill="D9D9D9" w:themeFill="background1" w:themeFillShade="D9"/>
            <w:noWrap/>
            <w:vAlign w:val="center"/>
          </w:tcPr>
          <w:p w:rsidR="00476011" w:rsidRPr="00242020" w:rsidRDefault="00476011" w:rsidP="00476011">
            <w:pPr>
              <w:ind w:firstLine="0"/>
              <w:jc w:val="right"/>
              <w:rPr>
                <w:sz w:val="22"/>
              </w:rPr>
            </w:pPr>
            <w:r w:rsidRPr="00242020">
              <w:rPr>
                <w:sz w:val="22"/>
              </w:rPr>
              <w:t>115 838,45</w:t>
            </w:r>
          </w:p>
        </w:tc>
        <w:tc>
          <w:tcPr>
            <w:tcW w:w="1230" w:type="dxa"/>
            <w:shd w:val="clear" w:color="auto" w:fill="D9D9D9" w:themeFill="background1" w:themeFillShade="D9"/>
            <w:noWrap/>
            <w:vAlign w:val="center"/>
          </w:tcPr>
          <w:p w:rsidR="00476011" w:rsidRPr="00242020" w:rsidRDefault="00476011" w:rsidP="00476011">
            <w:pPr>
              <w:ind w:firstLine="0"/>
              <w:jc w:val="right"/>
              <w:rPr>
                <w:sz w:val="22"/>
              </w:rPr>
            </w:pPr>
            <w:r w:rsidRPr="00242020">
              <w:rPr>
                <w:sz w:val="22"/>
              </w:rPr>
              <w:t> </w:t>
            </w:r>
          </w:p>
        </w:tc>
        <w:tc>
          <w:tcPr>
            <w:tcW w:w="1212" w:type="dxa"/>
            <w:shd w:val="clear" w:color="auto" w:fill="D9D9D9" w:themeFill="background1" w:themeFillShade="D9"/>
            <w:noWrap/>
            <w:vAlign w:val="center"/>
          </w:tcPr>
          <w:p w:rsidR="00476011" w:rsidRPr="00242020" w:rsidRDefault="00476011" w:rsidP="00476011">
            <w:pPr>
              <w:ind w:firstLine="0"/>
              <w:jc w:val="right"/>
              <w:rPr>
                <w:sz w:val="22"/>
              </w:rPr>
            </w:pPr>
            <w:r w:rsidRPr="00242020">
              <w:rPr>
                <w:sz w:val="22"/>
              </w:rPr>
              <w:t> </w:t>
            </w:r>
          </w:p>
        </w:tc>
        <w:tc>
          <w:tcPr>
            <w:tcW w:w="1338" w:type="dxa"/>
            <w:shd w:val="clear" w:color="auto" w:fill="D9D9D9" w:themeFill="background1" w:themeFillShade="D9"/>
            <w:noWrap/>
            <w:vAlign w:val="center"/>
          </w:tcPr>
          <w:p w:rsidR="00476011" w:rsidRPr="00242020" w:rsidRDefault="00476011" w:rsidP="00476011">
            <w:pPr>
              <w:ind w:firstLine="0"/>
              <w:jc w:val="right"/>
              <w:rPr>
                <w:b/>
                <w:bCs/>
                <w:sz w:val="22"/>
              </w:rPr>
            </w:pPr>
            <w:r w:rsidRPr="00242020">
              <w:rPr>
                <w:b/>
                <w:bCs/>
                <w:sz w:val="22"/>
              </w:rPr>
              <w:t>115 846,90</w:t>
            </w:r>
          </w:p>
        </w:tc>
        <w:tc>
          <w:tcPr>
            <w:tcW w:w="1212" w:type="dxa"/>
            <w:shd w:val="clear" w:color="auto" w:fill="D9D9D9" w:themeFill="background1" w:themeFillShade="D9"/>
            <w:noWrap/>
            <w:vAlign w:val="center"/>
          </w:tcPr>
          <w:p w:rsidR="00476011" w:rsidRPr="00242020" w:rsidRDefault="00476011" w:rsidP="00476011">
            <w:pPr>
              <w:ind w:firstLine="0"/>
              <w:jc w:val="right"/>
              <w:rPr>
                <w:b/>
                <w:bCs/>
                <w:sz w:val="22"/>
              </w:rPr>
            </w:pPr>
            <w:r w:rsidRPr="00242020">
              <w:rPr>
                <w:b/>
                <w:bCs/>
                <w:sz w:val="22"/>
              </w:rPr>
              <w:t>115 838,45</w:t>
            </w:r>
          </w:p>
        </w:tc>
      </w:tr>
      <w:tr w:rsidR="00476011" w:rsidRPr="00242020" w:rsidTr="00E37DE1">
        <w:trPr>
          <w:trHeight w:val="315"/>
        </w:trPr>
        <w:tc>
          <w:tcPr>
            <w:tcW w:w="2160" w:type="dxa"/>
            <w:shd w:val="clear" w:color="auto" w:fill="auto"/>
            <w:noWrap/>
            <w:vAlign w:val="center"/>
          </w:tcPr>
          <w:p w:rsidR="00476011" w:rsidRPr="00242020" w:rsidRDefault="00476011" w:rsidP="00D2554D">
            <w:pPr>
              <w:ind w:firstLine="0"/>
              <w:jc w:val="right"/>
              <w:rPr>
                <w:sz w:val="22"/>
              </w:rPr>
            </w:pPr>
            <w:r w:rsidRPr="00242020">
              <w:rPr>
                <w:sz w:val="22"/>
              </w:rPr>
              <w:t>2120</w:t>
            </w:r>
          </w:p>
        </w:tc>
        <w:tc>
          <w:tcPr>
            <w:tcW w:w="1263" w:type="dxa"/>
            <w:shd w:val="clear" w:color="auto" w:fill="auto"/>
            <w:noWrap/>
            <w:vAlign w:val="center"/>
          </w:tcPr>
          <w:p w:rsidR="00476011" w:rsidRPr="00242020" w:rsidRDefault="00476011" w:rsidP="00476011">
            <w:pPr>
              <w:ind w:firstLine="0"/>
              <w:jc w:val="right"/>
              <w:rPr>
                <w:sz w:val="22"/>
              </w:rPr>
            </w:pPr>
            <w:r w:rsidRPr="00242020">
              <w:rPr>
                <w:sz w:val="22"/>
              </w:rPr>
              <w:t>25 327,10</w:t>
            </w:r>
          </w:p>
        </w:tc>
        <w:tc>
          <w:tcPr>
            <w:tcW w:w="1230" w:type="dxa"/>
            <w:shd w:val="clear" w:color="auto" w:fill="auto"/>
            <w:noWrap/>
            <w:vAlign w:val="center"/>
          </w:tcPr>
          <w:p w:rsidR="00476011" w:rsidRPr="00242020" w:rsidRDefault="00476011" w:rsidP="00476011">
            <w:pPr>
              <w:ind w:firstLine="0"/>
              <w:jc w:val="right"/>
              <w:rPr>
                <w:sz w:val="22"/>
              </w:rPr>
            </w:pPr>
            <w:r w:rsidRPr="00242020">
              <w:rPr>
                <w:sz w:val="22"/>
              </w:rPr>
              <w:t>25 208,45</w:t>
            </w:r>
          </w:p>
        </w:tc>
        <w:tc>
          <w:tcPr>
            <w:tcW w:w="1230" w:type="dxa"/>
            <w:shd w:val="clear" w:color="auto" w:fill="auto"/>
            <w:noWrap/>
            <w:vAlign w:val="center"/>
          </w:tcPr>
          <w:p w:rsidR="00476011" w:rsidRPr="00242020" w:rsidRDefault="00476011" w:rsidP="00476011">
            <w:pPr>
              <w:ind w:firstLine="0"/>
              <w:jc w:val="right"/>
              <w:rPr>
                <w:sz w:val="22"/>
              </w:rPr>
            </w:pPr>
            <w:r w:rsidRPr="00242020">
              <w:rPr>
                <w:sz w:val="22"/>
              </w:rPr>
              <w:t> </w:t>
            </w:r>
          </w:p>
        </w:tc>
        <w:tc>
          <w:tcPr>
            <w:tcW w:w="1212" w:type="dxa"/>
            <w:shd w:val="clear" w:color="auto" w:fill="auto"/>
            <w:noWrap/>
            <w:vAlign w:val="center"/>
          </w:tcPr>
          <w:p w:rsidR="00476011" w:rsidRPr="00242020" w:rsidRDefault="00476011" w:rsidP="00476011">
            <w:pPr>
              <w:ind w:firstLine="0"/>
              <w:jc w:val="right"/>
              <w:rPr>
                <w:sz w:val="22"/>
              </w:rPr>
            </w:pPr>
            <w:r w:rsidRPr="00242020">
              <w:rPr>
                <w:sz w:val="22"/>
              </w:rPr>
              <w:t> </w:t>
            </w:r>
          </w:p>
        </w:tc>
        <w:tc>
          <w:tcPr>
            <w:tcW w:w="1338" w:type="dxa"/>
            <w:shd w:val="clear" w:color="auto" w:fill="auto"/>
            <w:noWrap/>
            <w:vAlign w:val="center"/>
          </w:tcPr>
          <w:p w:rsidR="00476011" w:rsidRPr="00242020" w:rsidRDefault="00476011" w:rsidP="00476011">
            <w:pPr>
              <w:ind w:firstLine="0"/>
              <w:jc w:val="right"/>
              <w:rPr>
                <w:b/>
                <w:bCs/>
                <w:sz w:val="22"/>
              </w:rPr>
            </w:pPr>
            <w:r w:rsidRPr="00242020">
              <w:rPr>
                <w:b/>
                <w:bCs/>
                <w:sz w:val="22"/>
              </w:rPr>
              <w:t>25 327,10</w:t>
            </w:r>
          </w:p>
        </w:tc>
        <w:tc>
          <w:tcPr>
            <w:tcW w:w="1212" w:type="dxa"/>
            <w:shd w:val="clear" w:color="auto" w:fill="auto"/>
            <w:noWrap/>
            <w:vAlign w:val="center"/>
          </w:tcPr>
          <w:p w:rsidR="00476011" w:rsidRPr="00242020" w:rsidRDefault="00476011" w:rsidP="00476011">
            <w:pPr>
              <w:ind w:firstLine="0"/>
              <w:jc w:val="right"/>
              <w:rPr>
                <w:b/>
                <w:bCs/>
                <w:sz w:val="22"/>
              </w:rPr>
            </w:pPr>
            <w:r w:rsidRPr="00242020">
              <w:rPr>
                <w:b/>
                <w:bCs/>
                <w:sz w:val="22"/>
              </w:rPr>
              <w:t>25 208,45</w:t>
            </w:r>
          </w:p>
        </w:tc>
      </w:tr>
      <w:tr w:rsidR="00476011" w:rsidRPr="00242020" w:rsidTr="00E37DE1">
        <w:trPr>
          <w:trHeight w:val="315"/>
        </w:trPr>
        <w:tc>
          <w:tcPr>
            <w:tcW w:w="2160" w:type="dxa"/>
            <w:shd w:val="clear" w:color="auto" w:fill="D9D9D9" w:themeFill="background1" w:themeFillShade="D9"/>
            <w:noWrap/>
            <w:vAlign w:val="center"/>
          </w:tcPr>
          <w:p w:rsidR="00476011" w:rsidRPr="00242020" w:rsidRDefault="00476011" w:rsidP="00D2554D">
            <w:pPr>
              <w:ind w:firstLine="0"/>
              <w:jc w:val="right"/>
              <w:rPr>
                <w:sz w:val="22"/>
              </w:rPr>
            </w:pPr>
            <w:r w:rsidRPr="00242020">
              <w:rPr>
                <w:sz w:val="22"/>
              </w:rPr>
              <w:t>2210</w:t>
            </w:r>
          </w:p>
        </w:tc>
        <w:tc>
          <w:tcPr>
            <w:tcW w:w="1263" w:type="dxa"/>
            <w:shd w:val="clear" w:color="auto" w:fill="D9D9D9" w:themeFill="background1" w:themeFillShade="D9"/>
            <w:noWrap/>
            <w:vAlign w:val="center"/>
          </w:tcPr>
          <w:p w:rsidR="00476011" w:rsidRPr="00242020" w:rsidRDefault="00476011" w:rsidP="00476011">
            <w:pPr>
              <w:ind w:firstLine="0"/>
              <w:jc w:val="right"/>
              <w:rPr>
                <w:sz w:val="22"/>
              </w:rPr>
            </w:pPr>
            <w:r w:rsidRPr="00242020">
              <w:rPr>
                <w:sz w:val="22"/>
              </w:rPr>
              <w:t>2 318,10</w:t>
            </w:r>
          </w:p>
        </w:tc>
        <w:tc>
          <w:tcPr>
            <w:tcW w:w="1230" w:type="dxa"/>
            <w:shd w:val="clear" w:color="auto" w:fill="D9D9D9" w:themeFill="background1" w:themeFillShade="D9"/>
            <w:noWrap/>
            <w:vAlign w:val="center"/>
          </w:tcPr>
          <w:p w:rsidR="00476011" w:rsidRPr="00242020" w:rsidRDefault="00476011" w:rsidP="00476011">
            <w:pPr>
              <w:ind w:firstLine="0"/>
              <w:jc w:val="right"/>
              <w:rPr>
                <w:sz w:val="22"/>
              </w:rPr>
            </w:pPr>
            <w:r w:rsidRPr="00242020">
              <w:rPr>
                <w:sz w:val="22"/>
              </w:rPr>
              <w:t>2 309,60</w:t>
            </w:r>
          </w:p>
        </w:tc>
        <w:tc>
          <w:tcPr>
            <w:tcW w:w="1230" w:type="dxa"/>
            <w:shd w:val="clear" w:color="auto" w:fill="D9D9D9" w:themeFill="background1" w:themeFillShade="D9"/>
            <w:noWrap/>
            <w:vAlign w:val="center"/>
          </w:tcPr>
          <w:p w:rsidR="00476011" w:rsidRPr="00242020" w:rsidRDefault="00476011" w:rsidP="00476011">
            <w:pPr>
              <w:ind w:firstLine="0"/>
              <w:jc w:val="right"/>
              <w:rPr>
                <w:sz w:val="22"/>
              </w:rPr>
            </w:pPr>
            <w:r w:rsidRPr="00242020">
              <w:rPr>
                <w:sz w:val="22"/>
              </w:rPr>
              <w:t>87,41</w:t>
            </w:r>
          </w:p>
        </w:tc>
        <w:tc>
          <w:tcPr>
            <w:tcW w:w="1212" w:type="dxa"/>
            <w:shd w:val="clear" w:color="auto" w:fill="D9D9D9" w:themeFill="background1" w:themeFillShade="D9"/>
            <w:noWrap/>
            <w:vAlign w:val="center"/>
          </w:tcPr>
          <w:p w:rsidR="00476011" w:rsidRPr="00242020" w:rsidRDefault="00476011" w:rsidP="00476011">
            <w:pPr>
              <w:ind w:firstLine="0"/>
              <w:jc w:val="right"/>
              <w:rPr>
                <w:sz w:val="22"/>
              </w:rPr>
            </w:pPr>
            <w:r w:rsidRPr="00242020">
              <w:rPr>
                <w:sz w:val="22"/>
              </w:rPr>
              <w:t>47,60</w:t>
            </w:r>
          </w:p>
        </w:tc>
        <w:tc>
          <w:tcPr>
            <w:tcW w:w="1338" w:type="dxa"/>
            <w:shd w:val="clear" w:color="auto" w:fill="D9D9D9" w:themeFill="background1" w:themeFillShade="D9"/>
            <w:noWrap/>
            <w:vAlign w:val="center"/>
          </w:tcPr>
          <w:p w:rsidR="00476011" w:rsidRPr="00242020" w:rsidRDefault="00476011" w:rsidP="00476011">
            <w:pPr>
              <w:ind w:firstLine="0"/>
              <w:jc w:val="right"/>
              <w:rPr>
                <w:b/>
                <w:bCs/>
                <w:sz w:val="22"/>
              </w:rPr>
            </w:pPr>
            <w:r w:rsidRPr="00242020">
              <w:rPr>
                <w:b/>
                <w:bCs/>
                <w:sz w:val="22"/>
              </w:rPr>
              <w:t>2 405,51</w:t>
            </w:r>
          </w:p>
        </w:tc>
        <w:tc>
          <w:tcPr>
            <w:tcW w:w="1212" w:type="dxa"/>
            <w:shd w:val="clear" w:color="auto" w:fill="D9D9D9" w:themeFill="background1" w:themeFillShade="D9"/>
            <w:noWrap/>
            <w:vAlign w:val="center"/>
          </w:tcPr>
          <w:p w:rsidR="00476011" w:rsidRPr="00242020" w:rsidRDefault="00476011" w:rsidP="00476011">
            <w:pPr>
              <w:ind w:firstLine="0"/>
              <w:jc w:val="right"/>
              <w:rPr>
                <w:b/>
                <w:bCs/>
                <w:sz w:val="22"/>
              </w:rPr>
            </w:pPr>
            <w:r w:rsidRPr="00242020">
              <w:rPr>
                <w:b/>
                <w:bCs/>
                <w:sz w:val="22"/>
              </w:rPr>
              <w:t>2 357,20</w:t>
            </w:r>
          </w:p>
        </w:tc>
      </w:tr>
      <w:tr w:rsidR="00476011" w:rsidRPr="00242020" w:rsidTr="00E37DE1">
        <w:trPr>
          <w:trHeight w:val="315"/>
        </w:trPr>
        <w:tc>
          <w:tcPr>
            <w:tcW w:w="2160" w:type="dxa"/>
            <w:shd w:val="clear" w:color="auto" w:fill="auto"/>
            <w:noWrap/>
            <w:vAlign w:val="center"/>
          </w:tcPr>
          <w:p w:rsidR="00476011" w:rsidRPr="00242020" w:rsidRDefault="00476011" w:rsidP="00D2554D">
            <w:pPr>
              <w:ind w:firstLine="0"/>
              <w:jc w:val="right"/>
              <w:rPr>
                <w:sz w:val="22"/>
              </w:rPr>
            </w:pPr>
            <w:r w:rsidRPr="00242020">
              <w:rPr>
                <w:sz w:val="22"/>
              </w:rPr>
              <w:t>2240</w:t>
            </w:r>
          </w:p>
        </w:tc>
        <w:tc>
          <w:tcPr>
            <w:tcW w:w="1263" w:type="dxa"/>
            <w:shd w:val="clear" w:color="auto" w:fill="auto"/>
            <w:noWrap/>
            <w:vAlign w:val="center"/>
          </w:tcPr>
          <w:p w:rsidR="00476011" w:rsidRPr="00242020" w:rsidRDefault="00476011" w:rsidP="00476011">
            <w:pPr>
              <w:ind w:firstLine="0"/>
              <w:jc w:val="right"/>
              <w:rPr>
                <w:sz w:val="22"/>
              </w:rPr>
            </w:pPr>
            <w:r w:rsidRPr="00242020">
              <w:rPr>
                <w:sz w:val="22"/>
              </w:rPr>
              <w:t>5 465,30</w:t>
            </w:r>
          </w:p>
        </w:tc>
        <w:tc>
          <w:tcPr>
            <w:tcW w:w="1230" w:type="dxa"/>
            <w:shd w:val="clear" w:color="auto" w:fill="auto"/>
            <w:noWrap/>
            <w:vAlign w:val="center"/>
          </w:tcPr>
          <w:p w:rsidR="00476011" w:rsidRPr="00242020" w:rsidRDefault="00476011" w:rsidP="00476011">
            <w:pPr>
              <w:ind w:firstLine="0"/>
              <w:jc w:val="right"/>
              <w:rPr>
                <w:sz w:val="22"/>
              </w:rPr>
            </w:pPr>
            <w:r w:rsidRPr="00242020">
              <w:rPr>
                <w:sz w:val="22"/>
              </w:rPr>
              <w:t>5 427,42</w:t>
            </w:r>
          </w:p>
        </w:tc>
        <w:tc>
          <w:tcPr>
            <w:tcW w:w="1230" w:type="dxa"/>
            <w:shd w:val="clear" w:color="auto" w:fill="auto"/>
            <w:noWrap/>
            <w:vAlign w:val="center"/>
          </w:tcPr>
          <w:p w:rsidR="00476011" w:rsidRPr="00242020" w:rsidRDefault="00476011" w:rsidP="00476011">
            <w:pPr>
              <w:ind w:firstLine="0"/>
              <w:jc w:val="right"/>
              <w:rPr>
                <w:sz w:val="22"/>
              </w:rPr>
            </w:pPr>
            <w:r w:rsidRPr="00242020">
              <w:rPr>
                <w:sz w:val="22"/>
              </w:rPr>
              <w:t>178,73</w:t>
            </w:r>
          </w:p>
        </w:tc>
        <w:tc>
          <w:tcPr>
            <w:tcW w:w="1212" w:type="dxa"/>
            <w:shd w:val="clear" w:color="auto" w:fill="auto"/>
            <w:noWrap/>
            <w:vAlign w:val="center"/>
          </w:tcPr>
          <w:p w:rsidR="00476011" w:rsidRPr="00242020" w:rsidRDefault="00476011" w:rsidP="00476011">
            <w:pPr>
              <w:ind w:firstLine="0"/>
              <w:jc w:val="right"/>
              <w:rPr>
                <w:sz w:val="22"/>
              </w:rPr>
            </w:pPr>
            <w:r w:rsidRPr="00242020">
              <w:rPr>
                <w:sz w:val="22"/>
              </w:rPr>
              <w:t>137,08</w:t>
            </w:r>
          </w:p>
        </w:tc>
        <w:tc>
          <w:tcPr>
            <w:tcW w:w="1338" w:type="dxa"/>
            <w:shd w:val="clear" w:color="auto" w:fill="auto"/>
            <w:noWrap/>
            <w:vAlign w:val="center"/>
          </w:tcPr>
          <w:p w:rsidR="00476011" w:rsidRPr="00242020" w:rsidRDefault="00476011" w:rsidP="00476011">
            <w:pPr>
              <w:ind w:firstLine="0"/>
              <w:jc w:val="right"/>
              <w:rPr>
                <w:b/>
                <w:bCs/>
                <w:sz w:val="22"/>
              </w:rPr>
            </w:pPr>
            <w:r w:rsidRPr="00242020">
              <w:rPr>
                <w:b/>
                <w:bCs/>
                <w:sz w:val="22"/>
              </w:rPr>
              <w:t>5 644,03</w:t>
            </w:r>
          </w:p>
        </w:tc>
        <w:tc>
          <w:tcPr>
            <w:tcW w:w="1212" w:type="dxa"/>
            <w:shd w:val="clear" w:color="auto" w:fill="auto"/>
            <w:noWrap/>
            <w:vAlign w:val="center"/>
          </w:tcPr>
          <w:p w:rsidR="00476011" w:rsidRPr="00242020" w:rsidRDefault="00476011" w:rsidP="00476011">
            <w:pPr>
              <w:ind w:firstLine="0"/>
              <w:jc w:val="right"/>
              <w:rPr>
                <w:b/>
                <w:bCs/>
                <w:sz w:val="22"/>
              </w:rPr>
            </w:pPr>
            <w:r w:rsidRPr="00242020">
              <w:rPr>
                <w:b/>
                <w:bCs/>
                <w:sz w:val="22"/>
              </w:rPr>
              <w:t>5 564,50</w:t>
            </w:r>
          </w:p>
        </w:tc>
      </w:tr>
      <w:tr w:rsidR="00476011" w:rsidRPr="00242020" w:rsidTr="00E37DE1">
        <w:trPr>
          <w:trHeight w:val="315"/>
        </w:trPr>
        <w:tc>
          <w:tcPr>
            <w:tcW w:w="2160" w:type="dxa"/>
            <w:shd w:val="clear" w:color="auto" w:fill="D9D9D9" w:themeFill="background1" w:themeFillShade="D9"/>
            <w:noWrap/>
            <w:vAlign w:val="center"/>
          </w:tcPr>
          <w:p w:rsidR="00476011" w:rsidRPr="00242020" w:rsidRDefault="00476011" w:rsidP="00D2554D">
            <w:pPr>
              <w:ind w:firstLine="0"/>
              <w:jc w:val="right"/>
              <w:rPr>
                <w:sz w:val="22"/>
              </w:rPr>
            </w:pPr>
            <w:r w:rsidRPr="00242020">
              <w:rPr>
                <w:sz w:val="22"/>
              </w:rPr>
              <w:t>2250</w:t>
            </w:r>
          </w:p>
        </w:tc>
        <w:tc>
          <w:tcPr>
            <w:tcW w:w="1263" w:type="dxa"/>
            <w:shd w:val="clear" w:color="auto" w:fill="D9D9D9" w:themeFill="background1" w:themeFillShade="D9"/>
            <w:noWrap/>
            <w:vAlign w:val="center"/>
          </w:tcPr>
          <w:p w:rsidR="00476011" w:rsidRPr="00242020" w:rsidRDefault="00476011" w:rsidP="00476011">
            <w:pPr>
              <w:ind w:firstLine="0"/>
              <w:jc w:val="right"/>
              <w:rPr>
                <w:sz w:val="22"/>
              </w:rPr>
            </w:pPr>
            <w:r w:rsidRPr="00242020">
              <w:rPr>
                <w:sz w:val="22"/>
              </w:rPr>
              <w:t>1 091,90</w:t>
            </w:r>
          </w:p>
        </w:tc>
        <w:tc>
          <w:tcPr>
            <w:tcW w:w="1230" w:type="dxa"/>
            <w:shd w:val="clear" w:color="auto" w:fill="D9D9D9" w:themeFill="background1" w:themeFillShade="D9"/>
            <w:noWrap/>
            <w:vAlign w:val="center"/>
          </w:tcPr>
          <w:p w:rsidR="00476011" w:rsidRPr="00242020" w:rsidRDefault="00476011" w:rsidP="00476011">
            <w:pPr>
              <w:ind w:firstLine="0"/>
              <w:jc w:val="right"/>
              <w:rPr>
                <w:sz w:val="22"/>
              </w:rPr>
            </w:pPr>
            <w:r w:rsidRPr="00242020">
              <w:rPr>
                <w:sz w:val="22"/>
              </w:rPr>
              <w:t>992,50</w:t>
            </w:r>
          </w:p>
        </w:tc>
        <w:tc>
          <w:tcPr>
            <w:tcW w:w="1230" w:type="dxa"/>
            <w:shd w:val="clear" w:color="auto" w:fill="D9D9D9" w:themeFill="background1" w:themeFillShade="D9"/>
            <w:noWrap/>
            <w:vAlign w:val="center"/>
          </w:tcPr>
          <w:p w:rsidR="00476011" w:rsidRPr="00242020" w:rsidRDefault="00476011" w:rsidP="00476011">
            <w:pPr>
              <w:ind w:firstLine="0"/>
              <w:jc w:val="right"/>
              <w:rPr>
                <w:sz w:val="22"/>
              </w:rPr>
            </w:pPr>
            <w:r w:rsidRPr="00242020">
              <w:rPr>
                <w:sz w:val="22"/>
              </w:rPr>
              <w:t> </w:t>
            </w:r>
          </w:p>
        </w:tc>
        <w:tc>
          <w:tcPr>
            <w:tcW w:w="1212" w:type="dxa"/>
            <w:shd w:val="clear" w:color="auto" w:fill="D9D9D9" w:themeFill="background1" w:themeFillShade="D9"/>
            <w:noWrap/>
            <w:vAlign w:val="center"/>
          </w:tcPr>
          <w:p w:rsidR="00476011" w:rsidRPr="00242020" w:rsidRDefault="00476011" w:rsidP="00476011">
            <w:pPr>
              <w:ind w:firstLine="0"/>
              <w:jc w:val="right"/>
              <w:rPr>
                <w:sz w:val="22"/>
              </w:rPr>
            </w:pPr>
            <w:r w:rsidRPr="00242020">
              <w:rPr>
                <w:sz w:val="22"/>
              </w:rPr>
              <w:t> </w:t>
            </w:r>
          </w:p>
        </w:tc>
        <w:tc>
          <w:tcPr>
            <w:tcW w:w="1338" w:type="dxa"/>
            <w:shd w:val="clear" w:color="auto" w:fill="D9D9D9" w:themeFill="background1" w:themeFillShade="D9"/>
            <w:noWrap/>
            <w:vAlign w:val="center"/>
          </w:tcPr>
          <w:p w:rsidR="00476011" w:rsidRPr="00242020" w:rsidRDefault="00476011" w:rsidP="00476011">
            <w:pPr>
              <w:ind w:firstLine="0"/>
              <w:jc w:val="right"/>
              <w:rPr>
                <w:b/>
                <w:bCs/>
                <w:sz w:val="22"/>
              </w:rPr>
            </w:pPr>
            <w:r w:rsidRPr="00242020">
              <w:rPr>
                <w:b/>
                <w:bCs/>
                <w:sz w:val="22"/>
              </w:rPr>
              <w:t>1 091,90</w:t>
            </w:r>
          </w:p>
        </w:tc>
        <w:tc>
          <w:tcPr>
            <w:tcW w:w="1212" w:type="dxa"/>
            <w:shd w:val="clear" w:color="auto" w:fill="D9D9D9" w:themeFill="background1" w:themeFillShade="D9"/>
            <w:noWrap/>
            <w:vAlign w:val="center"/>
          </w:tcPr>
          <w:p w:rsidR="00476011" w:rsidRPr="00242020" w:rsidRDefault="00476011" w:rsidP="00476011">
            <w:pPr>
              <w:ind w:firstLine="0"/>
              <w:jc w:val="right"/>
              <w:rPr>
                <w:b/>
                <w:bCs/>
                <w:sz w:val="22"/>
              </w:rPr>
            </w:pPr>
            <w:r w:rsidRPr="00242020">
              <w:rPr>
                <w:b/>
                <w:bCs/>
                <w:sz w:val="22"/>
              </w:rPr>
              <w:t>992,50</w:t>
            </w:r>
          </w:p>
        </w:tc>
      </w:tr>
      <w:tr w:rsidR="00476011" w:rsidRPr="00242020" w:rsidTr="00E37DE1">
        <w:trPr>
          <w:trHeight w:val="315"/>
        </w:trPr>
        <w:tc>
          <w:tcPr>
            <w:tcW w:w="2160" w:type="dxa"/>
            <w:shd w:val="clear" w:color="auto" w:fill="auto"/>
            <w:noWrap/>
            <w:vAlign w:val="center"/>
          </w:tcPr>
          <w:p w:rsidR="00476011" w:rsidRPr="00242020" w:rsidRDefault="00476011" w:rsidP="00D2554D">
            <w:pPr>
              <w:ind w:firstLine="0"/>
              <w:jc w:val="right"/>
              <w:rPr>
                <w:sz w:val="22"/>
              </w:rPr>
            </w:pPr>
            <w:r w:rsidRPr="00242020">
              <w:rPr>
                <w:sz w:val="22"/>
              </w:rPr>
              <w:t>2271</w:t>
            </w:r>
          </w:p>
        </w:tc>
        <w:tc>
          <w:tcPr>
            <w:tcW w:w="1263" w:type="dxa"/>
            <w:shd w:val="clear" w:color="auto" w:fill="auto"/>
            <w:noWrap/>
            <w:vAlign w:val="center"/>
          </w:tcPr>
          <w:p w:rsidR="00476011" w:rsidRPr="00242020" w:rsidRDefault="00476011" w:rsidP="00476011">
            <w:pPr>
              <w:ind w:firstLine="0"/>
              <w:jc w:val="right"/>
              <w:rPr>
                <w:sz w:val="22"/>
              </w:rPr>
            </w:pPr>
            <w:r w:rsidRPr="00242020">
              <w:rPr>
                <w:sz w:val="22"/>
              </w:rPr>
              <w:t>4 084,20</w:t>
            </w:r>
          </w:p>
        </w:tc>
        <w:tc>
          <w:tcPr>
            <w:tcW w:w="1230" w:type="dxa"/>
            <w:shd w:val="clear" w:color="auto" w:fill="auto"/>
            <w:noWrap/>
            <w:vAlign w:val="center"/>
          </w:tcPr>
          <w:p w:rsidR="00476011" w:rsidRPr="00242020" w:rsidRDefault="00476011" w:rsidP="00476011">
            <w:pPr>
              <w:ind w:firstLine="0"/>
              <w:jc w:val="right"/>
              <w:rPr>
                <w:sz w:val="22"/>
              </w:rPr>
            </w:pPr>
            <w:r w:rsidRPr="00242020">
              <w:rPr>
                <w:sz w:val="22"/>
              </w:rPr>
              <w:t>3 701,56</w:t>
            </w:r>
          </w:p>
        </w:tc>
        <w:tc>
          <w:tcPr>
            <w:tcW w:w="1230" w:type="dxa"/>
            <w:shd w:val="clear" w:color="auto" w:fill="auto"/>
            <w:noWrap/>
            <w:vAlign w:val="center"/>
          </w:tcPr>
          <w:p w:rsidR="00476011" w:rsidRPr="00242020" w:rsidRDefault="00476011" w:rsidP="00476011">
            <w:pPr>
              <w:ind w:firstLine="0"/>
              <w:jc w:val="right"/>
              <w:rPr>
                <w:sz w:val="22"/>
              </w:rPr>
            </w:pPr>
            <w:r w:rsidRPr="00242020">
              <w:rPr>
                <w:sz w:val="22"/>
              </w:rPr>
              <w:t> </w:t>
            </w:r>
          </w:p>
        </w:tc>
        <w:tc>
          <w:tcPr>
            <w:tcW w:w="1212" w:type="dxa"/>
            <w:shd w:val="clear" w:color="auto" w:fill="auto"/>
            <w:noWrap/>
            <w:vAlign w:val="center"/>
          </w:tcPr>
          <w:p w:rsidR="00476011" w:rsidRPr="00242020" w:rsidRDefault="00476011" w:rsidP="00476011">
            <w:pPr>
              <w:ind w:firstLine="0"/>
              <w:jc w:val="right"/>
              <w:rPr>
                <w:sz w:val="22"/>
              </w:rPr>
            </w:pPr>
            <w:r w:rsidRPr="00242020">
              <w:rPr>
                <w:sz w:val="22"/>
              </w:rPr>
              <w:t> </w:t>
            </w:r>
          </w:p>
        </w:tc>
        <w:tc>
          <w:tcPr>
            <w:tcW w:w="1338" w:type="dxa"/>
            <w:shd w:val="clear" w:color="auto" w:fill="auto"/>
            <w:noWrap/>
            <w:vAlign w:val="center"/>
          </w:tcPr>
          <w:p w:rsidR="00476011" w:rsidRPr="00242020" w:rsidRDefault="00476011" w:rsidP="00476011">
            <w:pPr>
              <w:ind w:firstLine="0"/>
              <w:jc w:val="right"/>
              <w:rPr>
                <w:b/>
                <w:bCs/>
                <w:sz w:val="22"/>
              </w:rPr>
            </w:pPr>
            <w:r w:rsidRPr="00242020">
              <w:rPr>
                <w:b/>
                <w:bCs/>
                <w:sz w:val="22"/>
              </w:rPr>
              <w:t>4 084,20</w:t>
            </w:r>
          </w:p>
        </w:tc>
        <w:tc>
          <w:tcPr>
            <w:tcW w:w="1212" w:type="dxa"/>
            <w:shd w:val="clear" w:color="auto" w:fill="auto"/>
            <w:noWrap/>
            <w:vAlign w:val="center"/>
          </w:tcPr>
          <w:p w:rsidR="00476011" w:rsidRPr="00242020" w:rsidRDefault="00476011" w:rsidP="00476011">
            <w:pPr>
              <w:ind w:firstLine="0"/>
              <w:jc w:val="right"/>
              <w:rPr>
                <w:b/>
                <w:bCs/>
                <w:sz w:val="22"/>
              </w:rPr>
            </w:pPr>
            <w:r w:rsidRPr="00242020">
              <w:rPr>
                <w:b/>
                <w:bCs/>
                <w:sz w:val="22"/>
              </w:rPr>
              <w:t>3 701,56</w:t>
            </w:r>
          </w:p>
        </w:tc>
      </w:tr>
      <w:tr w:rsidR="00476011" w:rsidRPr="00242020" w:rsidTr="00E37DE1">
        <w:trPr>
          <w:trHeight w:val="315"/>
        </w:trPr>
        <w:tc>
          <w:tcPr>
            <w:tcW w:w="2160" w:type="dxa"/>
            <w:shd w:val="clear" w:color="auto" w:fill="D9D9D9" w:themeFill="background1" w:themeFillShade="D9"/>
            <w:noWrap/>
            <w:vAlign w:val="center"/>
          </w:tcPr>
          <w:p w:rsidR="00476011" w:rsidRPr="00242020" w:rsidRDefault="00476011" w:rsidP="00D2554D">
            <w:pPr>
              <w:ind w:firstLine="0"/>
              <w:jc w:val="right"/>
              <w:rPr>
                <w:sz w:val="22"/>
              </w:rPr>
            </w:pPr>
            <w:r w:rsidRPr="00242020">
              <w:rPr>
                <w:sz w:val="22"/>
              </w:rPr>
              <w:t>2272</w:t>
            </w:r>
          </w:p>
        </w:tc>
        <w:tc>
          <w:tcPr>
            <w:tcW w:w="1263" w:type="dxa"/>
            <w:shd w:val="clear" w:color="auto" w:fill="D9D9D9" w:themeFill="background1" w:themeFillShade="D9"/>
            <w:noWrap/>
            <w:vAlign w:val="center"/>
          </w:tcPr>
          <w:p w:rsidR="00476011" w:rsidRPr="00242020" w:rsidRDefault="00476011" w:rsidP="00476011">
            <w:pPr>
              <w:ind w:firstLine="0"/>
              <w:jc w:val="right"/>
              <w:rPr>
                <w:sz w:val="22"/>
              </w:rPr>
            </w:pPr>
            <w:r w:rsidRPr="00242020">
              <w:rPr>
                <w:sz w:val="22"/>
              </w:rPr>
              <w:t>170,60</w:t>
            </w:r>
          </w:p>
        </w:tc>
        <w:tc>
          <w:tcPr>
            <w:tcW w:w="1230" w:type="dxa"/>
            <w:shd w:val="clear" w:color="auto" w:fill="D9D9D9" w:themeFill="background1" w:themeFillShade="D9"/>
            <w:noWrap/>
            <w:vAlign w:val="center"/>
          </w:tcPr>
          <w:p w:rsidR="00476011" w:rsidRPr="00242020" w:rsidRDefault="00476011" w:rsidP="00476011">
            <w:pPr>
              <w:ind w:firstLine="0"/>
              <w:jc w:val="right"/>
              <w:rPr>
                <w:sz w:val="22"/>
              </w:rPr>
            </w:pPr>
            <w:r w:rsidRPr="00242020">
              <w:rPr>
                <w:sz w:val="22"/>
              </w:rPr>
              <w:t>147,50</w:t>
            </w:r>
          </w:p>
        </w:tc>
        <w:tc>
          <w:tcPr>
            <w:tcW w:w="1230" w:type="dxa"/>
            <w:shd w:val="clear" w:color="auto" w:fill="D9D9D9" w:themeFill="background1" w:themeFillShade="D9"/>
            <w:noWrap/>
            <w:vAlign w:val="center"/>
          </w:tcPr>
          <w:p w:rsidR="00476011" w:rsidRPr="00242020" w:rsidRDefault="00476011" w:rsidP="00476011">
            <w:pPr>
              <w:ind w:firstLine="0"/>
              <w:jc w:val="right"/>
              <w:rPr>
                <w:sz w:val="22"/>
              </w:rPr>
            </w:pPr>
            <w:r w:rsidRPr="00242020">
              <w:rPr>
                <w:sz w:val="22"/>
              </w:rPr>
              <w:t> </w:t>
            </w:r>
          </w:p>
        </w:tc>
        <w:tc>
          <w:tcPr>
            <w:tcW w:w="1212" w:type="dxa"/>
            <w:shd w:val="clear" w:color="auto" w:fill="D9D9D9" w:themeFill="background1" w:themeFillShade="D9"/>
            <w:noWrap/>
            <w:vAlign w:val="center"/>
          </w:tcPr>
          <w:p w:rsidR="00476011" w:rsidRPr="00242020" w:rsidRDefault="00476011" w:rsidP="00476011">
            <w:pPr>
              <w:ind w:firstLine="0"/>
              <w:jc w:val="right"/>
              <w:rPr>
                <w:sz w:val="22"/>
              </w:rPr>
            </w:pPr>
            <w:r w:rsidRPr="00242020">
              <w:rPr>
                <w:sz w:val="22"/>
              </w:rPr>
              <w:t> </w:t>
            </w:r>
          </w:p>
        </w:tc>
        <w:tc>
          <w:tcPr>
            <w:tcW w:w="1338" w:type="dxa"/>
            <w:shd w:val="clear" w:color="auto" w:fill="D9D9D9" w:themeFill="background1" w:themeFillShade="D9"/>
            <w:noWrap/>
            <w:vAlign w:val="center"/>
          </w:tcPr>
          <w:p w:rsidR="00476011" w:rsidRPr="00242020" w:rsidRDefault="00476011" w:rsidP="00476011">
            <w:pPr>
              <w:ind w:firstLine="0"/>
              <w:jc w:val="right"/>
              <w:rPr>
                <w:b/>
                <w:bCs/>
                <w:sz w:val="22"/>
              </w:rPr>
            </w:pPr>
            <w:r w:rsidRPr="00242020">
              <w:rPr>
                <w:b/>
                <w:bCs/>
                <w:sz w:val="22"/>
              </w:rPr>
              <w:t>170,60</w:t>
            </w:r>
          </w:p>
        </w:tc>
        <w:tc>
          <w:tcPr>
            <w:tcW w:w="1212" w:type="dxa"/>
            <w:shd w:val="clear" w:color="auto" w:fill="D9D9D9" w:themeFill="background1" w:themeFillShade="D9"/>
            <w:noWrap/>
            <w:vAlign w:val="center"/>
          </w:tcPr>
          <w:p w:rsidR="00476011" w:rsidRPr="00242020" w:rsidRDefault="00476011" w:rsidP="00476011">
            <w:pPr>
              <w:ind w:firstLine="0"/>
              <w:jc w:val="right"/>
              <w:rPr>
                <w:b/>
                <w:bCs/>
                <w:sz w:val="22"/>
              </w:rPr>
            </w:pPr>
            <w:r w:rsidRPr="00242020">
              <w:rPr>
                <w:b/>
                <w:bCs/>
                <w:sz w:val="22"/>
              </w:rPr>
              <w:t>147,50</w:t>
            </w:r>
          </w:p>
        </w:tc>
      </w:tr>
      <w:tr w:rsidR="00476011" w:rsidRPr="00242020" w:rsidTr="00E37DE1">
        <w:trPr>
          <w:trHeight w:val="315"/>
        </w:trPr>
        <w:tc>
          <w:tcPr>
            <w:tcW w:w="2160" w:type="dxa"/>
            <w:shd w:val="clear" w:color="auto" w:fill="auto"/>
            <w:noWrap/>
            <w:vAlign w:val="center"/>
          </w:tcPr>
          <w:p w:rsidR="00476011" w:rsidRPr="00242020" w:rsidRDefault="00476011" w:rsidP="00D2554D">
            <w:pPr>
              <w:ind w:firstLine="0"/>
              <w:jc w:val="right"/>
              <w:rPr>
                <w:sz w:val="22"/>
              </w:rPr>
            </w:pPr>
            <w:r w:rsidRPr="00242020">
              <w:rPr>
                <w:sz w:val="22"/>
              </w:rPr>
              <w:t>2273</w:t>
            </w:r>
          </w:p>
        </w:tc>
        <w:tc>
          <w:tcPr>
            <w:tcW w:w="1263" w:type="dxa"/>
            <w:shd w:val="clear" w:color="auto" w:fill="auto"/>
            <w:noWrap/>
            <w:vAlign w:val="center"/>
          </w:tcPr>
          <w:p w:rsidR="00476011" w:rsidRPr="00242020" w:rsidRDefault="00476011" w:rsidP="00476011">
            <w:pPr>
              <w:ind w:firstLine="0"/>
              <w:jc w:val="right"/>
              <w:rPr>
                <w:sz w:val="22"/>
              </w:rPr>
            </w:pPr>
            <w:r w:rsidRPr="00242020">
              <w:rPr>
                <w:sz w:val="22"/>
              </w:rPr>
              <w:t>2 936,20</w:t>
            </w:r>
          </w:p>
        </w:tc>
        <w:tc>
          <w:tcPr>
            <w:tcW w:w="1230" w:type="dxa"/>
            <w:shd w:val="clear" w:color="auto" w:fill="auto"/>
            <w:noWrap/>
            <w:vAlign w:val="center"/>
          </w:tcPr>
          <w:p w:rsidR="00476011" w:rsidRPr="00242020" w:rsidRDefault="00476011" w:rsidP="00476011">
            <w:pPr>
              <w:ind w:firstLine="0"/>
              <w:jc w:val="right"/>
              <w:rPr>
                <w:sz w:val="22"/>
              </w:rPr>
            </w:pPr>
            <w:r w:rsidRPr="00242020">
              <w:rPr>
                <w:sz w:val="22"/>
              </w:rPr>
              <w:t>2 746,13</w:t>
            </w:r>
          </w:p>
        </w:tc>
        <w:tc>
          <w:tcPr>
            <w:tcW w:w="1230" w:type="dxa"/>
            <w:shd w:val="clear" w:color="auto" w:fill="auto"/>
            <w:noWrap/>
            <w:vAlign w:val="center"/>
          </w:tcPr>
          <w:p w:rsidR="00476011" w:rsidRPr="00242020" w:rsidRDefault="00476011" w:rsidP="00476011">
            <w:pPr>
              <w:ind w:firstLine="0"/>
              <w:jc w:val="right"/>
              <w:rPr>
                <w:sz w:val="22"/>
              </w:rPr>
            </w:pPr>
            <w:r w:rsidRPr="00242020">
              <w:rPr>
                <w:sz w:val="22"/>
              </w:rPr>
              <w:t> </w:t>
            </w:r>
          </w:p>
        </w:tc>
        <w:tc>
          <w:tcPr>
            <w:tcW w:w="1212" w:type="dxa"/>
            <w:shd w:val="clear" w:color="auto" w:fill="auto"/>
            <w:noWrap/>
            <w:vAlign w:val="center"/>
          </w:tcPr>
          <w:p w:rsidR="00476011" w:rsidRPr="00242020" w:rsidRDefault="00476011" w:rsidP="00476011">
            <w:pPr>
              <w:ind w:firstLine="0"/>
              <w:jc w:val="right"/>
              <w:rPr>
                <w:sz w:val="22"/>
              </w:rPr>
            </w:pPr>
            <w:r w:rsidRPr="00242020">
              <w:rPr>
                <w:sz w:val="22"/>
              </w:rPr>
              <w:t> </w:t>
            </w:r>
          </w:p>
        </w:tc>
        <w:tc>
          <w:tcPr>
            <w:tcW w:w="1338" w:type="dxa"/>
            <w:shd w:val="clear" w:color="auto" w:fill="auto"/>
            <w:noWrap/>
            <w:vAlign w:val="center"/>
          </w:tcPr>
          <w:p w:rsidR="00476011" w:rsidRPr="00242020" w:rsidRDefault="00476011" w:rsidP="00476011">
            <w:pPr>
              <w:ind w:firstLine="0"/>
              <w:jc w:val="right"/>
              <w:rPr>
                <w:b/>
                <w:bCs/>
                <w:sz w:val="22"/>
              </w:rPr>
            </w:pPr>
            <w:r w:rsidRPr="00242020">
              <w:rPr>
                <w:b/>
                <w:bCs/>
                <w:sz w:val="22"/>
              </w:rPr>
              <w:t>2 936,20</w:t>
            </w:r>
          </w:p>
        </w:tc>
        <w:tc>
          <w:tcPr>
            <w:tcW w:w="1212" w:type="dxa"/>
            <w:shd w:val="clear" w:color="auto" w:fill="auto"/>
            <w:noWrap/>
            <w:vAlign w:val="center"/>
          </w:tcPr>
          <w:p w:rsidR="00476011" w:rsidRPr="00242020" w:rsidRDefault="00476011" w:rsidP="00476011">
            <w:pPr>
              <w:ind w:firstLine="0"/>
              <w:jc w:val="right"/>
              <w:rPr>
                <w:b/>
                <w:bCs/>
                <w:sz w:val="22"/>
              </w:rPr>
            </w:pPr>
            <w:r w:rsidRPr="00242020">
              <w:rPr>
                <w:b/>
                <w:bCs/>
                <w:sz w:val="22"/>
              </w:rPr>
              <w:t>2 746,13</w:t>
            </w:r>
          </w:p>
        </w:tc>
      </w:tr>
    </w:tbl>
    <w:p w:rsidR="00D2554D" w:rsidRPr="00242020" w:rsidRDefault="00D2554D" w:rsidP="00D2554D">
      <w:pPr>
        <w:jc w:val="right"/>
        <w:rPr>
          <w:b/>
          <w:bCs/>
          <w:sz w:val="22"/>
        </w:rPr>
      </w:pPr>
      <w:r w:rsidRPr="00242020">
        <w:rPr>
          <w:b/>
          <w:bCs/>
          <w:sz w:val="22"/>
        </w:rPr>
        <w:lastRenderedPageBreak/>
        <w:t>Продовження таблиці</w:t>
      </w:r>
    </w:p>
    <w:tbl>
      <w:tblPr>
        <w:tblW w:w="96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ook w:val="0000"/>
      </w:tblPr>
      <w:tblGrid>
        <w:gridCol w:w="2160"/>
        <w:gridCol w:w="1263"/>
        <w:gridCol w:w="1230"/>
        <w:gridCol w:w="1230"/>
        <w:gridCol w:w="1212"/>
        <w:gridCol w:w="1338"/>
        <w:gridCol w:w="1212"/>
      </w:tblGrid>
      <w:tr w:rsidR="00D2554D" w:rsidRPr="00242020" w:rsidTr="00E37DE1">
        <w:trPr>
          <w:trHeight w:val="315"/>
        </w:trPr>
        <w:tc>
          <w:tcPr>
            <w:tcW w:w="2160" w:type="dxa"/>
            <w:shd w:val="clear" w:color="auto" w:fill="D9D9D9" w:themeFill="background1" w:themeFillShade="D9"/>
            <w:noWrap/>
            <w:vAlign w:val="center"/>
          </w:tcPr>
          <w:p w:rsidR="00D2554D" w:rsidRPr="00242020" w:rsidRDefault="00D2554D" w:rsidP="00D2554D">
            <w:pPr>
              <w:ind w:firstLine="0"/>
              <w:jc w:val="center"/>
              <w:rPr>
                <w:b/>
                <w:sz w:val="20"/>
              </w:rPr>
            </w:pPr>
            <w:r w:rsidRPr="00242020">
              <w:rPr>
                <w:b/>
                <w:sz w:val="20"/>
              </w:rPr>
              <w:t>1</w:t>
            </w:r>
          </w:p>
        </w:tc>
        <w:tc>
          <w:tcPr>
            <w:tcW w:w="1263" w:type="dxa"/>
            <w:shd w:val="clear" w:color="auto" w:fill="D9D9D9" w:themeFill="background1" w:themeFillShade="D9"/>
            <w:noWrap/>
            <w:vAlign w:val="center"/>
          </w:tcPr>
          <w:p w:rsidR="00D2554D" w:rsidRPr="00242020" w:rsidRDefault="00D2554D" w:rsidP="00D2554D">
            <w:pPr>
              <w:ind w:firstLine="0"/>
              <w:jc w:val="center"/>
              <w:rPr>
                <w:b/>
                <w:sz w:val="20"/>
              </w:rPr>
            </w:pPr>
            <w:r w:rsidRPr="00242020">
              <w:rPr>
                <w:b/>
                <w:sz w:val="20"/>
              </w:rPr>
              <w:t>2</w:t>
            </w:r>
          </w:p>
        </w:tc>
        <w:tc>
          <w:tcPr>
            <w:tcW w:w="1230" w:type="dxa"/>
            <w:shd w:val="clear" w:color="auto" w:fill="D9D9D9" w:themeFill="background1" w:themeFillShade="D9"/>
            <w:noWrap/>
            <w:vAlign w:val="center"/>
          </w:tcPr>
          <w:p w:rsidR="00D2554D" w:rsidRPr="00242020" w:rsidRDefault="00D2554D" w:rsidP="00D2554D">
            <w:pPr>
              <w:ind w:firstLine="0"/>
              <w:jc w:val="center"/>
              <w:rPr>
                <w:b/>
                <w:sz w:val="20"/>
              </w:rPr>
            </w:pPr>
            <w:r w:rsidRPr="00242020">
              <w:rPr>
                <w:b/>
                <w:sz w:val="20"/>
              </w:rPr>
              <w:t>3</w:t>
            </w:r>
          </w:p>
        </w:tc>
        <w:tc>
          <w:tcPr>
            <w:tcW w:w="1230" w:type="dxa"/>
            <w:shd w:val="clear" w:color="auto" w:fill="D9D9D9" w:themeFill="background1" w:themeFillShade="D9"/>
            <w:noWrap/>
            <w:vAlign w:val="center"/>
          </w:tcPr>
          <w:p w:rsidR="00D2554D" w:rsidRPr="00242020" w:rsidRDefault="00D2554D" w:rsidP="00D2554D">
            <w:pPr>
              <w:ind w:firstLine="0"/>
              <w:jc w:val="center"/>
              <w:rPr>
                <w:b/>
                <w:sz w:val="20"/>
              </w:rPr>
            </w:pPr>
            <w:r w:rsidRPr="00242020">
              <w:rPr>
                <w:b/>
                <w:sz w:val="20"/>
              </w:rPr>
              <w:t>4</w:t>
            </w:r>
          </w:p>
        </w:tc>
        <w:tc>
          <w:tcPr>
            <w:tcW w:w="1212" w:type="dxa"/>
            <w:shd w:val="clear" w:color="auto" w:fill="D9D9D9" w:themeFill="background1" w:themeFillShade="D9"/>
            <w:noWrap/>
            <w:vAlign w:val="center"/>
          </w:tcPr>
          <w:p w:rsidR="00D2554D" w:rsidRPr="00242020" w:rsidRDefault="00D2554D" w:rsidP="00D2554D">
            <w:pPr>
              <w:ind w:firstLine="0"/>
              <w:jc w:val="center"/>
              <w:rPr>
                <w:b/>
                <w:sz w:val="20"/>
              </w:rPr>
            </w:pPr>
            <w:r w:rsidRPr="00242020">
              <w:rPr>
                <w:b/>
                <w:sz w:val="20"/>
              </w:rPr>
              <w:t>5</w:t>
            </w:r>
          </w:p>
        </w:tc>
        <w:tc>
          <w:tcPr>
            <w:tcW w:w="1338" w:type="dxa"/>
            <w:shd w:val="clear" w:color="auto" w:fill="D9D9D9" w:themeFill="background1" w:themeFillShade="D9"/>
            <w:noWrap/>
            <w:vAlign w:val="center"/>
          </w:tcPr>
          <w:p w:rsidR="00D2554D" w:rsidRPr="00242020" w:rsidRDefault="00D2554D" w:rsidP="00D2554D">
            <w:pPr>
              <w:ind w:firstLine="0"/>
              <w:jc w:val="center"/>
              <w:rPr>
                <w:b/>
                <w:sz w:val="20"/>
              </w:rPr>
            </w:pPr>
            <w:r w:rsidRPr="00242020">
              <w:rPr>
                <w:b/>
                <w:sz w:val="20"/>
              </w:rPr>
              <w:t>6</w:t>
            </w:r>
          </w:p>
        </w:tc>
        <w:tc>
          <w:tcPr>
            <w:tcW w:w="1212" w:type="dxa"/>
            <w:shd w:val="clear" w:color="auto" w:fill="D9D9D9" w:themeFill="background1" w:themeFillShade="D9"/>
            <w:noWrap/>
            <w:vAlign w:val="center"/>
          </w:tcPr>
          <w:p w:rsidR="00D2554D" w:rsidRPr="00242020" w:rsidRDefault="00D2554D" w:rsidP="00D2554D">
            <w:pPr>
              <w:ind w:firstLine="0"/>
              <w:jc w:val="center"/>
              <w:rPr>
                <w:b/>
                <w:sz w:val="20"/>
              </w:rPr>
            </w:pPr>
            <w:r w:rsidRPr="00242020">
              <w:rPr>
                <w:b/>
                <w:sz w:val="20"/>
              </w:rPr>
              <w:t>7</w:t>
            </w:r>
          </w:p>
        </w:tc>
      </w:tr>
      <w:tr w:rsidR="00476011" w:rsidRPr="00242020" w:rsidTr="00E37DE1">
        <w:trPr>
          <w:trHeight w:val="315"/>
        </w:trPr>
        <w:tc>
          <w:tcPr>
            <w:tcW w:w="2160" w:type="dxa"/>
            <w:shd w:val="clear" w:color="auto" w:fill="auto"/>
            <w:noWrap/>
            <w:vAlign w:val="center"/>
          </w:tcPr>
          <w:p w:rsidR="00476011" w:rsidRPr="00242020" w:rsidRDefault="00476011" w:rsidP="00D2554D">
            <w:pPr>
              <w:ind w:firstLine="0"/>
              <w:jc w:val="right"/>
              <w:rPr>
                <w:sz w:val="22"/>
              </w:rPr>
            </w:pPr>
            <w:r w:rsidRPr="00242020">
              <w:rPr>
                <w:sz w:val="22"/>
              </w:rPr>
              <w:t>2274</w:t>
            </w:r>
          </w:p>
        </w:tc>
        <w:tc>
          <w:tcPr>
            <w:tcW w:w="1263" w:type="dxa"/>
            <w:shd w:val="clear" w:color="auto" w:fill="auto"/>
            <w:noWrap/>
            <w:vAlign w:val="center"/>
          </w:tcPr>
          <w:p w:rsidR="00476011" w:rsidRPr="00242020" w:rsidRDefault="00476011" w:rsidP="00476011">
            <w:pPr>
              <w:ind w:firstLine="0"/>
              <w:jc w:val="right"/>
              <w:rPr>
                <w:sz w:val="22"/>
              </w:rPr>
            </w:pPr>
            <w:r w:rsidRPr="00242020">
              <w:rPr>
                <w:sz w:val="22"/>
              </w:rPr>
              <w:t>173,40</w:t>
            </w:r>
          </w:p>
        </w:tc>
        <w:tc>
          <w:tcPr>
            <w:tcW w:w="1230" w:type="dxa"/>
            <w:shd w:val="clear" w:color="auto" w:fill="auto"/>
            <w:noWrap/>
            <w:vAlign w:val="center"/>
          </w:tcPr>
          <w:p w:rsidR="00476011" w:rsidRPr="00242020" w:rsidRDefault="00476011" w:rsidP="00476011">
            <w:pPr>
              <w:ind w:firstLine="0"/>
              <w:jc w:val="right"/>
              <w:rPr>
                <w:sz w:val="22"/>
              </w:rPr>
            </w:pPr>
            <w:r w:rsidRPr="00242020">
              <w:rPr>
                <w:sz w:val="22"/>
              </w:rPr>
              <w:t>153,36</w:t>
            </w:r>
          </w:p>
        </w:tc>
        <w:tc>
          <w:tcPr>
            <w:tcW w:w="1230" w:type="dxa"/>
            <w:shd w:val="clear" w:color="auto" w:fill="auto"/>
            <w:noWrap/>
            <w:vAlign w:val="center"/>
          </w:tcPr>
          <w:p w:rsidR="00476011" w:rsidRPr="00242020" w:rsidRDefault="00476011" w:rsidP="00476011">
            <w:pPr>
              <w:ind w:firstLine="0"/>
              <w:jc w:val="right"/>
              <w:rPr>
                <w:sz w:val="22"/>
              </w:rPr>
            </w:pPr>
            <w:r w:rsidRPr="00242020">
              <w:rPr>
                <w:sz w:val="22"/>
              </w:rPr>
              <w:t> </w:t>
            </w:r>
          </w:p>
        </w:tc>
        <w:tc>
          <w:tcPr>
            <w:tcW w:w="1212" w:type="dxa"/>
            <w:shd w:val="clear" w:color="auto" w:fill="auto"/>
            <w:noWrap/>
            <w:vAlign w:val="center"/>
          </w:tcPr>
          <w:p w:rsidR="00476011" w:rsidRPr="00242020" w:rsidRDefault="00476011" w:rsidP="00476011">
            <w:pPr>
              <w:ind w:firstLine="0"/>
              <w:jc w:val="right"/>
              <w:rPr>
                <w:sz w:val="22"/>
              </w:rPr>
            </w:pPr>
            <w:r w:rsidRPr="00242020">
              <w:rPr>
                <w:sz w:val="22"/>
              </w:rPr>
              <w:t> </w:t>
            </w:r>
          </w:p>
        </w:tc>
        <w:tc>
          <w:tcPr>
            <w:tcW w:w="1338" w:type="dxa"/>
            <w:shd w:val="clear" w:color="auto" w:fill="auto"/>
            <w:noWrap/>
            <w:vAlign w:val="center"/>
          </w:tcPr>
          <w:p w:rsidR="00476011" w:rsidRPr="00242020" w:rsidRDefault="00476011" w:rsidP="00476011">
            <w:pPr>
              <w:ind w:firstLine="0"/>
              <w:jc w:val="right"/>
              <w:rPr>
                <w:b/>
                <w:bCs/>
                <w:sz w:val="22"/>
              </w:rPr>
            </w:pPr>
            <w:r w:rsidRPr="00242020">
              <w:rPr>
                <w:b/>
                <w:bCs/>
                <w:sz w:val="22"/>
              </w:rPr>
              <w:t>173,40</w:t>
            </w:r>
          </w:p>
        </w:tc>
        <w:tc>
          <w:tcPr>
            <w:tcW w:w="1212" w:type="dxa"/>
            <w:shd w:val="clear" w:color="auto" w:fill="auto"/>
            <w:noWrap/>
            <w:vAlign w:val="center"/>
          </w:tcPr>
          <w:p w:rsidR="00476011" w:rsidRPr="00242020" w:rsidRDefault="00476011" w:rsidP="00476011">
            <w:pPr>
              <w:ind w:firstLine="0"/>
              <w:jc w:val="right"/>
              <w:rPr>
                <w:b/>
                <w:bCs/>
                <w:sz w:val="22"/>
              </w:rPr>
            </w:pPr>
            <w:r w:rsidRPr="00242020">
              <w:rPr>
                <w:b/>
                <w:bCs/>
                <w:sz w:val="22"/>
              </w:rPr>
              <w:t>153,36</w:t>
            </w:r>
          </w:p>
        </w:tc>
      </w:tr>
      <w:tr w:rsidR="00476011" w:rsidRPr="00242020" w:rsidTr="00E37DE1">
        <w:trPr>
          <w:trHeight w:val="315"/>
        </w:trPr>
        <w:tc>
          <w:tcPr>
            <w:tcW w:w="2160" w:type="dxa"/>
            <w:shd w:val="clear" w:color="auto" w:fill="D9D9D9" w:themeFill="background1" w:themeFillShade="D9"/>
            <w:noWrap/>
            <w:vAlign w:val="center"/>
          </w:tcPr>
          <w:p w:rsidR="00476011" w:rsidRPr="00242020" w:rsidRDefault="00476011" w:rsidP="00D2554D">
            <w:pPr>
              <w:ind w:firstLine="0"/>
              <w:jc w:val="right"/>
              <w:rPr>
                <w:sz w:val="22"/>
              </w:rPr>
            </w:pPr>
            <w:r w:rsidRPr="00242020">
              <w:rPr>
                <w:sz w:val="22"/>
              </w:rPr>
              <w:t>2282</w:t>
            </w:r>
          </w:p>
        </w:tc>
        <w:tc>
          <w:tcPr>
            <w:tcW w:w="1263" w:type="dxa"/>
            <w:shd w:val="clear" w:color="auto" w:fill="D9D9D9" w:themeFill="background1" w:themeFillShade="D9"/>
            <w:noWrap/>
            <w:vAlign w:val="center"/>
          </w:tcPr>
          <w:p w:rsidR="00476011" w:rsidRPr="00242020" w:rsidRDefault="00476011" w:rsidP="00476011">
            <w:pPr>
              <w:ind w:firstLine="0"/>
              <w:jc w:val="right"/>
              <w:rPr>
                <w:sz w:val="22"/>
              </w:rPr>
            </w:pPr>
            <w:r w:rsidRPr="00242020">
              <w:rPr>
                <w:sz w:val="22"/>
              </w:rPr>
              <w:t>172,30</w:t>
            </w:r>
          </w:p>
        </w:tc>
        <w:tc>
          <w:tcPr>
            <w:tcW w:w="1230" w:type="dxa"/>
            <w:shd w:val="clear" w:color="auto" w:fill="D9D9D9" w:themeFill="background1" w:themeFillShade="D9"/>
            <w:noWrap/>
            <w:vAlign w:val="center"/>
          </w:tcPr>
          <w:p w:rsidR="00476011" w:rsidRPr="00242020" w:rsidRDefault="00476011" w:rsidP="00476011">
            <w:pPr>
              <w:ind w:firstLine="0"/>
              <w:jc w:val="right"/>
              <w:rPr>
                <w:sz w:val="22"/>
              </w:rPr>
            </w:pPr>
            <w:r w:rsidRPr="00242020">
              <w:rPr>
                <w:sz w:val="22"/>
              </w:rPr>
              <w:t>109,07</w:t>
            </w:r>
          </w:p>
        </w:tc>
        <w:tc>
          <w:tcPr>
            <w:tcW w:w="1230" w:type="dxa"/>
            <w:shd w:val="clear" w:color="auto" w:fill="D9D9D9" w:themeFill="background1" w:themeFillShade="D9"/>
            <w:noWrap/>
            <w:vAlign w:val="center"/>
          </w:tcPr>
          <w:p w:rsidR="00476011" w:rsidRPr="00242020" w:rsidRDefault="00476011" w:rsidP="00476011">
            <w:pPr>
              <w:ind w:firstLine="0"/>
              <w:jc w:val="right"/>
              <w:rPr>
                <w:sz w:val="22"/>
              </w:rPr>
            </w:pPr>
            <w:r w:rsidRPr="00242020">
              <w:rPr>
                <w:sz w:val="22"/>
              </w:rPr>
              <w:t> </w:t>
            </w:r>
          </w:p>
        </w:tc>
        <w:tc>
          <w:tcPr>
            <w:tcW w:w="1212" w:type="dxa"/>
            <w:shd w:val="clear" w:color="auto" w:fill="D9D9D9" w:themeFill="background1" w:themeFillShade="D9"/>
            <w:noWrap/>
            <w:vAlign w:val="center"/>
          </w:tcPr>
          <w:p w:rsidR="00476011" w:rsidRPr="00242020" w:rsidRDefault="00476011" w:rsidP="00476011">
            <w:pPr>
              <w:ind w:firstLine="0"/>
              <w:jc w:val="right"/>
              <w:rPr>
                <w:sz w:val="22"/>
              </w:rPr>
            </w:pPr>
            <w:r w:rsidRPr="00242020">
              <w:rPr>
                <w:sz w:val="22"/>
              </w:rPr>
              <w:t> </w:t>
            </w:r>
          </w:p>
        </w:tc>
        <w:tc>
          <w:tcPr>
            <w:tcW w:w="1338" w:type="dxa"/>
            <w:shd w:val="clear" w:color="auto" w:fill="D9D9D9" w:themeFill="background1" w:themeFillShade="D9"/>
            <w:noWrap/>
            <w:vAlign w:val="center"/>
          </w:tcPr>
          <w:p w:rsidR="00476011" w:rsidRPr="00242020" w:rsidRDefault="00476011" w:rsidP="00476011">
            <w:pPr>
              <w:ind w:firstLine="0"/>
              <w:jc w:val="right"/>
              <w:rPr>
                <w:b/>
                <w:bCs/>
                <w:sz w:val="22"/>
              </w:rPr>
            </w:pPr>
            <w:r w:rsidRPr="00242020">
              <w:rPr>
                <w:b/>
                <w:bCs/>
                <w:sz w:val="22"/>
              </w:rPr>
              <w:t>172,30</w:t>
            </w:r>
          </w:p>
        </w:tc>
        <w:tc>
          <w:tcPr>
            <w:tcW w:w="1212" w:type="dxa"/>
            <w:shd w:val="clear" w:color="auto" w:fill="D9D9D9" w:themeFill="background1" w:themeFillShade="D9"/>
            <w:noWrap/>
            <w:vAlign w:val="center"/>
          </w:tcPr>
          <w:p w:rsidR="00476011" w:rsidRPr="00242020" w:rsidRDefault="00476011" w:rsidP="00476011">
            <w:pPr>
              <w:ind w:firstLine="0"/>
              <w:jc w:val="right"/>
              <w:rPr>
                <w:b/>
                <w:bCs/>
                <w:sz w:val="22"/>
              </w:rPr>
            </w:pPr>
            <w:r w:rsidRPr="00242020">
              <w:rPr>
                <w:b/>
                <w:bCs/>
                <w:sz w:val="22"/>
              </w:rPr>
              <w:t>109,07</w:t>
            </w:r>
          </w:p>
        </w:tc>
      </w:tr>
      <w:tr w:rsidR="00476011" w:rsidRPr="00242020" w:rsidTr="00E37DE1">
        <w:trPr>
          <w:trHeight w:val="315"/>
        </w:trPr>
        <w:tc>
          <w:tcPr>
            <w:tcW w:w="2160" w:type="dxa"/>
            <w:shd w:val="clear" w:color="auto" w:fill="auto"/>
            <w:noWrap/>
            <w:vAlign w:val="center"/>
          </w:tcPr>
          <w:p w:rsidR="00476011" w:rsidRPr="00242020" w:rsidRDefault="00476011" w:rsidP="00D2554D">
            <w:pPr>
              <w:ind w:firstLine="0"/>
              <w:jc w:val="right"/>
              <w:rPr>
                <w:sz w:val="22"/>
              </w:rPr>
            </w:pPr>
            <w:r w:rsidRPr="00242020">
              <w:rPr>
                <w:sz w:val="22"/>
              </w:rPr>
              <w:t>2800</w:t>
            </w:r>
          </w:p>
        </w:tc>
        <w:tc>
          <w:tcPr>
            <w:tcW w:w="1263" w:type="dxa"/>
            <w:shd w:val="clear" w:color="auto" w:fill="auto"/>
            <w:noWrap/>
            <w:vAlign w:val="center"/>
          </w:tcPr>
          <w:p w:rsidR="00476011" w:rsidRPr="00242020" w:rsidRDefault="00476011" w:rsidP="00476011">
            <w:pPr>
              <w:ind w:firstLine="0"/>
              <w:jc w:val="right"/>
              <w:rPr>
                <w:sz w:val="22"/>
              </w:rPr>
            </w:pPr>
            <w:r w:rsidRPr="00242020">
              <w:rPr>
                <w:sz w:val="22"/>
              </w:rPr>
              <w:t>2 563,40</w:t>
            </w:r>
          </w:p>
        </w:tc>
        <w:tc>
          <w:tcPr>
            <w:tcW w:w="1230" w:type="dxa"/>
            <w:shd w:val="clear" w:color="auto" w:fill="auto"/>
            <w:noWrap/>
            <w:vAlign w:val="center"/>
          </w:tcPr>
          <w:p w:rsidR="00476011" w:rsidRPr="00242020" w:rsidRDefault="00476011" w:rsidP="00476011">
            <w:pPr>
              <w:ind w:firstLine="0"/>
              <w:jc w:val="right"/>
              <w:rPr>
                <w:sz w:val="22"/>
              </w:rPr>
            </w:pPr>
            <w:r w:rsidRPr="00242020">
              <w:rPr>
                <w:sz w:val="22"/>
              </w:rPr>
              <w:t>2 513,99</w:t>
            </w:r>
          </w:p>
        </w:tc>
        <w:tc>
          <w:tcPr>
            <w:tcW w:w="1230" w:type="dxa"/>
            <w:shd w:val="clear" w:color="auto" w:fill="auto"/>
            <w:noWrap/>
            <w:vAlign w:val="center"/>
          </w:tcPr>
          <w:p w:rsidR="00476011" w:rsidRPr="00242020" w:rsidRDefault="00476011" w:rsidP="00476011">
            <w:pPr>
              <w:ind w:firstLine="0"/>
              <w:jc w:val="right"/>
              <w:rPr>
                <w:sz w:val="22"/>
              </w:rPr>
            </w:pPr>
            <w:r w:rsidRPr="00242020">
              <w:rPr>
                <w:sz w:val="22"/>
              </w:rPr>
              <w:t>474,99</w:t>
            </w:r>
          </w:p>
        </w:tc>
        <w:tc>
          <w:tcPr>
            <w:tcW w:w="1212" w:type="dxa"/>
            <w:shd w:val="clear" w:color="auto" w:fill="auto"/>
            <w:noWrap/>
            <w:vAlign w:val="center"/>
          </w:tcPr>
          <w:p w:rsidR="00476011" w:rsidRPr="00242020" w:rsidRDefault="00476011" w:rsidP="00476011">
            <w:pPr>
              <w:ind w:firstLine="0"/>
              <w:jc w:val="right"/>
              <w:rPr>
                <w:sz w:val="22"/>
              </w:rPr>
            </w:pPr>
            <w:r w:rsidRPr="00242020">
              <w:rPr>
                <w:sz w:val="22"/>
              </w:rPr>
              <w:t>346,28</w:t>
            </w:r>
          </w:p>
        </w:tc>
        <w:tc>
          <w:tcPr>
            <w:tcW w:w="1338" w:type="dxa"/>
            <w:shd w:val="clear" w:color="auto" w:fill="auto"/>
            <w:noWrap/>
            <w:vAlign w:val="center"/>
          </w:tcPr>
          <w:p w:rsidR="00476011" w:rsidRPr="00242020" w:rsidRDefault="00476011" w:rsidP="00476011">
            <w:pPr>
              <w:ind w:firstLine="0"/>
              <w:jc w:val="right"/>
              <w:rPr>
                <w:b/>
                <w:bCs/>
                <w:sz w:val="22"/>
              </w:rPr>
            </w:pPr>
            <w:r w:rsidRPr="00242020">
              <w:rPr>
                <w:b/>
                <w:bCs/>
                <w:sz w:val="22"/>
              </w:rPr>
              <w:t>3 038,39</w:t>
            </w:r>
          </w:p>
        </w:tc>
        <w:tc>
          <w:tcPr>
            <w:tcW w:w="1212" w:type="dxa"/>
            <w:shd w:val="clear" w:color="auto" w:fill="auto"/>
            <w:noWrap/>
            <w:vAlign w:val="center"/>
          </w:tcPr>
          <w:p w:rsidR="00476011" w:rsidRPr="00242020" w:rsidRDefault="00476011" w:rsidP="00476011">
            <w:pPr>
              <w:ind w:firstLine="0"/>
              <w:jc w:val="right"/>
              <w:rPr>
                <w:b/>
                <w:bCs/>
                <w:sz w:val="22"/>
              </w:rPr>
            </w:pPr>
            <w:r w:rsidRPr="00242020">
              <w:rPr>
                <w:b/>
                <w:bCs/>
                <w:sz w:val="22"/>
              </w:rPr>
              <w:t>2 860,27</w:t>
            </w:r>
          </w:p>
        </w:tc>
      </w:tr>
      <w:tr w:rsidR="00476011" w:rsidRPr="00242020" w:rsidTr="00E37DE1">
        <w:trPr>
          <w:trHeight w:val="315"/>
        </w:trPr>
        <w:tc>
          <w:tcPr>
            <w:tcW w:w="2160" w:type="dxa"/>
            <w:shd w:val="clear" w:color="auto" w:fill="D9D9D9" w:themeFill="background1" w:themeFillShade="D9"/>
            <w:noWrap/>
            <w:vAlign w:val="center"/>
          </w:tcPr>
          <w:p w:rsidR="00476011" w:rsidRPr="00242020" w:rsidRDefault="00476011" w:rsidP="00D2554D">
            <w:pPr>
              <w:ind w:firstLine="0"/>
              <w:jc w:val="right"/>
              <w:rPr>
                <w:sz w:val="22"/>
              </w:rPr>
            </w:pPr>
            <w:r w:rsidRPr="00242020">
              <w:rPr>
                <w:sz w:val="22"/>
              </w:rPr>
              <w:t>3000</w:t>
            </w:r>
          </w:p>
        </w:tc>
        <w:tc>
          <w:tcPr>
            <w:tcW w:w="1263" w:type="dxa"/>
            <w:shd w:val="clear" w:color="auto" w:fill="D9D9D9" w:themeFill="background1" w:themeFillShade="D9"/>
            <w:noWrap/>
            <w:vAlign w:val="center"/>
          </w:tcPr>
          <w:p w:rsidR="00476011" w:rsidRPr="00242020" w:rsidRDefault="00476011" w:rsidP="00476011">
            <w:pPr>
              <w:ind w:firstLine="0"/>
              <w:jc w:val="right"/>
              <w:rPr>
                <w:sz w:val="22"/>
              </w:rPr>
            </w:pPr>
            <w:r w:rsidRPr="00242020">
              <w:rPr>
                <w:sz w:val="22"/>
              </w:rPr>
              <w:t>10,00</w:t>
            </w:r>
          </w:p>
        </w:tc>
        <w:tc>
          <w:tcPr>
            <w:tcW w:w="1230" w:type="dxa"/>
            <w:shd w:val="clear" w:color="auto" w:fill="D9D9D9" w:themeFill="background1" w:themeFillShade="D9"/>
            <w:noWrap/>
            <w:vAlign w:val="center"/>
          </w:tcPr>
          <w:p w:rsidR="00476011" w:rsidRPr="00242020" w:rsidRDefault="00476011" w:rsidP="00476011">
            <w:pPr>
              <w:ind w:firstLine="0"/>
              <w:jc w:val="right"/>
              <w:rPr>
                <w:sz w:val="22"/>
              </w:rPr>
            </w:pPr>
            <w:r w:rsidRPr="00242020">
              <w:rPr>
                <w:sz w:val="22"/>
              </w:rPr>
              <w:t>9,00</w:t>
            </w:r>
          </w:p>
        </w:tc>
        <w:tc>
          <w:tcPr>
            <w:tcW w:w="1230" w:type="dxa"/>
            <w:shd w:val="clear" w:color="auto" w:fill="D9D9D9" w:themeFill="background1" w:themeFillShade="D9"/>
            <w:noWrap/>
            <w:vAlign w:val="center"/>
          </w:tcPr>
          <w:p w:rsidR="00476011" w:rsidRPr="00242020" w:rsidRDefault="00476011" w:rsidP="00476011">
            <w:pPr>
              <w:ind w:firstLine="0"/>
              <w:jc w:val="right"/>
              <w:rPr>
                <w:sz w:val="22"/>
              </w:rPr>
            </w:pPr>
            <w:r w:rsidRPr="00242020">
              <w:rPr>
                <w:sz w:val="22"/>
              </w:rPr>
              <w:t>30,00</w:t>
            </w:r>
          </w:p>
        </w:tc>
        <w:tc>
          <w:tcPr>
            <w:tcW w:w="1212" w:type="dxa"/>
            <w:shd w:val="clear" w:color="auto" w:fill="D9D9D9" w:themeFill="background1" w:themeFillShade="D9"/>
            <w:noWrap/>
            <w:vAlign w:val="center"/>
          </w:tcPr>
          <w:p w:rsidR="00476011" w:rsidRPr="00242020" w:rsidRDefault="00476011" w:rsidP="00476011">
            <w:pPr>
              <w:ind w:firstLine="0"/>
              <w:jc w:val="right"/>
              <w:rPr>
                <w:sz w:val="22"/>
              </w:rPr>
            </w:pPr>
            <w:r w:rsidRPr="00242020">
              <w:rPr>
                <w:sz w:val="22"/>
              </w:rPr>
              <w:t>13,15</w:t>
            </w:r>
          </w:p>
        </w:tc>
        <w:tc>
          <w:tcPr>
            <w:tcW w:w="1338" w:type="dxa"/>
            <w:shd w:val="clear" w:color="auto" w:fill="D9D9D9" w:themeFill="background1" w:themeFillShade="D9"/>
            <w:noWrap/>
            <w:vAlign w:val="center"/>
          </w:tcPr>
          <w:p w:rsidR="00476011" w:rsidRPr="00242020" w:rsidRDefault="00476011" w:rsidP="00476011">
            <w:pPr>
              <w:ind w:firstLine="0"/>
              <w:jc w:val="right"/>
              <w:rPr>
                <w:b/>
                <w:bCs/>
                <w:sz w:val="22"/>
              </w:rPr>
            </w:pPr>
            <w:r w:rsidRPr="00242020">
              <w:rPr>
                <w:b/>
                <w:bCs/>
                <w:sz w:val="22"/>
              </w:rPr>
              <w:t>40,00</w:t>
            </w:r>
          </w:p>
        </w:tc>
        <w:tc>
          <w:tcPr>
            <w:tcW w:w="1212" w:type="dxa"/>
            <w:shd w:val="clear" w:color="auto" w:fill="D9D9D9" w:themeFill="background1" w:themeFillShade="D9"/>
            <w:noWrap/>
            <w:vAlign w:val="center"/>
          </w:tcPr>
          <w:p w:rsidR="00476011" w:rsidRPr="00242020" w:rsidRDefault="00476011" w:rsidP="00476011">
            <w:pPr>
              <w:ind w:firstLine="0"/>
              <w:jc w:val="right"/>
              <w:rPr>
                <w:b/>
                <w:bCs/>
                <w:sz w:val="22"/>
              </w:rPr>
            </w:pPr>
            <w:r w:rsidRPr="00242020">
              <w:rPr>
                <w:b/>
                <w:bCs/>
                <w:sz w:val="22"/>
              </w:rPr>
              <w:t>22,15</w:t>
            </w:r>
          </w:p>
        </w:tc>
      </w:tr>
      <w:tr w:rsidR="00476011" w:rsidRPr="00242020" w:rsidTr="00E37DE1">
        <w:trPr>
          <w:trHeight w:val="315"/>
        </w:trPr>
        <w:tc>
          <w:tcPr>
            <w:tcW w:w="2160" w:type="dxa"/>
            <w:shd w:val="clear" w:color="auto" w:fill="auto"/>
            <w:noWrap/>
            <w:vAlign w:val="center"/>
          </w:tcPr>
          <w:p w:rsidR="00476011" w:rsidRPr="00242020" w:rsidRDefault="00476011" w:rsidP="00D2554D">
            <w:pPr>
              <w:ind w:firstLine="0"/>
              <w:jc w:val="right"/>
              <w:rPr>
                <w:sz w:val="22"/>
              </w:rPr>
            </w:pPr>
            <w:r w:rsidRPr="00242020">
              <w:rPr>
                <w:sz w:val="22"/>
              </w:rPr>
              <w:t>3110</w:t>
            </w:r>
          </w:p>
        </w:tc>
        <w:tc>
          <w:tcPr>
            <w:tcW w:w="1263" w:type="dxa"/>
            <w:shd w:val="clear" w:color="auto" w:fill="auto"/>
            <w:noWrap/>
            <w:vAlign w:val="center"/>
          </w:tcPr>
          <w:p w:rsidR="00476011" w:rsidRPr="00242020" w:rsidRDefault="00476011" w:rsidP="00476011">
            <w:pPr>
              <w:ind w:firstLine="0"/>
              <w:jc w:val="right"/>
              <w:rPr>
                <w:sz w:val="22"/>
              </w:rPr>
            </w:pPr>
            <w:r w:rsidRPr="00242020">
              <w:rPr>
                <w:sz w:val="22"/>
              </w:rPr>
              <w:t>10,00</w:t>
            </w:r>
          </w:p>
        </w:tc>
        <w:tc>
          <w:tcPr>
            <w:tcW w:w="1230" w:type="dxa"/>
            <w:shd w:val="clear" w:color="auto" w:fill="auto"/>
            <w:noWrap/>
            <w:vAlign w:val="center"/>
          </w:tcPr>
          <w:p w:rsidR="00476011" w:rsidRPr="00242020" w:rsidRDefault="00476011" w:rsidP="00476011">
            <w:pPr>
              <w:ind w:firstLine="0"/>
              <w:jc w:val="right"/>
              <w:rPr>
                <w:sz w:val="22"/>
              </w:rPr>
            </w:pPr>
            <w:r w:rsidRPr="00242020">
              <w:rPr>
                <w:sz w:val="22"/>
              </w:rPr>
              <w:t>9,00</w:t>
            </w:r>
          </w:p>
        </w:tc>
        <w:tc>
          <w:tcPr>
            <w:tcW w:w="1230" w:type="dxa"/>
            <w:shd w:val="clear" w:color="auto" w:fill="auto"/>
            <w:noWrap/>
            <w:vAlign w:val="center"/>
          </w:tcPr>
          <w:p w:rsidR="00476011" w:rsidRPr="00242020" w:rsidRDefault="00476011" w:rsidP="00476011">
            <w:pPr>
              <w:ind w:firstLine="0"/>
              <w:jc w:val="right"/>
              <w:rPr>
                <w:sz w:val="22"/>
              </w:rPr>
            </w:pPr>
            <w:r w:rsidRPr="00242020">
              <w:rPr>
                <w:sz w:val="22"/>
              </w:rPr>
              <w:t>30,00</w:t>
            </w:r>
          </w:p>
        </w:tc>
        <w:tc>
          <w:tcPr>
            <w:tcW w:w="1212" w:type="dxa"/>
            <w:shd w:val="clear" w:color="auto" w:fill="auto"/>
            <w:noWrap/>
            <w:vAlign w:val="center"/>
          </w:tcPr>
          <w:p w:rsidR="00476011" w:rsidRPr="00242020" w:rsidRDefault="00476011" w:rsidP="00476011">
            <w:pPr>
              <w:ind w:firstLine="0"/>
              <w:jc w:val="right"/>
              <w:rPr>
                <w:sz w:val="22"/>
              </w:rPr>
            </w:pPr>
            <w:r w:rsidRPr="00242020">
              <w:rPr>
                <w:sz w:val="22"/>
              </w:rPr>
              <w:t>1 315,00</w:t>
            </w:r>
          </w:p>
        </w:tc>
        <w:tc>
          <w:tcPr>
            <w:tcW w:w="1338" w:type="dxa"/>
            <w:shd w:val="clear" w:color="auto" w:fill="auto"/>
            <w:noWrap/>
            <w:vAlign w:val="center"/>
          </w:tcPr>
          <w:p w:rsidR="00476011" w:rsidRPr="00242020" w:rsidRDefault="00476011" w:rsidP="00476011">
            <w:pPr>
              <w:ind w:firstLine="0"/>
              <w:jc w:val="right"/>
              <w:rPr>
                <w:b/>
                <w:bCs/>
                <w:sz w:val="22"/>
              </w:rPr>
            </w:pPr>
            <w:r w:rsidRPr="00242020">
              <w:rPr>
                <w:b/>
                <w:bCs/>
                <w:sz w:val="22"/>
              </w:rPr>
              <w:t>40,00</w:t>
            </w:r>
          </w:p>
        </w:tc>
        <w:tc>
          <w:tcPr>
            <w:tcW w:w="1212" w:type="dxa"/>
            <w:shd w:val="clear" w:color="auto" w:fill="auto"/>
            <w:noWrap/>
            <w:vAlign w:val="center"/>
          </w:tcPr>
          <w:p w:rsidR="00476011" w:rsidRPr="00242020" w:rsidRDefault="00476011" w:rsidP="00476011">
            <w:pPr>
              <w:ind w:firstLine="0"/>
              <w:jc w:val="right"/>
              <w:rPr>
                <w:b/>
                <w:bCs/>
                <w:sz w:val="22"/>
              </w:rPr>
            </w:pPr>
            <w:r w:rsidRPr="00242020">
              <w:rPr>
                <w:b/>
                <w:bCs/>
                <w:sz w:val="22"/>
              </w:rPr>
              <w:t>1 324,00</w:t>
            </w:r>
          </w:p>
        </w:tc>
      </w:tr>
      <w:tr w:rsidR="00476011" w:rsidRPr="00242020" w:rsidTr="00E37DE1">
        <w:trPr>
          <w:trHeight w:val="315"/>
        </w:trPr>
        <w:tc>
          <w:tcPr>
            <w:tcW w:w="9645" w:type="dxa"/>
            <w:gridSpan w:val="7"/>
            <w:shd w:val="clear" w:color="auto" w:fill="D9D9D9" w:themeFill="background1" w:themeFillShade="D9"/>
            <w:noWrap/>
            <w:vAlign w:val="center"/>
          </w:tcPr>
          <w:p w:rsidR="00476011" w:rsidRPr="00242020" w:rsidRDefault="00476011" w:rsidP="00476011">
            <w:pPr>
              <w:ind w:firstLine="0"/>
              <w:rPr>
                <w:b/>
                <w:bCs/>
                <w:sz w:val="22"/>
              </w:rPr>
            </w:pPr>
            <w:r w:rsidRPr="00242020">
              <w:rPr>
                <w:b/>
                <w:bCs/>
                <w:sz w:val="22"/>
              </w:rPr>
              <w:t>6611020 «Заходи, пов’язані з проведенням приватизації державного майна»</w:t>
            </w:r>
          </w:p>
        </w:tc>
      </w:tr>
      <w:tr w:rsidR="00476011" w:rsidRPr="00242020" w:rsidTr="00E37DE1">
        <w:trPr>
          <w:trHeight w:val="315"/>
        </w:trPr>
        <w:tc>
          <w:tcPr>
            <w:tcW w:w="2160" w:type="dxa"/>
            <w:shd w:val="clear" w:color="auto" w:fill="auto"/>
            <w:noWrap/>
            <w:vAlign w:val="center"/>
          </w:tcPr>
          <w:p w:rsidR="00476011" w:rsidRPr="00242020" w:rsidRDefault="00476011" w:rsidP="00E37DE1">
            <w:pPr>
              <w:ind w:firstLine="0"/>
              <w:jc w:val="right"/>
              <w:rPr>
                <w:b/>
                <w:bCs/>
                <w:sz w:val="22"/>
              </w:rPr>
            </w:pPr>
            <w:r w:rsidRPr="00242020">
              <w:rPr>
                <w:b/>
                <w:bCs/>
                <w:sz w:val="22"/>
              </w:rPr>
              <w:t>Всього</w:t>
            </w:r>
          </w:p>
        </w:tc>
        <w:tc>
          <w:tcPr>
            <w:tcW w:w="1263" w:type="dxa"/>
            <w:shd w:val="clear" w:color="auto" w:fill="auto"/>
            <w:noWrap/>
            <w:vAlign w:val="center"/>
          </w:tcPr>
          <w:p w:rsidR="00476011" w:rsidRPr="00242020" w:rsidRDefault="00476011" w:rsidP="00476011">
            <w:pPr>
              <w:ind w:firstLine="0"/>
              <w:jc w:val="right"/>
              <w:rPr>
                <w:b/>
                <w:bCs/>
                <w:sz w:val="22"/>
              </w:rPr>
            </w:pPr>
            <w:r w:rsidRPr="00242020">
              <w:rPr>
                <w:b/>
                <w:bCs/>
                <w:sz w:val="22"/>
              </w:rPr>
              <w:t>20 000,00</w:t>
            </w:r>
          </w:p>
        </w:tc>
        <w:tc>
          <w:tcPr>
            <w:tcW w:w="1230" w:type="dxa"/>
            <w:shd w:val="clear" w:color="auto" w:fill="auto"/>
            <w:noWrap/>
            <w:vAlign w:val="center"/>
          </w:tcPr>
          <w:p w:rsidR="00476011" w:rsidRPr="00242020" w:rsidRDefault="00476011" w:rsidP="00476011">
            <w:pPr>
              <w:ind w:firstLine="0"/>
              <w:jc w:val="right"/>
              <w:rPr>
                <w:b/>
                <w:bCs/>
                <w:sz w:val="22"/>
              </w:rPr>
            </w:pPr>
            <w:r w:rsidRPr="00242020">
              <w:rPr>
                <w:b/>
                <w:bCs/>
                <w:sz w:val="22"/>
              </w:rPr>
              <w:t>11 317,18</w:t>
            </w:r>
          </w:p>
        </w:tc>
        <w:tc>
          <w:tcPr>
            <w:tcW w:w="1230" w:type="dxa"/>
            <w:shd w:val="clear" w:color="auto" w:fill="auto"/>
            <w:noWrap/>
            <w:vAlign w:val="center"/>
          </w:tcPr>
          <w:p w:rsidR="00476011" w:rsidRPr="00242020" w:rsidRDefault="00476011" w:rsidP="00476011">
            <w:pPr>
              <w:ind w:firstLine="0"/>
              <w:jc w:val="right"/>
              <w:rPr>
                <w:sz w:val="22"/>
              </w:rPr>
            </w:pPr>
            <w:r w:rsidRPr="00242020">
              <w:rPr>
                <w:sz w:val="22"/>
              </w:rPr>
              <w:t> </w:t>
            </w:r>
          </w:p>
        </w:tc>
        <w:tc>
          <w:tcPr>
            <w:tcW w:w="1212" w:type="dxa"/>
            <w:shd w:val="clear" w:color="auto" w:fill="auto"/>
            <w:noWrap/>
            <w:vAlign w:val="center"/>
          </w:tcPr>
          <w:p w:rsidR="00476011" w:rsidRPr="00242020" w:rsidRDefault="00476011" w:rsidP="00476011">
            <w:pPr>
              <w:ind w:firstLine="0"/>
              <w:jc w:val="right"/>
              <w:rPr>
                <w:sz w:val="22"/>
              </w:rPr>
            </w:pPr>
            <w:r w:rsidRPr="00242020">
              <w:rPr>
                <w:sz w:val="22"/>
              </w:rPr>
              <w:t> </w:t>
            </w:r>
          </w:p>
        </w:tc>
        <w:tc>
          <w:tcPr>
            <w:tcW w:w="1338" w:type="dxa"/>
            <w:shd w:val="clear" w:color="auto" w:fill="auto"/>
            <w:noWrap/>
            <w:vAlign w:val="center"/>
          </w:tcPr>
          <w:p w:rsidR="00476011" w:rsidRPr="00242020" w:rsidRDefault="00476011" w:rsidP="00476011">
            <w:pPr>
              <w:ind w:firstLine="0"/>
              <w:jc w:val="right"/>
              <w:rPr>
                <w:b/>
                <w:bCs/>
                <w:sz w:val="22"/>
              </w:rPr>
            </w:pPr>
            <w:r w:rsidRPr="00242020">
              <w:rPr>
                <w:b/>
                <w:bCs/>
                <w:sz w:val="22"/>
              </w:rPr>
              <w:t>20 000,00</w:t>
            </w:r>
          </w:p>
        </w:tc>
        <w:tc>
          <w:tcPr>
            <w:tcW w:w="1212" w:type="dxa"/>
            <w:shd w:val="clear" w:color="auto" w:fill="auto"/>
            <w:noWrap/>
            <w:vAlign w:val="center"/>
          </w:tcPr>
          <w:p w:rsidR="00476011" w:rsidRPr="00242020" w:rsidRDefault="00476011" w:rsidP="00476011">
            <w:pPr>
              <w:ind w:firstLine="0"/>
              <w:jc w:val="right"/>
              <w:rPr>
                <w:b/>
                <w:bCs/>
                <w:sz w:val="22"/>
              </w:rPr>
            </w:pPr>
            <w:r w:rsidRPr="00242020">
              <w:rPr>
                <w:b/>
                <w:bCs/>
                <w:sz w:val="22"/>
              </w:rPr>
              <w:t>11 317,18</w:t>
            </w:r>
          </w:p>
        </w:tc>
      </w:tr>
      <w:tr w:rsidR="00476011" w:rsidRPr="00242020" w:rsidTr="00E37DE1">
        <w:trPr>
          <w:trHeight w:val="315"/>
        </w:trPr>
        <w:tc>
          <w:tcPr>
            <w:tcW w:w="2160" w:type="dxa"/>
            <w:shd w:val="clear" w:color="auto" w:fill="D9D9D9" w:themeFill="background1" w:themeFillShade="D9"/>
            <w:noWrap/>
            <w:vAlign w:val="center"/>
          </w:tcPr>
          <w:p w:rsidR="00476011" w:rsidRPr="00242020" w:rsidRDefault="00476011" w:rsidP="00E37DE1">
            <w:pPr>
              <w:jc w:val="right"/>
              <w:rPr>
                <w:sz w:val="22"/>
              </w:rPr>
            </w:pPr>
            <w:r w:rsidRPr="00242020">
              <w:rPr>
                <w:sz w:val="22"/>
              </w:rPr>
              <w:t>2000</w:t>
            </w:r>
          </w:p>
        </w:tc>
        <w:tc>
          <w:tcPr>
            <w:tcW w:w="1263" w:type="dxa"/>
            <w:shd w:val="clear" w:color="auto" w:fill="D9D9D9" w:themeFill="background1" w:themeFillShade="D9"/>
            <w:noWrap/>
            <w:vAlign w:val="center"/>
          </w:tcPr>
          <w:p w:rsidR="00476011" w:rsidRPr="00242020" w:rsidRDefault="00476011" w:rsidP="00E37DE1">
            <w:pPr>
              <w:ind w:firstLine="0"/>
              <w:jc w:val="right"/>
              <w:rPr>
                <w:sz w:val="22"/>
              </w:rPr>
            </w:pPr>
            <w:r w:rsidRPr="00242020">
              <w:rPr>
                <w:sz w:val="22"/>
              </w:rPr>
              <w:t>20 000,00</w:t>
            </w:r>
          </w:p>
        </w:tc>
        <w:tc>
          <w:tcPr>
            <w:tcW w:w="1230" w:type="dxa"/>
            <w:shd w:val="clear" w:color="auto" w:fill="D9D9D9" w:themeFill="background1" w:themeFillShade="D9"/>
            <w:noWrap/>
            <w:vAlign w:val="center"/>
          </w:tcPr>
          <w:p w:rsidR="00476011" w:rsidRPr="00242020" w:rsidRDefault="00476011" w:rsidP="00E37DE1">
            <w:pPr>
              <w:ind w:firstLine="0"/>
              <w:jc w:val="right"/>
              <w:rPr>
                <w:sz w:val="22"/>
              </w:rPr>
            </w:pPr>
            <w:r w:rsidRPr="00242020">
              <w:rPr>
                <w:sz w:val="22"/>
              </w:rPr>
              <w:t>11 317,18</w:t>
            </w:r>
          </w:p>
        </w:tc>
        <w:tc>
          <w:tcPr>
            <w:tcW w:w="1230" w:type="dxa"/>
            <w:shd w:val="clear" w:color="auto" w:fill="D9D9D9" w:themeFill="background1" w:themeFillShade="D9"/>
            <w:noWrap/>
            <w:vAlign w:val="center"/>
          </w:tcPr>
          <w:p w:rsidR="00476011" w:rsidRPr="00242020" w:rsidRDefault="00476011" w:rsidP="00E37DE1">
            <w:pPr>
              <w:ind w:firstLine="0"/>
              <w:jc w:val="right"/>
              <w:rPr>
                <w:sz w:val="22"/>
              </w:rPr>
            </w:pPr>
            <w:r w:rsidRPr="00242020">
              <w:rPr>
                <w:sz w:val="22"/>
              </w:rPr>
              <w:t> </w:t>
            </w:r>
          </w:p>
        </w:tc>
        <w:tc>
          <w:tcPr>
            <w:tcW w:w="1212" w:type="dxa"/>
            <w:shd w:val="clear" w:color="auto" w:fill="D9D9D9" w:themeFill="background1" w:themeFillShade="D9"/>
            <w:noWrap/>
            <w:vAlign w:val="center"/>
          </w:tcPr>
          <w:p w:rsidR="00476011" w:rsidRPr="00242020" w:rsidRDefault="00476011" w:rsidP="00E37DE1">
            <w:pPr>
              <w:ind w:firstLine="0"/>
              <w:jc w:val="right"/>
              <w:rPr>
                <w:sz w:val="22"/>
              </w:rPr>
            </w:pPr>
            <w:r w:rsidRPr="00242020">
              <w:rPr>
                <w:sz w:val="22"/>
              </w:rPr>
              <w:t> </w:t>
            </w:r>
          </w:p>
        </w:tc>
        <w:tc>
          <w:tcPr>
            <w:tcW w:w="1338" w:type="dxa"/>
            <w:shd w:val="clear" w:color="auto" w:fill="D9D9D9" w:themeFill="background1" w:themeFillShade="D9"/>
            <w:noWrap/>
            <w:vAlign w:val="center"/>
          </w:tcPr>
          <w:p w:rsidR="00476011" w:rsidRPr="00242020" w:rsidRDefault="00476011" w:rsidP="00E37DE1">
            <w:pPr>
              <w:ind w:firstLine="0"/>
              <w:jc w:val="right"/>
              <w:rPr>
                <w:b/>
                <w:bCs/>
                <w:sz w:val="22"/>
              </w:rPr>
            </w:pPr>
            <w:r w:rsidRPr="00242020">
              <w:rPr>
                <w:b/>
                <w:bCs/>
                <w:sz w:val="22"/>
              </w:rPr>
              <w:t>20 000,00</w:t>
            </w:r>
          </w:p>
        </w:tc>
        <w:tc>
          <w:tcPr>
            <w:tcW w:w="1212" w:type="dxa"/>
            <w:shd w:val="clear" w:color="auto" w:fill="D9D9D9" w:themeFill="background1" w:themeFillShade="D9"/>
            <w:noWrap/>
            <w:vAlign w:val="center"/>
          </w:tcPr>
          <w:p w:rsidR="00476011" w:rsidRPr="00242020" w:rsidRDefault="00476011" w:rsidP="00E37DE1">
            <w:pPr>
              <w:ind w:firstLine="0"/>
              <w:jc w:val="right"/>
              <w:rPr>
                <w:b/>
                <w:bCs/>
                <w:sz w:val="22"/>
              </w:rPr>
            </w:pPr>
            <w:r w:rsidRPr="00242020">
              <w:rPr>
                <w:b/>
                <w:bCs/>
                <w:sz w:val="22"/>
              </w:rPr>
              <w:t>11 317,18</w:t>
            </w:r>
          </w:p>
        </w:tc>
      </w:tr>
      <w:tr w:rsidR="00476011" w:rsidRPr="00242020" w:rsidTr="00E37DE1">
        <w:trPr>
          <w:trHeight w:val="315"/>
        </w:trPr>
        <w:tc>
          <w:tcPr>
            <w:tcW w:w="2160" w:type="dxa"/>
            <w:shd w:val="clear" w:color="auto" w:fill="auto"/>
            <w:noWrap/>
            <w:vAlign w:val="center"/>
          </w:tcPr>
          <w:p w:rsidR="00476011" w:rsidRPr="00242020" w:rsidRDefault="00476011" w:rsidP="00E37DE1">
            <w:pPr>
              <w:jc w:val="right"/>
              <w:rPr>
                <w:sz w:val="22"/>
              </w:rPr>
            </w:pPr>
            <w:r w:rsidRPr="00242020">
              <w:rPr>
                <w:sz w:val="22"/>
              </w:rPr>
              <w:t>2210</w:t>
            </w:r>
          </w:p>
        </w:tc>
        <w:tc>
          <w:tcPr>
            <w:tcW w:w="1263" w:type="dxa"/>
            <w:shd w:val="clear" w:color="auto" w:fill="auto"/>
            <w:noWrap/>
            <w:vAlign w:val="center"/>
          </w:tcPr>
          <w:p w:rsidR="00476011" w:rsidRPr="00242020" w:rsidRDefault="00476011" w:rsidP="00E37DE1">
            <w:pPr>
              <w:ind w:firstLine="0"/>
              <w:jc w:val="right"/>
              <w:rPr>
                <w:sz w:val="22"/>
              </w:rPr>
            </w:pPr>
            <w:r w:rsidRPr="00242020">
              <w:rPr>
                <w:sz w:val="22"/>
              </w:rPr>
              <w:t>350,00</w:t>
            </w:r>
          </w:p>
        </w:tc>
        <w:tc>
          <w:tcPr>
            <w:tcW w:w="1230" w:type="dxa"/>
            <w:shd w:val="clear" w:color="auto" w:fill="auto"/>
            <w:noWrap/>
            <w:vAlign w:val="center"/>
          </w:tcPr>
          <w:p w:rsidR="00476011" w:rsidRPr="00242020" w:rsidRDefault="00476011" w:rsidP="00E37DE1">
            <w:pPr>
              <w:ind w:firstLine="0"/>
              <w:jc w:val="right"/>
              <w:rPr>
                <w:sz w:val="22"/>
              </w:rPr>
            </w:pPr>
            <w:r w:rsidRPr="00242020">
              <w:rPr>
                <w:sz w:val="22"/>
              </w:rPr>
              <w:t>255,62</w:t>
            </w:r>
          </w:p>
        </w:tc>
        <w:tc>
          <w:tcPr>
            <w:tcW w:w="1230" w:type="dxa"/>
            <w:shd w:val="clear" w:color="auto" w:fill="auto"/>
            <w:noWrap/>
            <w:vAlign w:val="center"/>
          </w:tcPr>
          <w:p w:rsidR="00476011" w:rsidRPr="00242020" w:rsidRDefault="00476011" w:rsidP="00E37DE1">
            <w:pPr>
              <w:ind w:firstLine="0"/>
              <w:jc w:val="right"/>
              <w:rPr>
                <w:sz w:val="22"/>
              </w:rPr>
            </w:pPr>
            <w:r w:rsidRPr="00242020">
              <w:rPr>
                <w:sz w:val="22"/>
              </w:rPr>
              <w:t> </w:t>
            </w:r>
          </w:p>
        </w:tc>
        <w:tc>
          <w:tcPr>
            <w:tcW w:w="1212" w:type="dxa"/>
            <w:shd w:val="clear" w:color="auto" w:fill="auto"/>
            <w:noWrap/>
            <w:vAlign w:val="center"/>
          </w:tcPr>
          <w:p w:rsidR="00476011" w:rsidRPr="00242020" w:rsidRDefault="00476011" w:rsidP="00E37DE1">
            <w:pPr>
              <w:ind w:firstLine="0"/>
              <w:jc w:val="right"/>
              <w:rPr>
                <w:sz w:val="22"/>
              </w:rPr>
            </w:pPr>
            <w:r w:rsidRPr="00242020">
              <w:rPr>
                <w:sz w:val="22"/>
              </w:rPr>
              <w:t> </w:t>
            </w:r>
          </w:p>
        </w:tc>
        <w:tc>
          <w:tcPr>
            <w:tcW w:w="1338" w:type="dxa"/>
            <w:shd w:val="clear" w:color="auto" w:fill="auto"/>
            <w:noWrap/>
            <w:vAlign w:val="center"/>
          </w:tcPr>
          <w:p w:rsidR="00476011" w:rsidRPr="00242020" w:rsidRDefault="00476011" w:rsidP="00E37DE1">
            <w:pPr>
              <w:ind w:firstLine="0"/>
              <w:jc w:val="right"/>
              <w:rPr>
                <w:b/>
                <w:bCs/>
                <w:sz w:val="22"/>
              </w:rPr>
            </w:pPr>
            <w:r w:rsidRPr="00242020">
              <w:rPr>
                <w:b/>
                <w:bCs/>
                <w:sz w:val="22"/>
              </w:rPr>
              <w:t>350,00</w:t>
            </w:r>
          </w:p>
        </w:tc>
        <w:tc>
          <w:tcPr>
            <w:tcW w:w="1212" w:type="dxa"/>
            <w:shd w:val="clear" w:color="auto" w:fill="auto"/>
            <w:noWrap/>
            <w:vAlign w:val="center"/>
          </w:tcPr>
          <w:p w:rsidR="00476011" w:rsidRPr="00242020" w:rsidRDefault="00476011" w:rsidP="00E37DE1">
            <w:pPr>
              <w:ind w:firstLine="0"/>
              <w:jc w:val="right"/>
              <w:rPr>
                <w:b/>
                <w:bCs/>
                <w:sz w:val="22"/>
              </w:rPr>
            </w:pPr>
            <w:r w:rsidRPr="00242020">
              <w:rPr>
                <w:b/>
                <w:bCs/>
                <w:sz w:val="22"/>
              </w:rPr>
              <w:t>255,62</w:t>
            </w:r>
          </w:p>
        </w:tc>
      </w:tr>
      <w:tr w:rsidR="00476011" w:rsidRPr="00242020" w:rsidTr="00E37DE1">
        <w:trPr>
          <w:trHeight w:val="315"/>
        </w:trPr>
        <w:tc>
          <w:tcPr>
            <w:tcW w:w="2160" w:type="dxa"/>
            <w:shd w:val="clear" w:color="auto" w:fill="D9D9D9" w:themeFill="background1" w:themeFillShade="D9"/>
            <w:noWrap/>
            <w:vAlign w:val="center"/>
          </w:tcPr>
          <w:p w:rsidR="00476011" w:rsidRPr="00242020" w:rsidRDefault="00476011" w:rsidP="00E37DE1">
            <w:pPr>
              <w:jc w:val="right"/>
              <w:rPr>
                <w:sz w:val="22"/>
              </w:rPr>
            </w:pPr>
            <w:r w:rsidRPr="00242020">
              <w:rPr>
                <w:sz w:val="22"/>
              </w:rPr>
              <w:t>2240</w:t>
            </w:r>
          </w:p>
        </w:tc>
        <w:tc>
          <w:tcPr>
            <w:tcW w:w="1263" w:type="dxa"/>
            <w:shd w:val="clear" w:color="auto" w:fill="D9D9D9" w:themeFill="background1" w:themeFillShade="D9"/>
            <w:noWrap/>
            <w:vAlign w:val="center"/>
          </w:tcPr>
          <w:p w:rsidR="00476011" w:rsidRPr="00242020" w:rsidRDefault="00476011" w:rsidP="00E37DE1">
            <w:pPr>
              <w:ind w:firstLine="0"/>
              <w:jc w:val="right"/>
              <w:rPr>
                <w:sz w:val="22"/>
              </w:rPr>
            </w:pPr>
            <w:r w:rsidRPr="00242020">
              <w:rPr>
                <w:sz w:val="22"/>
              </w:rPr>
              <w:t>16 488,44</w:t>
            </w:r>
          </w:p>
        </w:tc>
        <w:tc>
          <w:tcPr>
            <w:tcW w:w="1230" w:type="dxa"/>
            <w:shd w:val="clear" w:color="auto" w:fill="D9D9D9" w:themeFill="background1" w:themeFillShade="D9"/>
            <w:noWrap/>
            <w:vAlign w:val="center"/>
          </w:tcPr>
          <w:p w:rsidR="00476011" w:rsidRPr="00242020" w:rsidRDefault="00476011" w:rsidP="00E37DE1">
            <w:pPr>
              <w:ind w:firstLine="0"/>
              <w:jc w:val="right"/>
              <w:rPr>
                <w:sz w:val="22"/>
              </w:rPr>
            </w:pPr>
            <w:r w:rsidRPr="00242020">
              <w:rPr>
                <w:sz w:val="22"/>
              </w:rPr>
              <w:t>8 457,24</w:t>
            </w:r>
          </w:p>
        </w:tc>
        <w:tc>
          <w:tcPr>
            <w:tcW w:w="1230" w:type="dxa"/>
            <w:shd w:val="clear" w:color="auto" w:fill="D9D9D9" w:themeFill="background1" w:themeFillShade="D9"/>
            <w:noWrap/>
            <w:vAlign w:val="center"/>
          </w:tcPr>
          <w:p w:rsidR="00476011" w:rsidRPr="00242020" w:rsidRDefault="00476011" w:rsidP="00E37DE1">
            <w:pPr>
              <w:ind w:firstLine="0"/>
              <w:jc w:val="right"/>
              <w:rPr>
                <w:sz w:val="22"/>
              </w:rPr>
            </w:pPr>
            <w:r w:rsidRPr="00242020">
              <w:rPr>
                <w:sz w:val="22"/>
              </w:rPr>
              <w:t> </w:t>
            </w:r>
          </w:p>
        </w:tc>
        <w:tc>
          <w:tcPr>
            <w:tcW w:w="1212" w:type="dxa"/>
            <w:shd w:val="clear" w:color="auto" w:fill="D9D9D9" w:themeFill="background1" w:themeFillShade="D9"/>
            <w:noWrap/>
            <w:vAlign w:val="center"/>
          </w:tcPr>
          <w:p w:rsidR="00476011" w:rsidRPr="00242020" w:rsidRDefault="00476011" w:rsidP="00E37DE1">
            <w:pPr>
              <w:ind w:firstLine="0"/>
              <w:jc w:val="right"/>
              <w:rPr>
                <w:sz w:val="22"/>
              </w:rPr>
            </w:pPr>
            <w:r w:rsidRPr="00242020">
              <w:rPr>
                <w:sz w:val="22"/>
              </w:rPr>
              <w:t> </w:t>
            </w:r>
          </w:p>
        </w:tc>
        <w:tc>
          <w:tcPr>
            <w:tcW w:w="1338" w:type="dxa"/>
            <w:shd w:val="clear" w:color="auto" w:fill="D9D9D9" w:themeFill="background1" w:themeFillShade="D9"/>
            <w:noWrap/>
            <w:vAlign w:val="center"/>
          </w:tcPr>
          <w:p w:rsidR="00476011" w:rsidRPr="00242020" w:rsidRDefault="00476011" w:rsidP="00E37DE1">
            <w:pPr>
              <w:ind w:firstLine="0"/>
              <w:jc w:val="right"/>
              <w:rPr>
                <w:b/>
                <w:bCs/>
                <w:sz w:val="22"/>
              </w:rPr>
            </w:pPr>
            <w:r w:rsidRPr="00242020">
              <w:rPr>
                <w:b/>
                <w:bCs/>
                <w:sz w:val="22"/>
              </w:rPr>
              <w:t>16 488,44</w:t>
            </w:r>
          </w:p>
        </w:tc>
        <w:tc>
          <w:tcPr>
            <w:tcW w:w="1212" w:type="dxa"/>
            <w:shd w:val="clear" w:color="auto" w:fill="D9D9D9" w:themeFill="background1" w:themeFillShade="D9"/>
            <w:noWrap/>
            <w:vAlign w:val="center"/>
          </w:tcPr>
          <w:p w:rsidR="00476011" w:rsidRPr="00242020" w:rsidRDefault="00476011" w:rsidP="00E37DE1">
            <w:pPr>
              <w:ind w:firstLine="0"/>
              <w:jc w:val="right"/>
              <w:rPr>
                <w:b/>
                <w:bCs/>
                <w:sz w:val="22"/>
              </w:rPr>
            </w:pPr>
            <w:r w:rsidRPr="00242020">
              <w:rPr>
                <w:b/>
                <w:bCs/>
                <w:sz w:val="22"/>
              </w:rPr>
              <w:t>8 457,24</w:t>
            </w:r>
          </w:p>
        </w:tc>
      </w:tr>
      <w:tr w:rsidR="00476011" w:rsidRPr="00242020" w:rsidTr="00E37DE1">
        <w:trPr>
          <w:trHeight w:val="315"/>
        </w:trPr>
        <w:tc>
          <w:tcPr>
            <w:tcW w:w="2160" w:type="dxa"/>
            <w:shd w:val="clear" w:color="auto" w:fill="auto"/>
            <w:noWrap/>
            <w:vAlign w:val="center"/>
          </w:tcPr>
          <w:p w:rsidR="00476011" w:rsidRPr="00242020" w:rsidRDefault="00476011" w:rsidP="00E37DE1">
            <w:pPr>
              <w:jc w:val="right"/>
              <w:rPr>
                <w:sz w:val="22"/>
              </w:rPr>
            </w:pPr>
            <w:r w:rsidRPr="00242020">
              <w:rPr>
                <w:sz w:val="22"/>
              </w:rPr>
              <w:t>2282</w:t>
            </w:r>
          </w:p>
        </w:tc>
        <w:tc>
          <w:tcPr>
            <w:tcW w:w="1263" w:type="dxa"/>
            <w:shd w:val="clear" w:color="auto" w:fill="auto"/>
            <w:noWrap/>
            <w:vAlign w:val="center"/>
          </w:tcPr>
          <w:p w:rsidR="00476011" w:rsidRPr="00242020" w:rsidRDefault="00476011" w:rsidP="00E37DE1">
            <w:pPr>
              <w:ind w:firstLine="0"/>
              <w:jc w:val="right"/>
              <w:rPr>
                <w:sz w:val="22"/>
              </w:rPr>
            </w:pPr>
            <w:r w:rsidRPr="00242020">
              <w:rPr>
                <w:sz w:val="22"/>
              </w:rPr>
              <w:t>350,15</w:t>
            </w:r>
          </w:p>
        </w:tc>
        <w:tc>
          <w:tcPr>
            <w:tcW w:w="1230" w:type="dxa"/>
            <w:shd w:val="clear" w:color="auto" w:fill="auto"/>
            <w:noWrap/>
            <w:vAlign w:val="center"/>
          </w:tcPr>
          <w:p w:rsidR="00476011" w:rsidRPr="00242020" w:rsidRDefault="00476011" w:rsidP="00E37DE1">
            <w:pPr>
              <w:ind w:firstLine="0"/>
              <w:jc w:val="right"/>
              <w:rPr>
                <w:sz w:val="22"/>
              </w:rPr>
            </w:pPr>
            <w:r w:rsidRPr="00242020">
              <w:rPr>
                <w:sz w:val="22"/>
              </w:rPr>
              <w:t>261,74</w:t>
            </w:r>
          </w:p>
        </w:tc>
        <w:tc>
          <w:tcPr>
            <w:tcW w:w="1230" w:type="dxa"/>
            <w:shd w:val="clear" w:color="auto" w:fill="auto"/>
            <w:noWrap/>
            <w:vAlign w:val="center"/>
          </w:tcPr>
          <w:p w:rsidR="00476011" w:rsidRPr="00242020" w:rsidRDefault="00476011" w:rsidP="00E37DE1">
            <w:pPr>
              <w:ind w:firstLine="0"/>
              <w:jc w:val="right"/>
              <w:rPr>
                <w:sz w:val="22"/>
              </w:rPr>
            </w:pPr>
            <w:r w:rsidRPr="00242020">
              <w:rPr>
                <w:sz w:val="22"/>
              </w:rPr>
              <w:t> </w:t>
            </w:r>
          </w:p>
        </w:tc>
        <w:tc>
          <w:tcPr>
            <w:tcW w:w="1212" w:type="dxa"/>
            <w:shd w:val="clear" w:color="auto" w:fill="auto"/>
            <w:noWrap/>
            <w:vAlign w:val="center"/>
          </w:tcPr>
          <w:p w:rsidR="00476011" w:rsidRPr="00242020" w:rsidRDefault="00476011" w:rsidP="00E37DE1">
            <w:pPr>
              <w:ind w:firstLine="0"/>
              <w:jc w:val="right"/>
              <w:rPr>
                <w:sz w:val="22"/>
              </w:rPr>
            </w:pPr>
            <w:r w:rsidRPr="00242020">
              <w:rPr>
                <w:sz w:val="22"/>
              </w:rPr>
              <w:t> </w:t>
            </w:r>
          </w:p>
        </w:tc>
        <w:tc>
          <w:tcPr>
            <w:tcW w:w="1338" w:type="dxa"/>
            <w:shd w:val="clear" w:color="auto" w:fill="auto"/>
            <w:noWrap/>
            <w:vAlign w:val="center"/>
          </w:tcPr>
          <w:p w:rsidR="00476011" w:rsidRPr="00242020" w:rsidRDefault="00476011" w:rsidP="00E37DE1">
            <w:pPr>
              <w:ind w:firstLine="0"/>
              <w:jc w:val="right"/>
              <w:rPr>
                <w:b/>
                <w:bCs/>
                <w:sz w:val="22"/>
              </w:rPr>
            </w:pPr>
            <w:r w:rsidRPr="00242020">
              <w:rPr>
                <w:b/>
                <w:bCs/>
                <w:sz w:val="22"/>
              </w:rPr>
              <w:t>350,15</w:t>
            </w:r>
          </w:p>
        </w:tc>
        <w:tc>
          <w:tcPr>
            <w:tcW w:w="1212" w:type="dxa"/>
            <w:shd w:val="clear" w:color="auto" w:fill="auto"/>
            <w:noWrap/>
            <w:vAlign w:val="center"/>
          </w:tcPr>
          <w:p w:rsidR="00476011" w:rsidRPr="00242020" w:rsidRDefault="00476011" w:rsidP="00E37DE1">
            <w:pPr>
              <w:ind w:firstLine="0"/>
              <w:jc w:val="right"/>
              <w:rPr>
                <w:b/>
                <w:bCs/>
                <w:sz w:val="22"/>
              </w:rPr>
            </w:pPr>
            <w:r w:rsidRPr="00242020">
              <w:rPr>
                <w:b/>
                <w:bCs/>
                <w:sz w:val="22"/>
              </w:rPr>
              <w:t>261,74</w:t>
            </w:r>
          </w:p>
        </w:tc>
      </w:tr>
      <w:tr w:rsidR="00476011" w:rsidRPr="00242020" w:rsidTr="00E37DE1">
        <w:trPr>
          <w:trHeight w:val="315"/>
        </w:trPr>
        <w:tc>
          <w:tcPr>
            <w:tcW w:w="2160" w:type="dxa"/>
            <w:shd w:val="clear" w:color="auto" w:fill="D9D9D9" w:themeFill="background1" w:themeFillShade="D9"/>
            <w:noWrap/>
            <w:vAlign w:val="center"/>
          </w:tcPr>
          <w:p w:rsidR="00476011" w:rsidRPr="00242020" w:rsidRDefault="00476011" w:rsidP="00E37DE1">
            <w:pPr>
              <w:jc w:val="right"/>
              <w:rPr>
                <w:sz w:val="22"/>
              </w:rPr>
            </w:pPr>
            <w:r w:rsidRPr="00242020">
              <w:rPr>
                <w:sz w:val="22"/>
              </w:rPr>
              <w:t>2800</w:t>
            </w:r>
          </w:p>
        </w:tc>
        <w:tc>
          <w:tcPr>
            <w:tcW w:w="1263" w:type="dxa"/>
            <w:shd w:val="clear" w:color="auto" w:fill="D9D9D9" w:themeFill="background1" w:themeFillShade="D9"/>
            <w:noWrap/>
            <w:vAlign w:val="center"/>
          </w:tcPr>
          <w:p w:rsidR="00476011" w:rsidRPr="00242020" w:rsidRDefault="00476011" w:rsidP="00E37DE1">
            <w:pPr>
              <w:ind w:firstLine="0"/>
              <w:jc w:val="right"/>
              <w:rPr>
                <w:sz w:val="22"/>
              </w:rPr>
            </w:pPr>
            <w:r w:rsidRPr="00242020">
              <w:rPr>
                <w:sz w:val="22"/>
              </w:rPr>
              <w:t>2 811,41</w:t>
            </w:r>
          </w:p>
        </w:tc>
        <w:tc>
          <w:tcPr>
            <w:tcW w:w="1230" w:type="dxa"/>
            <w:shd w:val="clear" w:color="auto" w:fill="D9D9D9" w:themeFill="background1" w:themeFillShade="D9"/>
            <w:noWrap/>
            <w:vAlign w:val="center"/>
          </w:tcPr>
          <w:p w:rsidR="00476011" w:rsidRPr="00242020" w:rsidRDefault="00476011" w:rsidP="00E37DE1">
            <w:pPr>
              <w:ind w:firstLine="0"/>
              <w:jc w:val="right"/>
              <w:rPr>
                <w:sz w:val="22"/>
              </w:rPr>
            </w:pPr>
            <w:r w:rsidRPr="00242020">
              <w:rPr>
                <w:sz w:val="22"/>
              </w:rPr>
              <w:t>2 342,58</w:t>
            </w:r>
          </w:p>
        </w:tc>
        <w:tc>
          <w:tcPr>
            <w:tcW w:w="1230" w:type="dxa"/>
            <w:shd w:val="clear" w:color="auto" w:fill="D9D9D9" w:themeFill="background1" w:themeFillShade="D9"/>
            <w:noWrap/>
            <w:vAlign w:val="center"/>
          </w:tcPr>
          <w:p w:rsidR="00476011" w:rsidRPr="00242020" w:rsidRDefault="00476011" w:rsidP="00E37DE1">
            <w:pPr>
              <w:ind w:firstLine="0"/>
              <w:jc w:val="right"/>
              <w:rPr>
                <w:sz w:val="22"/>
              </w:rPr>
            </w:pPr>
            <w:r w:rsidRPr="00242020">
              <w:rPr>
                <w:sz w:val="22"/>
              </w:rPr>
              <w:t> </w:t>
            </w:r>
          </w:p>
        </w:tc>
        <w:tc>
          <w:tcPr>
            <w:tcW w:w="1212" w:type="dxa"/>
            <w:shd w:val="clear" w:color="auto" w:fill="D9D9D9" w:themeFill="background1" w:themeFillShade="D9"/>
            <w:noWrap/>
            <w:vAlign w:val="center"/>
          </w:tcPr>
          <w:p w:rsidR="00476011" w:rsidRPr="00242020" w:rsidRDefault="00476011" w:rsidP="00E37DE1">
            <w:pPr>
              <w:ind w:firstLine="0"/>
              <w:jc w:val="right"/>
              <w:rPr>
                <w:sz w:val="22"/>
              </w:rPr>
            </w:pPr>
            <w:r w:rsidRPr="00242020">
              <w:rPr>
                <w:sz w:val="22"/>
              </w:rPr>
              <w:t> </w:t>
            </w:r>
          </w:p>
        </w:tc>
        <w:tc>
          <w:tcPr>
            <w:tcW w:w="1338" w:type="dxa"/>
            <w:shd w:val="clear" w:color="auto" w:fill="D9D9D9" w:themeFill="background1" w:themeFillShade="D9"/>
            <w:noWrap/>
            <w:vAlign w:val="center"/>
          </w:tcPr>
          <w:p w:rsidR="00476011" w:rsidRPr="00242020" w:rsidRDefault="00476011" w:rsidP="00E37DE1">
            <w:pPr>
              <w:ind w:firstLine="0"/>
              <w:jc w:val="right"/>
              <w:rPr>
                <w:b/>
                <w:bCs/>
                <w:sz w:val="22"/>
              </w:rPr>
            </w:pPr>
            <w:r w:rsidRPr="00242020">
              <w:rPr>
                <w:b/>
                <w:bCs/>
                <w:sz w:val="22"/>
              </w:rPr>
              <w:t>2 811,41</w:t>
            </w:r>
          </w:p>
        </w:tc>
        <w:tc>
          <w:tcPr>
            <w:tcW w:w="1212" w:type="dxa"/>
            <w:shd w:val="clear" w:color="auto" w:fill="D9D9D9" w:themeFill="background1" w:themeFillShade="D9"/>
            <w:noWrap/>
            <w:vAlign w:val="center"/>
          </w:tcPr>
          <w:p w:rsidR="00476011" w:rsidRPr="00242020" w:rsidRDefault="00476011" w:rsidP="00E37DE1">
            <w:pPr>
              <w:ind w:firstLine="0"/>
              <w:jc w:val="right"/>
              <w:rPr>
                <w:b/>
                <w:bCs/>
                <w:sz w:val="22"/>
              </w:rPr>
            </w:pPr>
            <w:r w:rsidRPr="00242020">
              <w:rPr>
                <w:b/>
                <w:bCs/>
                <w:sz w:val="22"/>
              </w:rPr>
              <w:t>2 342,58</w:t>
            </w:r>
          </w:p>
        </w:tc>
      </w:tr>
    </w:tbl>
    <w:p w:rsidR="00D2554D" w:rsidRPr="00242020" w:rsidRDefault="00D2554D" w:rsidP="00D2554D">
      <w:pPr>
        <w:jc w:val="both"/>
        <w:rPr>
          <w:highlight w:val="red"/>
        </w:rPr>
      </w:pPr>
    </w:p>
    <w:p w:rsidR="00D226C3" w:rsidRPr="00242020" w:rsidRDefault="00D226C3"/>
    <w:sectPr w:rsidR="00D226C3" w:rsidRPr="00242020" w:rsidSect="00BE4231">
      <w:headerReference w:type="even" r:id="rId61"/>
      <w:headerReference w:type="default" r:id="rId62"/>
      <w:pgSz w:w="11906" w:h="16838"/>
      <w:pgMar w:top="1134" w:right="851" w:bottom="1134" w:left="141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325" w:rsidRDefault="00A02325" w:rsidP="004D06FA">
      <w:r>
        <w:separator/>
      </w:r>
    </w:p>
  </w:endnote>
  <w:endnote w:type="continuationSeparator" w:id="0">
    <w:p w:rsidR="00A02325" w:rsidRDefault="00A02325" w:rsidP="004D06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altName w:val="Calibri"/>
    <w:charset w:val="00"/>
    <w:family w:val="swiss"/>
    <w:pitch w:val="variable"/>
    <w:sig w:usb0="00000001" w:usb1="4000207B" w:usb2="00000000" w:usb3="00000000" w:csb0="0000009F" w:csb1="00000000"/>
  </w:font>
  <w:font w:name="Times-Roman">
    <w:altName w:val="MS Mincho"/>
    <w:panose1 w:val="00000000000000000000"/>
    <w:charset w:val="80"/>
    <w:family w:val="roman"/>
    <w:notTrueType/>
    <w:pitch w:val="default"/>
    <w:sig w:usb0="00000000"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UkrainianSchoolBook">
    <w:panose1 w:val="02027200000000000000"/>
    <w:charset w:val="00"/>
    <w:family w:val="roman"/>
    <w:pitch w:val="variable"/>
    <w:sig w:usb0="00000203" w:usb1="00000000" w:usb2="00000000" w:usb3="00000000" w:csb0="00000005" w:csb1="00000000"/>
  </w:font>
  <w:font w:name="Times New Roman Cyr">
    <w:panose1 w:val="02020603050405020304"/>
    <w:charset w:val="CC"/>
    <w:family w:val="roman"/>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91" w:type="pct"/>
      <w:tblInd w:w="108" w:type="dxa"/>
      <w:tblBorders>
        <w:top w:val="single" w:sz="4" w:space="0" w:color="FFC000" w:themeColor="accent4"/>
      </w:tblBorders>
      <w:tblLook w:val="04A0"/>
    </w:tblPr>
    <w:tblGrid>
      <w:gridCol w:w="9638"/>
    </w:tblGrid>
    <w:tr w:rsidR="00DF1F08" w:rsidTr="00DE193C">
      <w:trPr>
        <w:trHeight w:val="360"/>
      </w:trPr>
      <w:tc>
        <w:tcPr>
          <w:tcW w:w="5000" w:type="pct"/>
          <w:shd w:val="clear" w:color="auto" w:fill="9CC2E5" w:themeFill="accent1" w:themeFillTint="99"/>
          <w:vAlign w:val="center"/>
        </w:tcPr>
        <w:p w:rsidR="00DF1F08" w:rsidRPr="00EB77BE" w:rsidRDefault="00095093" w:rsidP="00EB77BE">
          <w:pPr>
            <w:pStyle w:val="a5"/>
            <w:ind w:firstLine="0"/>
            <w:rPr>
              <w:color w:val="FFFFFF" w:themeColor="background1"/>
              <w:sz w:val="24"/>
              <w:szCs w:val="24"/>
            </w:rPr>
          </w:pPr>
          <w:r w:rsidRPr="00EB77BE">
            <w:rPr>
              <w:sz w:val="24"/>
              <w:szCs w:val="24"/>
            </w:rPr>
            <w:fldChar w:fldCharType="begin"/>
          </w:r>
          <w:r w:rsidR="00DF1F08" w:rsidRPr="00EB77BE">
            <w:rPr>
              <w:sz w:val="24"/>
              <w:szCs w:val="24"/>
            </w:rPr>
            <w:instrText xml:space="preserve"> PAGE    \* MERGEFORMAT </w:instrText>
          </w:r>
          <w:r w:rsidRPr="00EB77BE">
            <w:rPr>
              <w:sz w:val="24"/>
              <w:szCs w:val="24"/>
            </w:rPr>
            <w:fldChar w:fldCharType="separate"/>
          </w:r>
          <w:r w:rsidR="004F12E3">
            <w:rPr>
              <w:noProof/>
              <w:sz w:val="24"/>
              <w:szCs w:val="24"/>
            </w:rPr>
            <w:t>14</w:t>
          </w:r>
          <w:r w:rsidRPr="00EB77BE">
            <w:rPr>
              <w:noProof/>
              <w:sz w:val="24"/>
              <w:szCs w:val="24"/>
            </w:rPr>
            <w:fldChar w:fldCharType="end"/>
          </w:r>
        </w:p>
      </w:tc>
    </w:tr>
  </w:tbl>
  <w:p w:rsidR="00DF1F08" w:rsidRPr="00EB77BE" w:rsidRDefault="00DF1F08">
    <w:pPr>
      <w:pStyle w:val="a5"/>
      <w:rPr>
        <w:sz w:val="2"/>
        <w:szCs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96" w:type="pct"/>
      <w:tblInd w:w="108" w:type="dxa"/>
      <w:tblBorders>
        <w:top w:val="single" w:sz="4" w:space="0" w:color="FFC000" w:themeColor="accent4"/>
      </w:tblBorders>
      <w:tblLook w:val="04A0"/>
    </w:tblPr>
    <w:tblGrid>
      <w:gridCol w:w="9789"/>
    </w:tblGrid>
    <w:tr w:rsidR="00DF1F08" w:rsidTr="00D0301A">
      <w:trPr>
        <w:trHeight w:val="360"/>
      </w:trPr>
      <w:tc>
        <w:tcPr>
          <w:tcW w:w="5000" w:type="pct"/>
          <w:shd w:val="clear" w:color="auto" w:fill="9CC2E5" w:themeFill="accent1" w:themeFillTint="99"/>
          <w:vAlign w:val="center"/>
        </w:tcPr>
        <w:p w:rsidR="00DF1F08" w:rsidRPr="00EB77BE" w:rsidRDefault="00095093" w:rsidP="00D879BD">
          <w:pPr>
            <w:pStyle w:val="a5"/>
            <w:ind w:firstLine="0"/>
            <w:jc w:val="center"/>
            <w:rPr>
              <w:color w:val="FFFFFF" w:themeColor="background1"/>
              <w:sz w:val="24"/>
              <w:szCs w:val="24"/>
            </w:rPr>
          </w:pPr>
          <w:r w:rsidRPr="00EB77BE">
            <w:rPr>
              <w:sz w:val="24"/>
              <w:szCs w:val="24"/>
            </w:rPr>
            <w:fldChar w:fldCharType="begin"/>
          </w:r>
          <w:r w:rsidR="00DF1F08" w:rsidRPr="00EB77BE">
            <w:rPr>
              <w:sz w:val="24"/>
              <w:szCs w:val="24"/>
            </w:rPr>
            <w:instrText xml:space="preserve"> PAGE    \* MERGEFORMAT </w:instrText>
          </w:r>
          <w:r w:rsidRPr="00EB77BE">
            <w:rPr>
              <w:sz w:val="24"/>
              <w:szCs w:val="24"/>
            </w:rPr>
            <w:fldChar w:fldCharType="separate"/>
          </w:r>
          <w:r w:rsidR="00DF1F08">
            <w:rPr>
              <w:noProof/>
              <w:sz w:val="24"/>
              <w:szCs w:val="24"/>
            </w:rPr>
            <w:t>106</w:t>
          </w:r>
          <w:r w:rsidRPr="00EB77BE">
            <w:rPr>
              <w:noProof/>
              <w:sz w:val="24"/>
              <w:szCs w:val="24"/>
            </w:rPr>
            <w:fldChar w:fldCharType="end"/>
          </w:r>
        </w:p>
      </w:tc>
    </w:tr>
  </w:tbl>
  <w:p w:rsidR="00DF1F08" w:rsidRPr="00EB77BE" w:rsidRDefault="00DF1F08">
    <w:pPr>
      <w:pStyle w:val="a5"/>
      <w:rPr>
        <w:sz w:val="2"/>
        <w:szCs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92" w:type="pct"/>
      <w:tblInd w:w="108" w:type="dxa"/>
      <w:tblBorders>
        <w:top w:val="single" w:sz="4" w:space="0" w:color="FFC000" w:themeColor="accent4"/>
      </w:tblBorders>
      <w:tblLook w:val="04A0"/>
    </w:tblPr>
    <w:tblGrid>
      <w:gridCol w:w="9781"/>
    </w:tblGrid>
    <w:tr w:rsidR="00DF1F08" w:rsidRPr="00C35559" w:rsidTr="00DF1F08">
      <w:trPr>
        <w:trHeight w:val="360"/>
      </w:trPr>
      <w:tc>
        <w:tcPr>
          <w:tcW w:w="5000" w:type="pct"/>
          <w:shd w:val="clear" w:color="auto" w:fill="9CC2E5" w:themeFill="accent1" w:themeFillTint="99"/>
          <w:vAlign w:val="center"/>
        </w:tcPr>
        <w:p w:rsidR="00DF1F08" w:rsidRPr="00C35559" w:rsidRDefault="00095093" w:rsidP="00135105">
          <w:pPr>
            <w:pStyle w:val="a5"/>
            <w:ind w:firstLine="0"/>
            <w:jc w:val="center"/>
            <w:rPr>
              <w:sz w:val="24"/>
              <w:szCs w:val="24"/>
            </w:rPr>
          </w:pPr>
          <w:r w:rsidRPr="00C35559">
            <w:rPr>
              <w:sz w:val="24"/>
              <w:szCs w:val="24"/>
            </w:rPr>
            <w:fldChar w:fldCharType="begin"/>
          </w:r>
          <w:r w:rsidR="00DF1F08" w:rsidRPr="00C35559">
            <w:rPr>
              <w:sz w:val="24"/>
              <w:szCs w:val="24"/>
            </w:rPr>
            <w:instrText xml:space="preserve"> PAGE    \* MERGEFORMAT </w:instrText>
          </w:r>
          <w:r w:rsidRPr="00C35559">
            <w:rPr>
              <w:sz w:val="24"/>
              <w:szCs w:val="24"/>
            </w:rPr>
            <w:fldChar w:fldCharType="separate"/>
          </w:r>
          <w:r w:rsidR="004F12E3">
            <w:rPr>
              <w:noProof/>
              <w:sz w:val="24"/>
              <w:szCs w:val="24"/>
            </w:rPr>
            <w:t>105</w:t>
          </w:r>
          <w:r w:rsidRPr="00C35559">
            <w:rPr>
              <w:noProof/>
              <w:sz w:val="24"/>
              <w:szCs w:val="24"/>
            </w:rPr>
            <w:fldChar w:fldCharType="end"/>
          </w:r>
        </w:p>
      </w:tc>
    </w:tr>
  </w:tbl>
  <w:p w:rsidR="00DF1F08" w:rsidRPr="00C35559" w:rsidRDefault="00DF1F08">
    <w:pPr>
      <w:pStyle w:val="a5"/>
      <w:rPr>
        <w:sz w:val="2"/>
        <w:szCs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37" w:type="pct"/>
      <w:tblInd w:w="108" w:type="dxa"/>
      <w:tblBorders>
        <w:top w:val="single" w:sz="4" w:space="0" w:color="FFC000" w:themeColor="accent4"/>
      </w:tblBorders>
      <w:tblLook w:val="04A0"/>
    </w:tblPr>
    <w:tblGrid>
      <w:gridCol w:w="14600"/>
    </w:tblGrid>
    <w:tr w:rsidR="00DF1F08" w:rsidTr="00C96367">
      <w:trPr>
        <w:trHeight w:val="360"/>
      </w:trPr>
      <w:tc>
        <w:tcPr>
          <w:tcW w:w="5000" w:type="pct"/>
          <w:shd w:val="clear" w:color="auto" w:fill="9CC2E5" w:themeFill="accent1" w:themeFillTint="99"/>
          <w:vAlign w:val="center"/>
        </w:tcPr>
        <w:p w:rsidR="00DF1F08" w:rsidRPr="00EB77BE" w:rsidRDefault="00095093" w:rsidP="00D879BD">
          <w:pPr>
            <w:pStyle w:val="a5"/>
            <w:ind w:firstLine="0"/>
            <w:jc w:val="center"/>
            <w:rPr>
              <w:color w:val="FFFFFF" w:themeColor="background1"/>
              <w:sz w:val="24"/>
              <w:szCs w:val="24"/>
            </w:rPr>
          </w:pPr>
          <w:r w:rsidRPr="00EB77BE">
            <w:rPr>
              <w:sz w:val="24"/>
              <w:szCs w:val="24"/>
            </w:rPr>
            <w:fldChar w:fldCharType="begin"/>
          </w:r>
          <w:r w:rsidR="00DF1F08" w:rsidRPr="00EB77BE">
            <w:rPr>
              <w:sz w:val="24"/>
              <w:szCs w:val="24"/>
            </w:rPr>
            <w:instrText xml:space="preserve"> PAGE    \* MERGEFORMAT </w:instrText>
          </w:r>
          <w:r w:rsidRPr="00EB77BE">
            <w:rPr>
              <w:sz w:val="24"/>
              <w:szCs w:val="24"/>
            </w:rPr>
            <w:fldChar w:fldCharType="separate"/>
          </w:r>
          <w:r w:rsidR="004F12E3">
            <w:rPr>
              <w:noProof/>
              <w:sz w:val="24"/>
              <w:szCs w:val="24"/>
            </w:rPr>
            <w:t>106</w:t>
          </w:r>
          <w:r w:rsidRPr="00EB77BE">
            <w:rPr>
              <w:noProof/>
              <w:sz w:val="24"/>
              <w:szCs w:val="24"/>
            </w:rPr>
            <w:fldChar w:fldCharType="end"/>
          </w:r>
        </w:p>
      </w:tc>
    </w:tr>
  </w:tbl>
  <w:p w:rsidR="00DF1F08" w:rsidRPr="00EB77BE" w:rsidRDefault="00DF1F08">
    <w:pPr>
      <w:pStyle w:val="a5"/>
      <w:rPr>
        <w:sz w:val="2"/>
        <w:szCs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37" w:type="pct"/>
      <w:tblInd w:w="108" w:type="dxa"/>
      <w:tblBorders>
        <w:top w:val="single" w:sz="4" w:space="0" w:color="FFC000" w:themeColor="accent4"/>
      </w:tblBorders>
      <w:tblLook w:val="04A0"/>
    </w:tblPr>
    <w:tblGrid>
      <w:gridCol w:w="14600"/>
    </w:tblGrid>
    <w:tr w:rsidR="00DF1F08" w:rsidRPr="00C35559" w:rsidTr="00C96367">
      <w:trPr>
        <w:trHeight w:val="360"/>
      </w:trPr>
      <w:tc>
        <w:tcPr>
          <w:tcW w:w="5000" w:type="pct"/>
          <w:shd w:val="clear" w:color="auto" w:fill="9CC2E5" w:themeFill="accent1" w:themeFillTint="99"/>
          <w:vAlign w:val="center"/>
        </w:tcPr>
        <w:p w:rsidR="00DF1F08" w:rsidRPr="00C35559" w:rsidRDefault="00095093" w:rsidP="00135105">
          <w:pPr>
            <w:pStyle w:val="a5"/>
            <w:ind w:firstLine="0"/>
            <w:jc w:val="center"/>
            <w:rPr>
              <w:sz w:val="24"/>
              <w:szCs w:val="24"/>
            </w:rPr>
          </w:pPr>
          <w:r w:rsidRPr="00C35559">
            <w:rPr>
              <w:sz w:val="24"/>
              <w:szCs w:val="24"/>
            </w:rPr>
            <w:fldChar w:fldCharType="begin"/>
          </w:r>
          <w:r w:rsidR="00DF1F08" w:rsidRPr="00C35559">
            <w:rPr>
              <w:sz w:val="24"/>
              <w:szCs w:val="24"/>
            </w:rPr>
            <w:instrText xml:space="preserve"> PAGE    \* MERGEFORMAT </w:instrText>
          </w:r>
          <w:r w:rsidRPr="00C35559">
            <w:rPr>
              <w:sz w:val="24"/>
              <w:szCs w:val="24"/>
            </w:rPr>
            <w:fldChar w:fldCharType="separate"/>
          </w:r>
          <w:r w:rsidR="004F12E3">
            <w:rPr>
              <w:noProof/>
              <w:sz w:val="24"/>
              <w:szCs w:val="24"/>
            </w:rPr>
            <w:t>107</w:t>
          </w:r>
          <w:r w:rsidRPr="00C35559">
            <w:rPr>
              <w:noProof/>
              <w:sz w:val="24"/>
              <w:szCs w:val="24"/>
            </w:rPr>
            <w:fldChar w:fldCharType="end"/>
          </w:r>
        </w:p>
      </w:tc>
    </w:tr>
  </w:tbl>
  <w:p w:rsidR="00DF1F08" w:rsidRPr="00C35559" w:rsidRDefault="00DF1F08">
    <w:pPr>
      <w:pStyle w:val="a5"/>
      <w:rPr>
        <w:sz w:val="2"/>
        <w:szCs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91" w:type="pct"/>
      <w:tblInd w:w="108" w:type="dxa"/>
      <w:tblBorders>
        <w:top w:val="single" w:sz="4" w:space="0" w:color="FFC000" w:themeColor="accent4"/>
      </w:tblBorders>
      <w:tblLook w:val="04A0"/>
    </w:tblPr>
    <w:tblGrid>
      <w:gridCol w:w="9638"/>
    </w:tblGrid>
    <w:tr w:rsidR="00DF1F08" w:rsidTr="00F97A4C">
      <w:trPr>
        <w:trHeight w:val="360"/>
      </w:trPr>
      <w:tc>
        <w:tcPr>
          <w:tcW w:w="5000" w:type="pct"/>
          <w:shd w:val="clear" w:color="auto" w:fill="9CC2E5" w:themeFill="accent1" w:themeFillTint="99"/>
          <w:vAlign w:val="center"/>
        </w:tcPr>
        <w:p w:rsidR="00DF1F08" w:rsidRPr="00EB77BE" w:rsidRDefault="00095093" w:rsidP="00D2554D">
          <w:pPr>
            <w:pStyle w:val="a5"/>
            <w:ind w:firstLine="0"/>
            <w:jc w:val="center"/>
            <w:rPr>
              <w:color w:val="FFFFFF" w:themeColor="background1"/>
              <w:sz w:val="24"/>
              <w:szCs w:val="24"/>
            </w:rPr>
          </w:pPr>
          <w:r w:rsidRPr="00EB77BE">
            <w:rPr>
              <w:sz w:val="24"/>
              <w:szCs w:val="24"/>
            </w:rPr>
            <w:fldChar w:fldCharType="begin"/>
          </w:r>
          <w:r w:rsidR="00DF1F08" w:rsidRPr="00EB77BE">
            <w:rPr>
              <w:sz w:val="24"/>
              <w:szCs w:val="24"/>
            </w:rPr>
            <w:instrText xml:space="preserve"> PAGE    \* MERGEFORMAT </w:instrText>
          </w:r>
          <w:r w:rsidRPr="00EB77BE">
            <w:rPr>
              <w:sz w:val="24"/>
              <w:szCs w:val="24"/>
            </w:rPr>
            <w:fldChar w:fldCharType="separate"/>
          </w:r>
          <w:r w:rsidR="004F12E3">
            <w:rPr>
              <w:noProof/>
              <w:sz w:val="24"/>
              <w:szCs w:val="24"/>
            </w:rPr>
            <w:t>114</w:t>
          </w:r>
          <w:r w:rsidRPr="00EB77BE">
            <w:rPr>
              <w:noProof/>
              <w:sz w:val="24"/>
              <w:szCs w:val="24"/>
            </w:rPr>
            <w:fldChar w:fldCharType="end"/>
          </w:r>
        </w:p>
      </w:tc>
    </w:tr>
  </w:tbl>
  <w:p w:rsidR="00DF1F08" w:rsidRPr="00EB77BE" w:rsidRDefault="00DF1F08">
    <w:pPr>
      <w:pStyle w:val="a5"/>
      <w:rPr>
        <w:sz w:val="2"/>
        <w:szCs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91" w:type="pct"/>
      <w:tblInd w:w="108" w:type="dxa"/>
      <w:tblBorders>
        <w:top w:val="single" w:sz="4" w:space="0" w:color="FFC000" w:themeColor="accent4"/>
      </w:tblBorders>
      <w:tblLook w:val="04A0"/>
    </w:tblPr>
    <w:tblGrid>
      <w:gridCol w:w="9638"/>
    </w:tblGrid>
    <w:tr w:rsidR="00DF1F08" w:rsidRPr="00C35559" w:rsidTr="00F97A4C">
      <w:trPr>
        <w:trHeight w:val="360"/>
      </w:trPr>
      <w:tc>
        <w:tcPr>
          <w:tcW w:w="5000" w:type="pct"/>
          <w:shd w:val="clear" w:color="auto" w:fill="9CC2E5" w:themeFill="accent1" w:themeFillTint="99"/>
          <w:vAlign w:val="center"/>
        </w:tcPr>
        <w:p w:rsidR="00DF1F08" w:rsidRPr="00C35559" w:rsidRDefault="00095093" w:rsidP="00D2554D">
          <w:pPr>
            <w:pStyle w:val="a5"/>
            <w:ind w:firstLine="0"/>
            <w:jc w:val="center"/>
            <w:rPr>
              <w:sz w:val="24"/>
              <w:szCs w:val="24"/>
            </w:rPr>
          </w:pPr>
          <w:r w:rsidRPr="00C35559">
            <w:rPr>
              <w:sz w:val="24"/>
              <w:szCs w:val="24"/>
            </w:rPr>
            <w:fldChar w:fldCharType="begin"/>
          </w:r>
          <w:r w:rsidR="00DF1F08" w:rsidRPr="00C35559">
            <w:rPr>
              <w:sz w:val="24"/>
              <w:szCs w:val="24"/>
            </w:rPr>
            <w:instrText xml:space="preserve"> PAGE    \* MERGEFORMAT </w:instrText>
          </w:r>
          <w:r w:rsidRPr="00C35559">
            <w:rPr>
              <w:sz w:val="24"/>
              <w:szCs w:val="24"/>
            </w:rPr>
            <w:fldChar w:fldCharType="separate"/>
          </w:r>
          <w:r w:rsidR="004F12E3">
            <w:rPr>
              <w:noProof/>
              <w:sz w:val="24"/>
              <w:szCs w:val="24"/>
            </w:rPr>
            <w:t>115</w:t>
          </w:r>
          <w:r w:rsidRPr="00C35559">
            <w:rPr>
              <w:noProof/>
              <w:sz w:val="24"/>
              <w:szCs w:val="24"/>
            </w:rPr>
            <w:fldChar w:fldCharType="end"/>
          </w:r>
        </w:p>
      </w:tc>
    </w:tr>
  </w:tbl>
  <w:p w:rsidR="00DF1F08" w:rsidRPr="00C35559" w:rsidRDefault="00DF1F08">
    <w:pPr>
      <w:pStyle w:val="a5"/>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91" w:type="pct"/>
      <w:tblInd w:w="108" w:type="dxa"/>
      <w:tblBorders>
        <w:top w:val="single" w:sz="4" w:space="0" w:color="FFC000" w:themeColor="accent4"/>
      </w:tblBorders>
      <w:tblLook w:val="04A0"/>
    </w:tblPr>
    <w:tblGrid>
      <w:gridCol w:w="9638"/>
    </w:tblGrid>
    <w:tr w:rsidR="00DF1F08" w:rsidRPr="00C35559" w:rsidTr="00DE193C">
      <w:trPr>
        <w:trHeight w:val="360"/>
      </w:trPr>
      <w:tc>
        <w:tcPr>
          <w:tcW w:w="5000" w:type="pct"/>
          <w:shd w:val="clear" w:color="auto" w:fill="9CC2E5" w:themeFill="accent1" w:themeFillTint="99"/>
          <w:vAlign w:val="center"/>
        </w:tcPr>
        <w:p w:rsidR="00DF1F08" w:rsidRPr="00C35559" w:rsidRDefault="00095093" w:rsidP="00C35559">
          <w:pPr>
            <w:pStyle w:val="a5"/>
            <w:jc w:val="right"/>
            <w:rPr>
              <w:sz w:val="24"/>
              <w:szCs w:val="24"/>
            </w:rPr>
          </w:pPr>
          <w:r w:rsidRPr="00C35559">
            <w:rPr>
              <w:sz w:val="24"/>
              <w:szCs w:val="24"/>
            </w:rPr>
            <w:fldChar w:fldCharType="begin"/>
          </w:r>
          <w:r w:rsidR="00DF1F08" w:rsidRPr="00C35559">
            <w:rPr>
              <w:sz w:val="24"/>
              <w:szCs w:val="24"/>
            </w:rPr>
            <w:instrText xml:space="preserve"> PAGE    \* MERGEFORMAT </w:instrText>
          </w:r>
          <w:r w:rsidRPr="00C35559">
            <w:rPr>
              <w:sz w:val="24"/>
              <w:szCs w:val="24"/>
            </w:rPr>
            <w:fldChar w:fldCharType="separate"/>
          </w:r>
          <w:r w:rsidR="004F12E3">
            <w:rPr>
              <w:noProof/>
              <w:sz w:val="24"/>
              <w:szCs w:val="24"/>
            </w:rPr>
            <w:t>13</w:t>
          </w:r>
          <w:r w:rsidRPr="00C35559">
            <w:rPr>
              <w:noProof/>
              <w:sz w:val="24"/>
              <w:szCs w:val="24"/>
            </w:rPr>
            <w:fldChar w:fldCharType="end"/>
          </w:r>
        </w:p>
      </w:tc>
    </w:tr>
  </w:tbl>
  <w:p w:rsidR="00DF1F08" w:rsidRPr="00C35559" w:rsidRDefault="00DF1F08">
    <w:pPr>
      <w:pStyle w:val="a5"/>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FFC000" w:themeColor="accent4"/>
      </w:tblBorders>
      <w:tblLook w:val="04A0"/>
    </w:tblPr>
    <w:tblGrid>
      <w:gridCol w:w="9853"/>
    </w:tblGrid>
    <w:tr w:rsidR="00DF1F08" w:rsidTr="00B44BE9">
      <w:trPr>
        <w:trHeight w:val="360"/>
      </w:trPr>
      <w:tc>
        <w:tcPr>
          <w:tcW w:w="5000" w:type="pct"/>
          <w:shd w:val="clear" w:color="auto" w:fill="9CC2E5" w:themeFill="accent1" w:themeFillTint="99"/>
        </w:tcPr>
        <w:p w:rsidR="00DF1F08" w:rsidRPr="00B44BE9" w:rsidRDefault="00095093">
          <w:pPr>
            <w:pStyle w:val="a5"/>
            <w:jc w:val="right"/>
          </w:pPr>
          <w:fldSimple w:instr=" PAGE    \* MERGEFORMAT ">
            <w:r w:rsidR="004F12E3">
              <w:rPr>
                <w:noProof/>
              </w:rPr>
              <w:t>3</w:t>
            </w:r>
          </w:fldSimple>
        </w:p>
      </w:tc>
    </w:tr>
  </w:tbl>
  <w:p w:rsidR="00DF1F08" w:rsidRPr="00B44BE9" w:rsidRDefault="00DF1F08">
    <w:pPr>
      <w:pStyle w:val="a5"/>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91" w:type="pct"/>
      <w:tblInd w:w="108" w:type="dxa"/>
      <w:tblBorders>
        <w:top w:val="single" w:sz="4" w:space="0" w:color="FFC000" w:themeColor="accent4"/>
      </w:tblBorders>
      <w:tblLook w:val="04A0"/>
    </w:tblPr>
    <w:tblGrid>
      <w:gridCol w:w="9638"/>
    </w:tblGrid>
    <w:tr w:rsidR="00DF1F08" w:rsidTr="007D193C">
      <w:trPr>
        <w:trHeight w:val="360"/>
      </w:trPr>
      <w:tc>
        <w:tcPr>
          <w:tcW w:w="5000" w:type="pct"/>
          <w:shd w:val="clear" w:color="auto" w:fill="9CC2E5" w:themeFill="accent1" w:themeFillTint="99"/>
        </w:tcPr>
        <w:p w:rsidR="00DF1F08" w:rsidRPr="008C0559" w:rsidRDefault="00095093">
          <w:pPr>
            <w:pStyle w:val="a5"/>
            <w:jc w:val="right"/>
          </w:pPr>
          <w:fldSimple w:instr=" PAGE    \* MERGEFORMAT ">
            <w:r w:rsidR="004F12E3">
              <w:rPr>
                <w:noProof/>
              </w:rPr>
              <w:t>7</w:t>
            </w:r>
          </w:fldSimple>
        </w:p>
      </w:tc>
    </w:tr>
  </w:tbl>
  <w:p w:rsidR="00DF1F08" w:rsidRPr="008C0559" w:rsidRDefault="00DF1F08">
    <w:pPr>
      <w:pStyle w:val="a5"/>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91" w:type="pct"/>
      <w:tblInd w:w="108" w:type="dxa"/>
      <w:tblBorders>
        <w:top w:val="single" w:sz="4" w:space="0" w:color="FFC000" w:themeColor="accent4"/>
      </w:tblBorders>
      <w:tblLook w:val="04A0"/>
    </w:tblPr>
    <w:tblGrid>
      <w:gridCol w:w="9638"/>
    </w:tblGrid>
    <w:tr w:rsidR="00DF1F08" w:rsidRPr="00C35559" w:rsidTr="00DE193C">
      <w:trPr>
        <w:trHeight w:val="360"/>
      </w:trPr>
      <w:tc>
        <w:tcPr>
          <w:tcW w:w="5000" w:type="pct"/>
          <w:shd w:val="clear" w:color="auto" w:fill="9CC2E5" w:themeFill="accent1" w:themeFillTint="99"/>
          <w:vAlign w:val="center"/>
        </w:tcPr>
        <w:p w:rsidR="00DF1F08" w:rsidRPr="00C35559" w:rsidRDefault="00095093" w:rsidP="00FF7072">
          <w:pPr>
            <w:pStyle w:val="a5"/>
            <w:ind w:firstLine="0"/>
            <w:jc w:val="right"/>
            <w:rPr>
              <w:sz w:val="24"/>
              <w:szCs w:val="24"/>
            </w:rPr>
          </w:pPr>
          <w:r w:rsidRPr="00C35559">
            <w:rPr>
              <w:sz w:val="24"/>
              <w:szCs w:val="24"/>
            </w:rPr>
            <w:fldChar w:fldCharType="begin"/>
          </w:r>
          <w:r w:rsidR="00DF1F08" w:rsidRPr="00C35559">
            <w:rPr>
              <w:sz w:val="24"/>
              <w:szCs w:val="24"/>
            </w:rPr>
            <w:instrText xml:space="preserve"> PAGE    \* MERGEFORMAT </w:instrText>
          </w:r>
          <w:r w:rsidRPr="00C35559">
            <w:rPr>
              <w:sz w:val="24"/>
              <w:szCs w:val="24"/>
            </w:rPr>
            <w:fldChar w:fldCharType="separate"/>
          </w:r>
          <w:r w:rsidR="004F12E3">
            <w:rPr>
              <w:noProof/>
              <w:sz w:val="24"/>
              <w:szCs w:val="24"/>
            </w:rPr>
            <w:t>89</w:t>
          </w:r>
          <w:r w:rsidRPr="00C35559">
            <w:rPr>
              <w:noProof/>
              <w:sz w:val="24"/>
              <w:szCs w:val="24"/>
            </w:rPr>
            <w:fldChar w:fldCharType="end"/>
          </w:r>
        </w:p>
      </w:tc>
    </w:tr>
  </w:tbl>
  <w:p w:rsidR="00DF1F08" w:rsidRPr="00C35559" w:rsidRDefault="00DF1F08">
    <w:pPr>
      <w:pStyle w:val="a5"/>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91" w:type="pct"/>
      <w:tblInd w:w="108" w:type="dxa"/>
      <w:tblBorders>
        <w:top w:val="single" w:sz="4" w:space="0" w:color="FFC000" w:themeColor="accent4"/>
      </w:tblBorders>
      <w:tblLook w:val="04A0"/>
    </w:tblPr>
    <w:tblGrid>
      <w:gridCol w:w="9638"/>
    </w:tblGrid>
    <w:tr w:rsidR="00DF1F08" w:rsidRPr="00C35559" w:rsidTr="00D0301A">
      <w:trPr>
        <w:trHeight w:val="360"/>
      </w:trPr>
      <w:tc>
        <w:tcPr>
          <w:tcW w:w="5000" w:type="pct"/>
          <w:shd w:val="clear" w:color="auto" w:fill="9CC2E5" w:themeFill="accent1" w:themeFillTint="99"/>
          <w:vAlign w:val="center"/>
        </w:tcPr>
        <w:p w:rsidR="00DF1F08" w:rsidRPr="00C35559" w:rsidRDefault="00095093" w:rsidP="004C21B7">
          <w:pPr>
            <w:pStyle w:val="a5"/>
            <w:ind w:firstLine="0"/>
            <w:jc w:val="right"/>
            <w:rPr>
              <w:sz w:val="24"/>
              <w:szCs w:val="24"/>
            </w:rPr>
          </w:pPr>
          <w:r w:rsidRPr="00C35559">
            <w:rPr>
              <w:sz w:val="24"/>
              <w:szCs w:val="24"/>
            </w:rPr>
            <w:fldChar w:fldCharType="begin"/>
          </w:r>
          <w:r w:rsidR="00DF1F08" w:rsidRPr="00C35559">
            <w:rPr>
              <w:sz w:val="24"/>
              <w:szCs w:val="24"/>
            </w:rPr>
            <w:instrText xml:space="preserve"> PAGE    \* MERGEFORMAT </w:instrText>
          </w:r>
          <w:r w:rsidRPr="00C35559">
            <w:rPr>
              <w:sz w:val="24"/>
              <w:szCs w:val="24"/>
            </w:rPr>
            <w:fldChar w:fldCharType="separate"/>
          </w:r>
          <w:r w:rsidR="004F12E3">
            <w:rPr>
              <w:noProof/>
              <w:sz w:val="24"/>
              <w:szCs w:val="24"/>
            </w:rPr>
            <w:t>95</w:t>
          </w:r>
          <w:r w:rsidRPr="00C35559">
            <w:rPr>
              <w:noProof/>
              <w:sz w:val="24"/>
              <w:szCs w:val="24"/>
            </w:rPr>
            <w:fldChar w:fldCharType="end"/>
          </w:r>
        </w:p>
      </w:tc>
    </w:tr>
  </w:tbl>
  <w:p w:rsidR="00DF1F08" w:rsidRPr="00C35559" w:rsidRDefault="00DF1F08">
    <w:pPr>
      <w:pStyle w:val="a5"/>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30" w:type="pct"/>
      <w:tblInd w:w="108" w:type="dxa"/>
      <w:tblBorders>
        <w:top w:val="single" w:sz="4" w:space="0" w:color="FFC000" w:themeColor="accent4"/>
      </w:tblBorders>
      <w:tblLook w:val="04A0"/>
    </w:tblPr>
    <w:tblGrid>
      <w:gridCol w:w="15308"/>
    </w:tblGrid>
    <w:tr w:rsidR="00DF1F08" w:rsidTr="00D0301A">
      <w:trPr>
        <w:trHeight w:val="360"/>
      </w:trPr>
      <w:tc>
        <w:tcPr>
          <w:tcW w:w="5000" w:type="pct"/>
          <w:shd w:val="clear" w:color="auto" w:fill="9CC2E5" w:themeFill="accent1" w:themeFillTint="99"/>
          <w:vAlign w:val="center"/>
        </w:tcPr>
        <w:p w:rsidR="00DF1F08" w:rsidRPr="00EB77BE" w:rsidRDefault="00095093" w:rsidP="00FD3680">
          <w:pPr>
            <w:pStyle w:val="a5"/>
            <w:ind w:firstLine="0"/>
            <w:jc w:val="center"/>
            <w:rPr>
              <w:color w:val="FFFFFF" w:themeColor="background1"/>
              <w:sz w:val="24"/>
              <w:szCs w:val="24"/>
            </w:rPr>
          </w:pPr>
          <w:r w:rsidRPr="00EB77BE">
            <w:rPr>
              <w:sz w:val="24"/>
              <w:szCs w:val="24"/>
            </w:rPr>
            <w:fldChar w:fldCharType="begin"/>
          </w:r>
          <w:r w:rsidR="00DF1F08" w:rsidRPr="00EB77BE">
            <w:rPr>
              <w:sz w:val="24"/>
              <w:szCs w:val="24"/>
            </w:rPr>
            <w:instrText xml:space="preserve"> PAGE    \* MERGEFORMAT </w:instrText>
          </w:r>
          <w:r w:rsidRPr="00EB77BE">
            <w:rPr>
              <w:sz w:val="24"/>
              <w:szCs w:val="24"/>
            </w:rPr>
            <w:fldChar w:fldCharType="separate"/>
          </w:r>
          <w:r w:rsidR="00DF1F08">
            <w:rPr>
              <w:noProof/>
              <w:sz w:val="24"/>
              <w:szCs w:val="24"/>
            </w:rPr>
            <w:t>98</w:t>
          </w:r>
          <w:r w:rsidRPr="00EB77BE">
            <w:rPr>
              <w:noProof/>
              <w:sz w:val="24"/>
              <w:szCs w:val="24"/>
            </w:rPr>
            <w:fldChar w:fldCharType="end"/>
          </w:r>
        </w:p>
      </w:tc>
    </w:tr>
  </w:tbl>
  <w:p w:rsidR="00DF1F08" w:rsidRPr="00EB77BE" w:rsidRDefault="00DF1F08">
    <w:pPr>
      <w:pStyle w:val="a5"/>
      <w:rPr>
        <w:sz w:val="2"/>
        <w:szCs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30" w:type="pct"/>
      <w:tblInd w:w="108" w:type="dxa"/>
      <w:tblBorders>
        <w:top w:val="single" w:sz="4" w:space="0" w:color="FFC000" w:themeColor="accent4"/>
      </w:tblBorders>
      <w:tblLook w:val="04A0"/>
    </w:tblPr>
    <w:tblGrid>
      <w:gridCol w:w="15308"/>
    </w:tblGrid>
    <w:tr w:rsidR="00DF1F08" w:rsidRPr="00C35559" w:rsidTr="00D0301A">
      <w:trPr>
        <w:trHeight w:val="360"/>
      </w:trPr>
      <w:tc>
        <w:tcPr>
          <w:tcW w:w="5000" w:type="pct"/>
          <w:shd w:val="clear" w:color="auto" w:fill="9CC2E5" w:themeFill="accent1" w:themeFillTint="99"/>
          <w:vAlign w:val="center"/>
        </w:tcPr>
        <w:p w:rsidR="00DF1F08" w:rsidRPr="00C35559" w:rsidRDefault="00095093" w:rsidP="00135105">
          <w:pPr>
            <w:pStyle w:val="a5"/>
            <w:ind w:firstLine="0"/>
            <w:jc w:val="center"/>
            <w:rPr>
              <w:sz w:val="24"/>
              <w:szCs w:val="24"/>
            </w:rPr>
          </w:pPr>
          <w:r w:rsidRPr="00C35559">
            <w:rPr>
              <w:sz w:val="24"/>
              <w:szCs w:val="24"/>
            </w:rPr>
            <w:fldChar w:fldCharType="begin"/>
          </w:r>
          <w:r w:rsidR="00DF1F08" w:rsidRPr="00C35559">
            <w:rPr>
              <w:sz w:val="24"/>
              <w:szCs w:val="24"/>
            </w:rPr>
            <w:instrText xml:space="preserve"> PAGE    \* MERGEFORMAT </w:instrText>
          </w:r>
          <w:r w:rsidRPr="00C35559">
            <w:rPr>
              <w:sz w:val="24"/>
              <w:szCs w:val="24"/>
            </w:rPr>
            <w:fldChar w:fldCharType="separate"/>
          </w:r>
          <w:r w:rsidR="004F12E3">
            <w:rPr>
              <w:noProof/>
              <w:sz w:val="24"/>
              <w:szCs w:val="24"/>
            </w:rPr>
            <w:t>103</w:t>
          </w:r>
          <w:r w:rsidRPr="00C35559">
            <w:rPr>
              <w:noProof/>
              <w:sz w:val="24"/>
              <w:szCs w:val="24"/>
            </w:rPr>
            <w:fldChar w:fldCharType="end"/>
          </w:r>
        </w:p>
      </w:tc>
    </w:tr>
  </w:tbl>
  <w:p w:rsidR="00DF1F08" w:rsidRPr="00C35559" w:rsidRDefault="00DF1F08">
    <w:pPr>
      <w:pStyle w:val="a5"/>
      <w:rPr>
        <w:sz w:val="2"/>
        <w:szCs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30" w:type="pct"/>
      <w:tblInd w:w="108" w:type="dxa"/>
      <w:tblBorders>
        <w:top w:val="single" w:sz="4" w:space="0" w:color="FFC000" w:themeColor="accent4"/>
      </w:tblBorders>
      <w:tblLook w:val="04A0"/>
    </w:tblPr>
    <w:tblGrid>
      <w:gridCol w:w="15308"/>
    </w:tblGrid>
    <w:tr w:rsidR="00DF1F08" w:rsidTr="00D0301A">
      <w:trPr>
        <w:trHeight w:val="360"/>
      </w:trPr>
      <w:tc>
        <w:tcPr>
          <w:tcW w:w="5000" w:type="pct"/>
          <w:shd w:val="clear" w:color="auto" w:fill="9CC2E5" w:themeFill="accent1" w:themeFillTint="99"/>
          <w:vAlign w:val="center"/>
        </w:tcPr>
        <w:p w:rsidR="00DF1F08" w:rsidRPr="00EB77BE" w:rsidRDefault="00095093" w:rsidP="00D879BD">
          <w:pPr>
            <w:pStyle w:val="a5"/>
            <w:ind w:firstLine="0"/>
            <w:jc w:val="center"/>
            <w:rPr>
              <w:color w:val="FFFFFF" w:themeColor="background1"/>
              <w:sz w:val="24"/>
              <w:szCs w:val="24"/>
            </w:rPr>
          </w:pPr>
          <w:r w:rsidRPr="00EB77BE">
            <w:rPr>
              <w:sz w:val="24"/>
              <w:szCs w:val="24"/>
            </w:rPr>
            <w:fldChar w:fldCharType="begin"/>
          </w:r>
          <w:r w:rsidR="00DF1F08" w:rsidRPr="00EB77BE">
            <w:rPr>
              <w:sz w:val="24"/>
              <w:szCs w:val="24"/>
            </w:rPr>
            <w:instrText xml:space="preserve"> PAGE    \* MERGEFORMAT </w:instrText>
          </w:r>
          <w:r w:rsidRPr="00EB77BE">
            <w:rPr>
              <w:sz w:val="24"/>
              <w:szCs w:val="24"/>
            </w:rPr>
            <w:fldChar w:fldCharType="separate"/>
          </w:r>
          <w:r w:rsidR="004F12E3">
            <w:rPr>
              <w:noProof/>
              <w:sz w:val="24"/>
              <w:szCs w:val="24"/>
            </w:rPr>
            <w:t>104</w:t>
          </w:r>
          <w:r w:rsidRPr="00EB77BE">
            <w:rPr>
              <w:noProof/>
              <w:sz w:val="24"/>
              <w:szCs w:val="24"/>
            </w:rPr>
            <w:fldChar w:fldCharType="end"/>
          </w:r>
        </w:p>
      </w:tc>
    </w:tr>
  </w:tbl>
  <w:p w:rsidR="00DF1F08" w:rsidRPr="00EB77BE" w:rsidRDefault="00DF1F08">
    <w:pPr>
      <w:pStyle w:val="a5"/>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325" w:rsidRDefault="00A02325" w:rsidP="004D06FA">
      <w:r>
        <w:separator/>
      </w:r>
    </w:p>
  </w:footnote>
  <w:footnote w:type="continuationSeparator" w:id="0">
    <w:p w:rsidR="00A02325" w:rsidRDefault="00A02325" w:rsidP="004D06FA">
      <w:r>
        <w:continuationSeparator/>
      </w:r>
    </w:p>
  </w:footnote>
  <w:footnote w:id="1">
    <w:p w:rsidR="00DF1F08" w:rsidRPr="00B1085F" w:rsidRDefault="00DF1F08">
      <w:pPr>
        <w:pStyle w:val="ae"/>
        <w:rPr>
          <w:lang w:val="uk-UA"/>
        </w:rPr>
      </w:pPr>
      <w:r w:rsidRPr="00B1085F">
        <w:rPr>
          <w:rStyle w:val="afa"/>
          <w:lang w:val="uk-UA"/>
        </w:rPr>
        <w:sym w:font="Symbol" w:char="F02A"/>
      </w:r>
      <w:r w:rsidRPr="00B1085F">
        <w:rPr>
          <w:lang w:val="uk-UA"/>
        </w:rPr>
        <w:t xml:space="preserve"> </w:t>
      </w:r>
      <w:r w:rsidRPr="00B1085F">
        <w:rPr>
          <w:rFonts w:eastAsia="Calibri"/>
          <w:lang w:val="uk-UA"/>
        </w:rPr>
        <w:t>За даними форми № 1-приватизація «Інформація про приватизацію державного майна підприємства, установи, організації»</w:t>
      </w:r>
      <w:r w:rsidRPr="00B1085F">
        <w:rPr>
          <w:lang w:val="uk-UA"/>
        </w:rPr>
        <w:t xml:space="preserve">, поданими державними органами приватизації </w:t>
      </w:r>
      <w:r>
        <w:rPr>
          <w:lang w:val="uk-UA"/>
        </w:rPr>
        <w:t>щодо об’єктів державної власності та регіональними відділеннями Фонду і органами місцевого самоврядування щодо об’єктів комунальної власності.</w:t>
      </w:r>
    </w:p>
  </w:footnote>
  <w:footnote w:id="2">
    <w:p w:rsidR="00DF1F08" w:rsidRDefault="00DF1F08" w:rsidP="004462BE">
      <w:pPr>
        <w:pStyle w:val="ae"/>
      </w:pPr>
      <w:r>
        <w:rPr>
          <w:rStyle w:val="afa"/>
        </w:rPr>
        <w:footnoteRef/>
      </w:r>
      <w:r>
        <w:t xml:space="preserve"> </w:t>
      </w:r>
      <w:proofErr w:type="spellStart"/>
      <w:r w:rsidRPr="00E77260">
        <w:t>Сплата</w:t>
      </w:r>
      <w:proofErr w:type="spellEnd"/>
      <w:r w:rsidRPr="00E77260">
        <w:t xml:space="preserve"> за пакет </w:t>
      </w:r>
      <w:proofErr w:type="spellStart"/>
      <w:r w:rsidRPr="00E77260">
        <w:t>акцій</w:t>
      </w:r>
      <w:proofErr w:type="spellEnd"/>
      <w:r w:rsidRPr="00E77260">
        <w:t xml:space="preserve"> </w:t>
      </w:r>
      <w:proofErr w:type="spellStart"/>
      <w:r w:rsidRPr="00E77260">
        <w:t>очікується</w:t>
      </w:r>
      <w:proofErr w:type="spellEnd"/>
      <w:r w:rsidRPr="00E77260">
        <w:t xml:space="preserve"> </w:t>
      </w:r>
      <w:proofErr w:type="spellStart"/>
      <w:r w:rsidRPr="00E77260">
        <w:t>після</w:t>
      </w:r>
      <w:proofErr w:type="spellEnd"/>
      <w:r w:rsidRPr="00E77260">
        <w:t xml:space="preserve"> </w:t>
      </w:r>
      <w:proofErr w:type="spellStart"/>
      <w:r w:rsidRPr="00E77260">
        <w:t>укладання</w:t>
      </w:r>
      <w:proofErr w:type="spellEnd"/>
      <w:r w:rsidRPr="00E77260">
        <w:t xml:space="preserve"> договору </w:t>
      </w:r>
      <w:proofErr w:type="spellStart"/>
      <w:r w:rsidRPr="00E77260">
        <w:t>купівлі-продажу</w:t>
      </w:r>
      <w:proofErr w:type="spellEnd"/>
      <w:r w:rsidRPr="00E77260">
        <w:t xml:space="preserve"> в 2017 </w:t>
      </w:r>
      <w:proofErr w:type="spellStart"/>
      <w:r w:rsidRPr="00E77260">
        <w:t>році</w:t>
      </w:r>
      <w:proofErr w:type="spellEnd"/>
      <w:r w:rsidRPr="00E77260">
        <w:t>.</w:t>
      </w:r>
    </w:p>
  </w:footnote>
  <w:footnote w:id="3">
    <w:p w:rsidR="00DF1F08" w:rsidRPr="00BC2617" w:rsidRDefault="00DF1F08">
      <w:pPr>
        <w:pStyle w:val="ae"/>
        <w:rPr>
          <w:lang w:val="uk-UA"/>
        </w:rPr>
      </w:pPr>
      <w:r w:rsidRPr="00BC2617">
        <w:rPr>
          <w:rStyle w:val="afa"/>
          <w:lang w:val="uk-UA"/>
        </w:rPr>
        <w:sym w:font="Symbol" w:char="F02A"/>
      </w:r>
      <w:r w:rsidRPr="00BC2617">
        <w:rPr>
          <w:lang w:val="uk-UA"/>
        </w:rPr>
        <w:t xml:space="preserve"> з них – 369 юридичних осіб, що значаться (зареєстровані) на тимчасово окупованій території АР Крим та м. Севастополі.</w:t>
      </w:r>
    </w:p>
  </w:footnote>
  <w:footnote w:id="4">
    <w:p w:rsidR="00DF1F08" w:rsidRPr="005F2598" w:rsidRDefault="00DF1F08" w:rsidP="005F2598">
      <w:pPr>
        <w:pStyle w:val="ae"/>
        <w:rPr>
          <w:lang w:val="uk-UA"/>
        </w:rPr>
      </w:pPr>
      <w:r w:rsidRPr="005F2598">
        <w:rPr>
          <w:rStyle w:val="afa"/>
          <w:lang w:val="uk-UA"/>
        </w:rPr>
        <w:sym w:font="Symbol" w:char="F02A"/>
      </w:r>
      <w:r w:rsidRPr="005F2598">
        <w:rPr>
          <w:lang w:val="uk-UA"/>
        </w:rPr>
        <w:t xml:space="preserve">  Згідно з даними Державної казначейської служби України.</w:t>
      </w:r>
    </w:p>
  </w:footnote>
  <w:footnote w:id="5">
    <w:p w:rsidR="00DF1F08" w:rsidRPr="005F2598" w:rsidRDefault="00DF1F08" w:rsidP="005F2598">
      <w:pPr>
        <w:pStyle w:val="ae"/>
        <w:rPr>
          <w:lang w:val="uk-UA"/>
        </w:rPr>
      </w:pPr>
      <w:r w:rsidRPr="005F2598">
        <w:rPr>
          <w:rStyle w:val="afa"/>
          <w:lang w:val="uk-UA"/>
        </w:rPr>
        <w:t>**</w:t>
      </w:r>
      <w:r w:rsidRPr="005F2598">
        <w:rPr>
          <w:lang w:val="uk-UA"/>
        </w:rPr>
        <w:t> Показник не встановлювався у зв’язку з проведенням відповідно до Указу Президента України від 14 квітня 2014 року № 405/2014 «Про рішення Ради національної безпеки і оборони України від 13 квітня 2014 року «Про невідкладні заходи щодо подолання терористичної загрози і збереження територіальної цілісності України» антитерористичної операції на території Донецької та Луганської областей та з урахуванням вимог статті 7 Закону України «Про тимчасові заходи на період проведення антитерористичної операції», якою передбачене скасування орендної плати за користування державним майном суб’єктам господарювання, які здійснюють діяльність на території проведення антитерористичної операції.</w:t>
      </w:r>
    </w:p>
  </w:footnote>
  <w:footnote w:id="6">
    <w:p w:rsidR="00DF1F08" w:rsidRDefault="00DF1F08" w:rsidP="004A4A2B">
      <w:pPr>
        <w:pStyle w:val="ae"/>
      </w:pPr>
      <w:r w:rsidRPr="009B42B8">
        <w:rPr>
          <w:rStyle w:val="afa"/>
        </w:rPr>
        <w:sym w:font="Symbol" w:char="F02A"/>
      </w:r>
      <w:r>
        <w:t xml:space="preserve"> </w:t>
      </w:r>
      <w:r>
        <w:rPr>
          <w:color w:val="000000"/>
        </w:rPr>
        <w:t>у</w:t>
      </w:r>
      <w:r w:rsidRPr="00944F76">
        <w:rPr>
          <w:color w:val="000000"/>
        </w:rPr>
        <w:t xml:space="preserve"> т. ч. </w:t>
      </w:r>
      <w:proofErr w:type="spellStart"/>
      <w:r w:rsidRPr="00944F76">
        <w:rPr>
          <w:color w:val="000000"/>
        </w:rPr>
        <w:t>ХК</w:t>
      </w:r>
      <w:proofErr w:type="spellEnd"/>
      <w:r w:rsidRPr="00944F76">
        <w:rPr>
          <w:color w:val="000000"/>
        </w:rPr>
        <w:t xml:space="preserve">, </w:t>
      </w:r>
      <w:proofErr w:type="spellStart"/>
      <w:r w:rsidRPr="00944F76">
        <w:rPr>
          <w:color w:val="000000"/>
        </w:rPr>
        <w:t>які</w:t>
      </w:r>
      <w:proofErr w:type="spellEnd"/>
      <w:r w:rsidRPr="00944F76">
        <w:rPr>
          <w:color w:val="000000"/>
        </w:rPr>
        <w:t xml:space="preserve"> </w:t>
      </w:r>
      <w:proofErr w:type="spellStart"/>
      <w:r w:rsidRPr="00944F76">
        <w:rPr>
          <w:color w:val="000000"/>
        </w:rPr>
        <w:t>знаходяться</w:t>
      </w:r>
      <w:proofErr w:type="spellEnd"/>
      <w:r w:rsidRPr="00944F76">
        <w:rPr>
          <w:color w:val="000000"/>
        </w:rPr>
        <w:t xml:space="preserve"> на </w:t>
      </w:r>
      <w:proofErr w:type="spellStart"/>
      <w:r w:rsidRPr="00944F76">
        <w:rPr>
          <w:color w:val="000000"/>
        </w:rPr>
        <w:t>обліку</w:t>
      </w:r>
      <w:proofErr w:type="spellEnd"/>
      <w:r w:rsidRPr="00944F76">
        <w:rPr>
          <w:color w:val="000000"/>
        </w:rPr>
        <w:t xml:space="preserve"> </w:t>
      </w:r>
      <w:proofErr w:type="spellStart"/>
      <w:r w:rsidRPr="00944F76">
        <w:rPr>
          <w:color w:val="000000"/>
        </w:rPr>
        <w:t>інших</w:t>
      </w:r>
      <w:proofErr w:type="spellEnd"/>
      <w:r w:rsidRPr="00944F76">
        <w:rPr>
          <w:color w:val="000000"/>
        </w:rPr>
        <w:t xml:space="preserve"> </w:t>
      </w:r>
      <w:proofErr w:type="spellStart"/>
      <w:r w:rsidRPr="00944F76">
        <w:rPr>
          <w:color w:val="000000"/>
        </w:rPr>
        <w:t>органів</w:t>
      </w:r>
      <w:proofErr w:type="spellEnd"/>
      <w:r w:rsidRPr="00944F76">
        <w:rPr>
          <w:color w:val="000000"/>
        </w:rPr>
        <w:t xml:space="preserve"> </w:t>
      </w:r>
      <w:proofErr w:type="spellStart"/>
      <w:r w:rsidRPr="00944F76">
        <w:rPr>
          <w:color w:val="000000"/>
        </w:rPr>
        <w:t>виконавчої</w:t>
      </w:r>
      <w:proofErr w:type="spellEnd"/>
      <w:r w:rsidRPr="00944F76">
        <w:rPr>
          <w:color w:val="000000"/>
        </w:rPr>
        <w:t xml:space="preserve"> </w:t>
      </w:r>
      <w:proofErr w:type="spellStart"/>
      <w:r w:rsidRPr="00944F76">
        <w:rPr>
          <w:color w:val="000000"/>
        </w:rPr>
        <w:t>влади</w:t>
      </w:r>
      <w:proofErr w:type="spellEnd"/>
    </w:p>
  </w:footnote>
  <w:footnote w:id="7">
    <w:p w:rsidR="00DF1F08" w:rsidRPr="00BC2617" w:rsidRDefault="00DF1F08" w:rsidP="00BC2617">
      <w:pPr>
        <w:pStyle w:val="ae"/>
        <w:rPr>
          <w:lang w:val="uk-UA"/>
        </w:rPr>
      </w:pPr>
      <w:r w:rsidRPr="00BC2617">
        <w:rPr>
          <w:rStyle w:val="afa"/>
          <w:lang w:val="uk-UA"/>
        </w:rPr>
        <w:sym w:font="Symbol" w:char="F02A"/>
      </w:r>
      <w:r w:rsidRPr="00BC2617">
        <w:rPr>
          <w:lang w:val="uk-UA"/>
        </w:rPr>
        <w:t> </w:t>
      </w:r>
      <w:r w:rsidRPr="00BC2617">
        <w:rPr>
          <w:szCs w:val="28"/>
          <w:lang w:val="uk-UA"/>
        </w:rPr>
        <w:t>відповідно до пункту 4.6 Методичних рекомендацій застосування критеріїв визначення ефективності управління об’єктами державної власності оцінка результатів діяльності не проводиться стосовно підприємств, які створені у звітному періоді; щодо яких розпочато процедуру реорганізації (реструктуризації) або ліквідації за рішенням суб’єкта управління або за рішенням суду; які розташовані за межами території України, тощо</w:t>
      </w:r>
      <w:r w:rsidRPr="00BC2617">
        <w:rPr>
          <w:lang w:val="uk-UA"/>
        </w:rPr>
        <w:t>.</w:t>
      </w:r>
    </w:p>
  </w:footnote>
  <w:footnote w:id="8">
    <w:p w:rsidR="00DF1F08" w:rsidRPr="00A5280A" w:rsidRDefault="00DF1F08" w:rsidP="00A5280A">
      <w:pPr>
        <w:pStyle w:val="ae"/>
        <w:rPr>
          <w:lang w:val="uk-UA"/>
        </w:rPr>
      </w:pPr>
      <w:r w:rsidRPr="00A5280A">
        <w:rPr>
          <w:rStyle w:val="afa"/>
          <w:lang w:val="uk-UA"/>
        </w:rPr>
        <w:sym w:font="Symbol" w:char="F02A"/>
      </w:r>
      <w:r w:rsidRPr="00A5280A">
        <w:rPr>
          <w:lang w:val="uk-UA"/>
        </w:rPr>
        <w:t> </w:t>
      </w:r>
      <w:proofErr w:type="spellStart"/>
      <w:r w:rsidRPr="00A5280A">
        <w:rPr>
          <w:sz w:val="22"/>
          <w:szCs w:val="22"/>
          <w:lang w:val="uk-UA"/>
        </w:rPr>
        <w:t>ДП</w:t>
      </w:r>
      <w:proofErr w:type="spellEnd"/>
      <w:r w:rsidRPr="00A5280A">
        <w:rPr>
          <w:sz w:val="22"/>
          <w:szCs w:val="22"/>
          <w:lang w:val="uk-UA"/>
        </w:rPr>
        <w:t xml:space="preserve"> «Сєверодонецька ТЕЦ» (у сфері управління апарату Фонду); </w:t>
      </w:r>
      <w:proofErr w:type="spellStart"/>
      <w:r w:rsidRPr="00A5280A">
        <w:rPr>
          <w:sz w:val="22"/>
          <w:szCs w:val="22"/>
          <w:lang w:val="uk-UA"/>
        </w:rPr>
        <w:t>ДП</w:t>
      </w:r>
      <w:proofErr w:type="spellEnd"/>
      <w:r w:rsidRPr="00A5280A">
        <w:rPr>
          <w:sz w:val="22"/>
          <w:szCs w:val="22"/>
          <w:lang w:val="uk-UA"/>
        </w:rPr>
        <w:t xml:space="preserve"> «Український державний науково-технічний центр антикризових технологій в промисловості»</w:t>
      </w:r>
      <w:r w:rsidRPr="00A5280A">
        <w:rPr>
          <w:b/>
          <w:sz w:val="22"/>
          <w:szCs w:val="22"/>
          <w:lang w:val="uk-UA"/>
        </w:rPr>
        <w:t xml:space="preserve"> </w:t>
      </w:r>
      <w:r w:rsidRPr="00A5280A">
        <w:rPr>
          <w:sz w:val="22"/>
          <w:szCs w:val="22"/>
          <w:lang w:val="uk-UA"/>
        </w:rPr>
        <w:t>(у сфері управління апарату Фонду)</w:t>
      </w:r>
      <w:r w:rsidRPr="00A5280A">
        <w:rPr>
          <w:lang w:val="uk-UA"/>
        </w:rPr>
        <w:t>.</w:t>
      </w:r>
    </w:p>
  </w:footnote>
  <w:footnote w:id="9">
    <w:p w:rsidR="00DF1F08" w:rsidRPr="00A5280A" w:rsidRDefault="00DF1F08" w:rsidP="00A5280A">
      <w:pPr>
        <w:pStyle w:val="ae"/>
        <w:rPr>
          <w:lang w:val="uk-UA"/>
        </w:rPr>
      </w:pPr>
      <w:r w:rsidRPr="00A5280A">
        <w:rPr>
          <w:rStyle w:val="afa"/>
          <w:lang w:val="uk-UA"/>
        </w:rPr>
        <w:sym w:font="Symbol" w:char="F02A"/>
      </w:r>
      <w:r w:rsidRPr="00A5280A">
        <w:rPr>
          <w:rStyle w:val="afa"/>
          <w:lang w:val="uk-UA"/>
        </w:rPr>
        <w:sym w:font="Symbol" w:char="F02A"/>
      </w:r>
      <w:r w:rsidRPr="00A5280A">
        <w:rPr>
          <w:lang w:val="uk-UA"/>
        </w:rPr>
        <w:t> </w:t>
      </w:r>
      <w:r w:rsidRPr="00A5280A">
        <w:rPr>
          <w:sz w:val="22"/>
          <w:szCs w:val="22"/>
          <w:lang w:val="uk-UA"/>
        </w:rPr>
        <w:t>Черкаський державний завод хімічних реактивів (у сфері управління апарату Фонду)</w:t>
      </w:r>
      <w:r w:rsidRPr="00A5280A">
        <w:rPr>
          <w:spacing w:val="-2"/>
          <w:sz w:val="22"/>
          <w:szCs w:val="22"/>
          <w:lang w:val="uk-UA"/>
        </w:rPr>
        <w:t>.</w:t>
      </w:r>
    </w:p>
  </w:footnote>
  <w:footnote w:id="10">
    <w:p w:rsidR="00DF1F08" w:rsidRPr="00A5280A" w:rsidRDefault="00DF1F08" w:rsidP="00A5280A">
      <w:pPr>
        <w:pStyle w:val="ae"/>
        <w:rPr>
          <w:lang w:val="uk-UA"/>
        </w:rPr>
      </w:pPr>
      <w:r w:rsidRPr="00A5280A">
        <w:rPr>
          <w:rStyle w:val="afa"/>
          <w:lang w:val="uk-UA"/>
        </w:rPr>
        <w:t>***</w:t>
      </w:r>
      <w:r w:rsidRPr="00A5280A">
        <w:rPr>
          <w:lang w:val="uk-UA"/>
        </w:rPr>
        <w:t> </w:t>
      </w:r>
      <w:r w:rsidRPr="00A5280A">
        <w:rPr>
          <w:sz w:val="22"/>
          <w:szCs w:val="22"/>
          <w:lang w:val="uk-UA"/>
        </w:rPr>
        <w:t>Державне виробниче підприємство «</w:t>
      </w:r>
      <w:proofErr w:type="spellStart"/>
      <w:r w:rsidRPr="00A5280A">
        <w:rPr>
          <w:sz w:val="22"/>
          <w:szCs w:val="22"/>
          <w:lang w:val="uk-UA"/>
        </w:rPr>
        <w:t>Дніпронерудпром</w:t>
      </w:r>
      <w:proofErr w:type="spellEnd"/>
      <w:r w:rsidRPr="00A5280A">
        <w:rPr>
          <w:sz w:val="22"/>
          <w:szCs w:val="22"/>
          <w:lang w:val="uk-UA"/>
        </w:rPr>
        <w:t xml:space="preserve">» (у сфері управління Регіонального відділення Фонду по Дніпропетровській області), </w:t>
      </w:r>
      <w:proofErr w:type="spellStart"/>
      <w:r w:rsidRPr="00A5280A">
        <w:rPr>
          <w:sz w:val="22"/>
          <w:szCs w:val="22"/>
          <w:lang w:val="uk-UA"/>
        </w:rPr>
        <w:t>ДП</w:t>
      </w:r>
      <w:proofErr w:type="spellEnd"/>
      <w:r w:rsidRPr="00A5280A">
        <w:rPr>
          <w:sz w:val="22"/>
          <w:szCs w:val="22"/>
          <w:lang w:val="uk-UA"/>
        </w:rPr>
        <w:t xml:space="preserve"> «Центральне конструкторсько-технологічне бюро» (у сфері управління Регіонального відділення Фонду по Харківській області), </w:t>
      </w:r>
      <w:proofErr w:type="spellStart"/>
      <w:r w:rsidRPr="00A5280A">
        <w:rPr>
          <w:sz w:val="22"/>
          <w:szCs w:val="22"/>
          <w:lang w:val="uk-UA"/>
        </w:rPr>
        <w:t>ДП</w:t>
      </w:r>
      <w:proofErr w:type="spellEnd"/>
      <w:r w:rsidRPr="00A5280A">
        <w:rPr>
          <w:sz w:val="22"/>
          <w:szCs w:val="22"/>
          <w:lang w:val="uk-UA"/>
        </w:rPr>
        <w:t xml:space="preserve"> «ВО «</w:t>
      </w:r>
      <w:proofErr w:type="spellStart"/>
      <w:r w:rsidRPr="00A5280A">
        <w:rPr>
          <w:sz w:val="22"/>
          <w:szCs w:val="22"/>
          <w:lang w:val="uk-UA"/>
        </w:rPr>
        <w:t>Знамя</w:t>
      </w:r>
      <w:proofErr w:type="spellEnd"/>
      <w:r w:rsidRPr="00A5280A">
        <w:rPr>
          <w:sz w:val="22"/>
          <w:szCs w:val="22"/>
          <w:lang w:val="uk-UA"/>
        </w:rPr>
        <w:t xml:space="preserve">» (у сфері управління Регіонального відділення Фонду по Полтавській області), </w:t>
      </w:r>
      <w:r w:rsidRPr="00A5280A">
        <w:rPr>
          <w:spacing w:val="-2"/>
          <w:sz w:val="22"/>
          <w:szCs w:val="22"/>
          <w:lang w:val="uk-UA"/>
        </w:rPr>
        <w:t>Костянтинівський державний хімічний завод (у сфері управління апарату Фонду)</w:t>
      </w:r>
      <w:r w:rsidRPr="00A5280A">
        <w:rPr>
          <w:sz w:val="22"/>
          <w:szCs w:val="22"/>
          <w:lang w:val="uk-UA"/>
        </w:rPr>
        <w:t xml:space="preserve"> .</w:t>
      </w:r>
    </w:p>
  </w:footnote>
  <w:footnote w:id="11">
    <w:p w:rsidR="00DF1F08" w:rsidRDefault="00DF1F08" w:rsidP="00035C3A">
      <w:pPr>
        <w:pStyle w:val="ae"/>
      </w:pPr>
      <w:r w:rsidRPr="003D0FE5">
        <w:rPr>
          <w:rStyle w:val="afa"/>
        </w:rPr>
        <w:sym w:font="Symbol" w:char="F02A"/>
      </w:r>
      <w:r>
        <w:t xml:space="preserve"> </w:t>
      </w:r>
      <w:r>
        <w:rPr>
          <w:sz w:val="22"/>
          <w:szCs w:val="22"/>
        </w:rPr>
        <w:t>без</w:t>
      </w:r>
      <w:r w:rsidRPr="00FB2757">
        <w:rPr>
          <w:sz w:val="22"/>
          <w:szCs w:val="22"/>
        </w:rPr>
        <w:t xml:space="preserve"> </w:t>
      </w:r>
      <w:proofErr w:type="spellStart"/>
      <w:r>
        <w:rPr>
          <w:sz w:val="22"/>
          <w:szCs w:val="22"/>
        </w:rPr>
        <w:t>у</w:t>
      </w:r>
      <w:r w:rsidRPr="00FB2757">
        <w:rPr>
          <w:sz w:val="22"/>
          <w:szCs w:val="22"/>
        </w:rPr>
        <w:t>рахування</w:t>
      </w:r>
      <w:proofErr w:type="spellEnd"/>
      <w:r>
        <w:rPr>
          <w:sz w:val="22"/>
          <w:szCs w:val="22"/>
        </w:rPr>
        <w:t xml:space="preserve"> </w:t>
      </w:r>
      <w:proofErr w:type="spellStart"/>
      <w:r>
        <w:rPr>
          <w:sz w:val="22"/>
          <w:szCs w:val="22"/>
        </w:rPr>
        <w:t>показників</w:t>
      </w:r>
      <w:proofErr w:type="spellEnd"/>
      <w:r>
        <w:rPr>
          <w:sz w:val="22"/>
          <w:szCs w:val="22"/>
        </w:rPr>
        <w:t xml:space="preserve"> </w:t>
      </w:r>
      <w:proofErr w:type="spellStart"/>
      <w:r>
        <w:rPr>
          <w:sz w:val="22"/>
          <w:szCs w:val="22"/>
        </w:rPr>
        <w:t>діяльності</w:t>
      </w:r>
      <w:proofErr w:type="spellEnd"/>
      <w:r>
        <w:rPr>
          <w:sz w:val="22"/>
          <w:szCs w:val="22"/>
        </w:rPr>
        <w:t xml:space="preserve"> </w:t>
      </w:r>
      <w:proofErr w:type="spellStart"/>
      <w:r>
        <w:rPr>
          <w:sz w:val="22"/>
          <w:szCs w:val="22"/>
        </w:rPr>
        <w:t>регіональних</w:t>
      </w:r>
      <w:proofErr w:type="spellEnd"/>
      <w:r>
        <w:rPr>
          <w:sz w:val="22"/>
          <w:szCs w:val="22"/>
        </w:rPr>
        <w:t xml:space="preserve"> </w:t>
      </w:r>
      <w:proofErr w:type="spellStart"/>
      <w:r>
        <w:rPr>
          <w:sz w:val="22"/>
          <w:szCs w:val="22"/>
        </w:rPr>
        <w:t>відділень</w:t>
      </w:r>
      <w:proofErr w:type="spellEnd"/>
      <w:r>
        <w:rPr>
          <w:sz w:val="22"/>
          <w:szCs w:val="22"/>
        </w:rPr>
        <w:t xml:space="preserve"> Фонду</w:t>
      </w:r>
      <w:r w:rsidRPr="00FB2757">
        <w:rPr>
          <w:sz w:val="22"/>
          <w:szCs w:val="22"/>
        </w:rPr>
        <w:t xml:space="preserve"> по </w:t>
      </w:r>
      <w:proofErr w:type="spellStart"/>
      <w:r w:rsidRPr="00FB2757">
        <w:rPr>
          <w:sz w:val="22"/>
          <w:szCs w:val="22"/>
        </w:rPr>
        <w:t>До</w:t>
      </w:r>
      <w:r>
        <w:rPr>
          <w:sz w:val="22"/>
          <w:szCs w:val="22"/>
        </w:rPr>
        <w:t>нецькій</w:t>
      </w:r>
      <w:proofErr w:type="spellEnd"/>
      <w:r>
        <w:rPr>
          <w:sz w:val="22"/>
          <w:szCs w:val="22"/>
        </w:rPr>
        <w:t xml:space="preserve"> </w:t>
      </w:r>
      <w:proofErr w:type="spellStart"/>
      <w:r>
        <w:rPr>
          <w:sz w:val="22"/>
          <w:szCs w:val="22"/>
        </w:rPr>
        <w:t>і</w:t>
      </w:r>
      <w:proofErr w:type="spellEnd"/>
      <w:r>
        <w:rPr>
          <w:sz w:val="22"/>
          <w:szCs w:val="22"/>
        </w:rPr>
        <w:t xml:space="preserve"> </w:t>
      </w:r>
      <w:proofErr w:type="spellStart"/>
      <w:r>
        <w:rPr>
          <w:sz w:val="22"/>
          <w:szCs w:val="22"/>
        </w:rPr>
        <w:t>Луганській</w:t>
      </w:r>
      <w:proofErr w:type="spellEnd"/>
      <w:r>
        <w:rPr>
          <w:sz w:val="22"/>
          <w:szCs w:val="22"/>
        </w:rPr>
        <w:t xml:space="preserve"> областях</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F08" w:rsidRDefault="00095093" w:rsidP="00BE4231">
    <w:pPr>
      <w:pStyle w:val="a3"/>
      <w:ind w:firstLine="0"/>
    </w:pPr>
    <w:r>
      <w:rPr>
        <w:noProof/>
        <w:lang w:eastAsia="uk-UA"/>
      </w:rPr>
      <w:pict>
        <v:shapetype id="_x0000_t202" coordsize="21600,21600" o:spt="202" path="m,l,21600r21600,l21600,xe">
          <v:stroke joinstyle="miter"/>
          <v:path gradientshapeok="t" o:connecttype="rect"/>
        </v:shapetype>
        <v:shape id="Текстовое поле 218" o:spid="_x0000_s4117" type="#_x0000_t202" style="position:absolute;margin-left:26952.8pt;margin-top:21.9pt;width:468pt;height:31.3pt;z-index:251663360;visibility:visible;mso-width-percent:1000;mso-position-horizontal:right;mso-position-horizontal-relative:margin;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" o:allowincell="f" fillcolor="#9cc2e5 [1940]" stroked="f">
          <v:textbox inset=",0,,0">
            <w:txbxContent>
              <w:sdt>
                <w:sdtPr>
                  <w:rPr>
                    <w:noProof/>
                    <w:sz w:val="22"/>
                  </w:rPr>
                  <w:alias w:val="Название"/>
                  <w:id w:val="261263541"/>
                  <w:dataBinding w:prefixMappings="xmlns:ns0='http://schemas.openxmlformats.org/package/2006/metadata/core-properties' xmlns:ns1='http://purl.org/dc/elements/1.1/'" w:xpath="/ns0:coreProperties[1]/ns1:title[1]" w:storeItemID="{6C3C8BC8-F283-45AE-878A-BAB7291924A1}"/>
                  <w:text/>
                </w:sdtPr>
                <w:sdtContent>
                  <w:p w:rsidR="00DF1F08" w:rsidRPr="001E5CAD" w:rsidRDefault="00DF1F08" w:rsidP="00720788">
                    <w:pPr>
                      <w:ind w:firstLine="0"/>
                      <w:rPr>
                        <w:noProof/>
                        <w:sz w:val="22"/>
                      </w:rPr>
                    </w:pPr>
                    <w:r>
                      <w:rPr>
                        <w:noProof/>
                        <w:sz w:val="22"/>
                      </w:rPr>
                      <w:t xml:space="preserve">Звіт про роботу Фонду державного майна України, </w:t>
                    </w:r>
                  </w:p>
                </w:sdtContent>
              </w:sdt>
              <w:p w:rsidR="00DF1F08" w:rsidRPr="001E5CAD" w:rsidRDefault="00DF1F08" w:rsidP="00720788">
                <w:pPr>
                  <w:ind w:firstLine="0"/>
                  <w:rPr>
                    <w:noProof/>
                    <w:sz w:val="22"/>
                  </w:rPr>
                </w:pPr>
                <w:r w:rsidRPr="001E5CAD">
                  <w:rPr>
                    <w:noProof/>
                    <w:sz w:val="22"/>
                  </w:rPr>
                  <w:t xml:space="preserve">хід та </w:t>
                </w:r>
                <w:r>
                  <w:rPr>
                    <w:noProof/>
                    <w:sz w:val="22"/>
                  </w:rPr>
                  <w:t xml:space="preserve">результати </w:t>
                </w:r>
                <w:r w:rsidRPr="001E5CAD">
                  <w:rPr>
                    <w:noProof/>
                    <w:sz w:val="22"/>
                  </w:rPr>
                  <w:t>виконання Державної програми приватизації у 2016 році</w:t>
                </w:r>
              </w:p>
            </w:txbxContent>
          </v:textbox>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F08" w:rsidRDefault="00095093" w:rsidP="00BE4231">
    <w:pPr>
      <w:pStyle w:val="a3"/>
      <w:ind w:firstLine="0"/>
    </w:pPr>
    <w:r>
      <w:rPr>
        <w:noProof/>
        <w:lang w:eastAsia="uk-UA"/>
      </w:rPr>
      <w:pict>
        <v:shapetype id="_x0000_t202" coordsize="21600,21600" o:spt="202" path="m,l,21600r21600,l21600,xe">
          <v:stroke joinstyle="miter"/>
          <v:path gradientshapeok="t" o:connecttype="rect"/>
        </v:shapetype>
        <v:shape id="_x0000_s4110" type="#_x0000_t202" style="position:absolute;margin-left:26952.8pt;margin-top:35.25pt;width:468pt;height:16.5pt;z-index:251691008;visibility:visible;mso-width-percent:1000;mso-position-horizontal:right;mso-position-horizontal-relative:margin;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" o:allowincell="f" fillcolor="#9cc2e5 [1940]" stroked="f">
          <v:textbox style="mso-next-textbox:#_x0000_s4110" inset=",0,,0">
            <w:txbxContent>
              <w:p w:rsidR="00DF1F08" w:rsidRPr="00D879BD" w:rsidRDefault="00DF1F08" w:rsidP="00D879BD">
                <w:pPr>
                  <w:ind w:firstLine="0"/>
                  <w:jc w:val="right"/>
                  <w:rPr>
                    <w:noProof/>
                    <w:sz w:val="22"/>
                    <w:lang w:val="en-US"/>
                  </w:rPr>
                </w:pPr>
                <w:r>
                  <w:rPr>
                    <w:sz w:val="22"/>
                  </w:rPr>
                  <w:t xml:space="preserve">Додаток </w:t>
                </w:r>
                <w:r>
                  <w:rPr>
                    <w:sz w:val="22"/>
                    <w:lang w:val="en-US"/>
                  </w:rPr>
                  <w:t>4</w:t>
                </w:r>
              </w:p>
            </w:txbxContent>
          </v:textbox>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F08" w:rsidRPr="002B3DF4" w:rsidRDefault="00095093" w:rsidP="00BE4231">
    <w:pPr>
      <w:pStyle w:val="a3"/>
      <w:ind w:firstLine="0"/>
      <w:rPr>
        <w:sz w:val="2"/>
        <w:szCs w:val="2"/>
      </w:rPr>
    </w:pPr>
    <w:r>
      <w:rPr>
        <w:noProof/>
        <w:sz w:val="2"/>
        <w:szCs w:val="2"/>
        <w:lang w:eastAsia="uk-UA"/>
      </w:rPr>
      <w:pict>
        <v:shapetype id="_x0000_t202" coordsize="21600,21600" o:spt="202" path="m,l,21600r21600,l21600,xe">
          <v:stroke joinstyle="miter"/>
          <v:path gradientshapeok="t" o:connecttype="rect"/>
        </v:shapetype>
        <v:shape id="_x0000_s4109" type="#_x0000_t202" style="position:absolute;margin-left:0;margin-top:27.65pt;width:765.45pt;height:12.65pt;z-index:251671552;visibility:visible;mso-width-percent:1000;mso-position-horizontal-relative:margin;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" o:allowincell="f" fillcolor="#9cc2e5 [1940]" stroked="f">
          <v:textbox style="mso-next-textbox:#_x0000_s4109;mso-fit-shape-to-text:t" inset=",0,,0">
            <w:txbxContent>
              <w:p w:rsidR="00DF1F08" w:rsidRPr="00052F2E" w:rsidRDefault="00DF1F08">
                <w:pPr>
                  <w:jc w:val="right"/>
                  <w:rPr>
                    <w:sz w:val="22"/>
                    <w:lang w:val="en-US"/>
                  </w:rPr>
                </w:pPr>
                <w:r>
                  <w:rPr>
                    <w:sz w:val="22"/>
                  </w:rPr>
                  <w:t xml:space="preserve">Додаток </w:t>
                </w:r>
                <w:r>
                  <w:rPr>
                    <w:sz w:val="22"/>
                    <w:lang w:val="en-US"/>
                  </w:rPr>
                  <w:t>4</w:t>
                </w:r>
              </w:p>
            </w:txbxContent>
          </v:textbox>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F08" w:rsidRDefault="00095093" w:rsidP="00BE4231">
    <w:pPr>
      <w:pStyle w:val="a3"/>
      <w:ind w:firstLine="0"/>
    </w:pPr>
    <w:r>
      <w:rPr>
        <w:noProof/>
        <w:lang w:eastAsia="uk-UA"/>
      </w:rPr>
      <w:pict>
        <v:shapetype id="_x0000_t202" coordsize="21600,21600" o:spt="202" path="m,l,21600r21600,l21600,xe">
          <v:stroke joinstyle="miter"/>
          <v:path gradientshapeok="t" o:connecttype="rect"/>
        </v:shapetype>
        <v:shape id="_x0000_s4141" type="#_x0000_t202" style="position:absolute;margin-left:26952.8pt;margin-top:35.25pt;width:468pt;height:16.5pt;z-index:251712512;visibility:visible;mso-width-percent:1000;mso-position-horizontal:right;mso-position-horizontal-relative:margin;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" o:allowincell="f" fillcolor="#9cc2e5 [1940]" stroked="f">
          <v:textbox inset=",0,,0">
            <w:txbxContent>
              <w:p w:rsidR="00DF1F08" w:rsidRPr="00FD3680" w:rsidRDefault="00DF1F08" w:rsidP="00D879BD">
                <w:pPr>
                  <w:ind w:firstLine="0"/>
                  <w:jc w:val="right"/>
                  <w:rPr>
                    <w:noProof/>
                    <w:sz w:val="22"/>
                  </w:rPr>
                </w:pPr>
                <w:r>
                  <w:rPr>
                    <w:sz w:val="22"/>
                  </w:rPr>
                  <w:t>Додаток 5</w:t>
                </w:r>
              </w:p>
            </w:txbxContent>
          </v:textbox>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F08" w:rsidRPr="002B3DF4" w:rsidRDefault="00095093" w:rsidP="00BE4231">
    <w:pPr>
      <w:pStyle w:val="a3"/>
      <w:ind w:firstLine="0"/>
      <w:rPr>
        <w:sz w:val="2"/>
        <w:szCs w:val="2"/>
      </w:rPr>
    </w:pPr>
    <w:r>
      <w:rPr>
        <w:noProof/>
        <w:sz w:val="2"/>
        <w:szCs w:val="2"/>
        <w:lang w:eastAsia="uk-UA"/>
      </w:rPr>
      <w:pict>
        <v:shapetype id="_x0000_t202" coordsize="21600,21600" o:spt="202" path="m,l,21600r21600,l21600,xe">
          <v:stroke joinstyle="miter"/>
          <v:path gradientshapeok="t" o:connecttype="rect"/>
        </v:shapetype>
        <v:shape id="_x0000_s4108" type="#_x0000_t202" style="position:absolute;margin-left:0;margin-top:30.65pt;width:765.45pt;height:12.65pt;z-index:251675648;visibility:visible;mso-width-percent:1000;mso-position-horizontal-relative:margin;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" o:allowincell="f" fillcolor="#9cc2e5 [1940]" stroked="f">
          <v:textbox style="mso-fit-shape-to-text:t" inset=",0,,0">
            <w:txbxContent>
              <w:p w:rsidR="00DF1F08" w:rsidRPr="00107BFA" w:rsidRDefault="00DF1F08">
                <w:pPr>
                  <w:jc w:val="right"/>
                  <w:rPr>
                    <w:sz w:val="22"/>
                    <w:lang w:val="en-US"/>
                  </w:rPr>
                </w:pPr>
                <w:r>
                  <w:rPr>
                    <w:sz w:val="22"/>
                  </w:rPr>
                  <w:t xml:space="preserve">Додаток </w:t>
                </w:r>
                <w:r>
                  <w:rPr>
                    <w:sz w:val="22"/>
                    <w:lang w:val="en-US"/>
                  </w:rPr>
                  <w:t>5</w:t>
                </w:r>
              </w:p>
            </w:txbxContent>
          </v:textbox>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F08" w:rsidRDefault="00095093" w:rsidP="00BE4231">
    <w:pPr>
      <w:pStyle w:val="a3"/>
      <w:ind w:firstLine="0"/>
    </w:pPr>
    <w:r>
      <w:rPr>
        <w:noProof/>
        <w:lang w:eastAsia="uk-UA"/>
      </w:rPr>
      <w:pict>
        <v:shapetype id="_x0000_t202" coordsize="21600,21600" o:spt="202" path="m,l,21600r21600,l21600,xe">
          <v:stroke joinstyle="miter"/>
          <v:path gradientshapeok="t" o:connecttype="rect"/>
        </v:shapetype>
        <v:shape id="_x0000_s4107" type="#_x0000_t202" style="position:absolute;margin-left:26952.8pt;margin-top:35.25pt;width:468pt;height:16.5pt;z-index:251693056;visibility:visible;mso-width-percent:1000;mso-position-horizontal:right;mso-position-horizontal-relative:margin;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" o:allowincell="f" fillcolor="#9cc2e5 [1940]" stroked="f">
          <v:textbox inset=",0,,0">
            <w:txbxContent>
              <w:p w:rsidR="00DF1F08" w:rsidRPr="00D879BD" w:rsidRDefault="00DF1F08" w:rsidP="00D879BD">
                <w:pPr>
                  <w:ind w:firstLine="0"/>
                  <w:jc w:val="right"/>
                  <w:rPr>
                    <w:noProof/>
                    <w:sz w:val="22"/>
                    <w:lang w:val="en-US"/>
                  </w:rPr>
                </w:pPr>
                <w:r>
                  <w:rPr>
                    <w:sz w:val="22"/>
                  </w:rPr>
                  <w:t xml:space="preserve">Додаток </w:t>
                </w:r>
                <w:r>
                  <w:rPr>
                    <w:sz w:val="22"/>
                    <w:lang w:val="en-US"/>
                  </w:rPr>
                  <w:t>6</w:t>
                </w:r>
              </w:p>
            </w:txbxContent>
          </v:textbox>
          <w10:wrap anchorx="margin" anchory="margin"/>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F08" w:rsidRPr="002B3DF4" w:rsidRDefault="00095093" w:rsidP="00BE4231">
    <w:pPr>
      <w:pStyle w:val="a3"/>
      <w:ind w:firstLine="0"/>
      <w:rPr>
        <w:sz w:val="2"/>
        <w:szCs w:val="2"/>
      </w:rPr>
    </w:pPr>
    <w:r>
      <w:rPr>
        <w:noProof/>
        <w:sz w:val="2"/>
        <w:szCs w:val="2"/>
        <w:lang w:eastAsia="uk-UA"/>
      </w:rPr>
      <w:pict>
        <v:shapetype id="_x0000_t202" coordsize="21600,21600" o:spt="202" path="m,l,21600r21600,l21600,xe">
          <v:stroke joinstyle="miter"/>
          <v:path gradientshapeok="t" o:connecttype="rect"/>
        </v:shapetype>
        <v:shape id="_x0000_s4106" type="#_x0000_t202" style="position:absolute;margin-left:0;margin-top:26.15pt;width:765.45pt;height:12.65pt;z-index:251677696;visibility:visible;mso-width-percent:1000;mso-position-horizontal-relative:margin;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" o:allowincell="f" fillcolor="#9cc2e5 [1940]" stroked="f">
          <v:textbox style="mso-fit-shape-to-text:t" inset=",0,,0">
            <w:txbxContent>
              <w:p w:rsidR="00DF1F08" w:rsidRPr="00107BFA" w:rsidRDefault="00DF1F08">
                <w:pPr>
                  <w:jc w:val="right"/>
                  <w:rPr>
                    <w:sz w:val="22"/>
                    <w:lang w:val="en-US"/>
                  </w:rPr>
                </w:pPr>
                <w:r>
                  <w:rPr>
                    <w:sz w:val="22"/>
                  </w:rPr>
                  <w:t xml:space="preserve">Додаток </w:t>
                </w:r>
                <w:r>
                  <w:rPr>
                    <w:sz w:val="22"/>
                    <w:lang w:val="en-US"/>
                  </w:rPr>
                  <w:t>6</w:t>
                </w:r>
              </w:p>
            </w:txbxContent>
          </v:textbox>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F08" w:rsidRDefault="00095093" w:rsidP="00BE4231">
    <w:pPr>
      <w:pStyle w:val="a3"/>
      <w:ind w:firstLine="0"/>
    </w:pPr>
    <w:r>
      <w:rPr>
        <w:noProof/>
        <w:lang w:eastAsia="uk-UA"/>
      </w:rPr>
      <w:pict>
        <v:shapetype id="_x0000_t202" coordsize="21600,21600" o:spt="202" path="m,l,21600r21600,l21600,xe">
          <v:stroke joinstyle="miter"/>
          <v:path gradientshapeok="t" o:connecttype="rect"/>
        </v:shapetype>
        <v:shape id="_x0000_s4142" type="#_x0000_t202" style="position:absolute;margin-left:26952.8pt;margin-top:35.25pt;width:468pt;height:16.5pt;z-index:251714560;visibility:visible;mso-width-percent:1000;mso-position-horizontal:right;mso-position-horizontal-relative:margin;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" o:allowincell="f" fillcolor="#9cc2e5 [1940]" stroked="f">
          <v:textbox inset=",0,,0">
            <w:txbxContent>
              <w:p w:rsidR="00DF1F08" w:rsidRPr="00FD3680" w:rsidRDefault="00DF1F08" w:rsidP="00D879BD">
                <w:pPr>
                  <w:ind w:firstLine="0"/>
                  <w:jc w:val="right"/>
                  <w:rPr>
                    <w:noProof/>
                    <w:sz w:val="22"/>
                  </w:rPr>
                </w:pPr>
                <w:r>
                  <w:rPr>
                    <w:sz w:val="22"/>
                  </w:rPr>
                  <w:t>Додаток 7</w:t>
                </w:r>
              </w:p>
            </w:txbxContent>
          </v:textbox>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F08" w:rsidRPr="002B3DF4" w:rsidRDefault="00095093" w:rsidP="00BE4231">
    <w:pPr>
      <w:pStyle w:val="a3"/>
      <w:ind w:firstLine="0"/>
      <w:rPr>
        <w:sz w:val="2"/>
        <w:szCs w:val="2"/>
      </w:rPr>
    </w:pPr>
    <w:r>
      <w:rPr>
        <w:noProof/>
        <w:sz w:val="2"/>
        <w:szCs w:val="2"/>
        <w:lang w:eastAsia="uk-UA"/>
      </w:rPr>
      <w:pict>
        <v:shapetype id="_x0000_t202" coordsize="21600,21600" o:spt="202" path="m,l,21600r21600,l21600,xe">
          <v:stroke joinstyle="miter"/>
          <v:path gradientshapeok="t" o:connecttype="rect"/>
        </v:shapetype>
        <v:shape id="_x0000_s4105" type="#_x0000_t202" style="position:absolute;margin-left:0;margin-top:32.9pt;width:765.45pt;height:12.65pt;z-index:251679744;visibility:visible;mso-width-percent:1000;mso-position-horizontal-relative:margin;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" o:allowincell="f" fillcolor="#9cc2e5 [1940]" stroked="f">
          <v:textbox style="mso-fit-shape-to-text:t" inset=",0,,0">
            <w:txbxContent>
              <w:p w:rsidR="00DF1F08" w:rsidRPr="00107BFA" w:rsidRDefault="00DF1F08">
                <w:pPr>
                  <w:jc w:val="right"/>
                  <w:rPr>
                    <w:sz w:val="22"/>
                    <w:lang w:val="en-US"/>
                  </w:rPr>
                </w:pPr>
                <w:r>
                  <w:rPr>
                    <w:sz w:val="22"/>
                  </w:rPr>
                  <w:t xml:space="preserve">Додаток </w:t>
                </w:r>
                <w:r>
                  <w:rPr>
                    <w:sz w:val="22"/>
                    <w:lang w:val="en-US"/>
                  </w:rPr>
                  <w:t>7</w:t>
                </w:r>
              </w:p>
            </w:txbxContent>
          </v:textbox>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F08" w:rsidRDefault="00095093" w:rsidP="00BE4231">
    <w:pPr>
      <w:pStyle w:val="a3"/>
      <w:ind w:firstLine="0"/>
    </w:pPr>
    <w:r>
      <w:rPr>
        <w:noProof/>
        <w:lang w:eastAsia="uk-UA"/>
      </w:rPr>
      <w:pict>
        <v:shapetype id="_x0000_t202" coordsize="21600,21600" o:spt="202" path="m,l,21600r21600,l21600,xe">
          <v:stroke joinstyle="miter"/>
          <v:path gradientshapeok="t" o:connecttype="rect"/>
        </v:shapetype>
        <v:shape id="_x0000_s4104" type="#_x0000_t202" style="position:absolute;margin-left:26952.8pt;margin-top:35.25pt;width:468pt;height:16.5pt;z-index:251695104;visibility:visible;mso-width-percent:1000;mso-position-horizontal:right;mso-position-horizontal-relative:margin;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" o:allowincell="f" fillcolor="#9cc2e5 [1940]" stroked="f">
          <v:textbox style="mso-next-textbox:#_x0000_s4104" inset=",0,,0">
            <w:txbxContent>
              <w:p w:rsidR="00DF1F08" w:rsidRPr="00D879BD" w:rsidRDefault="00DF1F08" w:rsidP="00D879BD">
                <w:pPr>
                  <w:ind w:firstLine="0"/>
                  <w:jc w:val="right"/>
                  <w:rPr>
                    <w:noProof/>
                    <w:sz w:val="22"/>
                    <w:lang w:val="en-US"/>
                  </w:rPr>
                </w:pPr>
                <w:r>
                  <w:rPr>
                    <w:sz w:val="22"/>
                  </w:rPr>
                  <w:t xml:space="preserve">Додаток </w:t>
                </w:r>
                <w:r>
                  <w:rPr>
                    <w:sz w:val="22"/>
                    <w:lang w:val="en-US"/>
                  </w:rPr>
                  <w:t>8</w:t>
                </w:r>
              </w:p>
            </w:txbxContent>
          </v:textbox>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F08" w:rsidRPr="002B3DF4" w:rsidRDefault="00095093" w:rsidP="00BE4231">
    <w:pPr>
      <w:pStyle w:val="a3"/>
      <w:ind w:firstLine="0"/>
      <w:rPr>
        <w:sz w:val="2"/>
        <w:szCs w:val="2"/>
      </w:rPr>
    </w:pPr>
    <w:r>
      <w:rPr>
        <w:noProof/>
        <w:sz w:val="2"/>
        <w:szCs w:val="2"/>
        <w:lang w:eastAsia="uk-UA"/>
      </w:rPr>
      <w:pict>
        <v:shapetype id="_x0000_t202" coordsize="21600,21600" o:spt="202" path="m,l,21600r21600,l21600,xe">
          <v:stroke joinstyle="miter"/>
          <v:path gradientshapeok="t" o:connecttype="rect"/>
        </v:shapetype>
        <v:shape id="_x0000_s4103" type="#_x0000_t202" style="position:absolute;margin-left:0;margin-top:20.15pt;width:468pt;height:13.7pt;z-index:251681792;visibility:visible;mso-width-percent:1000;mso-position-horizontal:center;mso-position-horizontal-relative:margin;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" o:allowincell="f" fillcolor="#9cc2e5 [1940]" stroked="f">
          <v:textbox style="mso-next-textbox:#_x0000_s4103;mso-fit-shape-to-text:t" inset=",0,,0">
            <w:txbxContent>
              <w:p w:rsidR="00DF1F08" w:rsidRPr="00107BFA" w:rsidRDefault="00DF1F08">
                <w:pPr>
                  <w:jc w:val="right"/>
                  <w:rPr>
                    <w:sz w:val="22"/>
                    <w:lang w:val="en-US"/>
                  </w:rPr>
                </w:pPr>
                <w:r>
                  <w:rPr>
                    <w:sz w:val="22"/>
                  </w:rPr>
                  <w:t xml:space="preserve">Додаток </w:t>
                </w:r>
                <w:r>
                  <w:rPr>
                    <w:sz w:val="22"/>
                    <w:lang w:val="en-US"/>
                  </w:rPr>
                  <w:t>8</w:t>
                </w:r>
              </w:p>
            </w:txbxContent>
          </v:textbox>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F08" w:rsidRPr="0088199A" w:rsidRDefault="00095093" w:rsidP="00BE4231">
    <w:pPr>
      <w:pStyle w:val="a3"/>
      <w:ind w:firstLine="0"/>
      <w:rPr>
        <w:sz w:val="16"/>
        <w:szCs w:val="16"/>
      </w:rPr>
    </w:pPr>
    <w:r>
      <w:rPr>
        <w:noProof/>
        <w:sz w:val="16"/>
        <w:szCs w:val="16"/>
        <w:lang w:eastAsia="uk-UA"/>
      </w:rPr>
      <w:pict>
        <v:shapetype id="_x0000_t202" coordsize="21600,21600" o:spt="202" path="m,l,21600r21600,l21600,xe">
          <v:stroke joinstyle="miter"/>
          <v:path gradientshapeok="t" o:connecttype="rect"/>
        </v:shapetype>
        <v:shape id="Текстовое поле 220" o:spid="_x0000_s4116" type="#_x0000_t202" style="position:absolute;margin-left:0;margin-top:22pt;width:481.85pt;height:30.85pt;z-index:251660288;visibility:visible;mso-width-percent:1000;mso-position-horizontal-relative:margin;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" o:allowincell="f" fillcolor="#9cc2e5 [1940]" stroked="f">
          <v:textbox inset=",0,,0">
            <w:txbxContent>
              <w:p w:rsidR="00DF1F08" w:rsidRPr="006F4201" w:rsidRDefault="00095093" w:rsidP="00B93382">
                <w:pPr>
                  <w:ind w:firstLine="0"/>
                  <w:jc w:val="right"/>
                  <w:rPr>
                    <w:sz w:val="22"/>
                  </w:rPr>
                </w:pPr>
                <w:r w:rsidRPr="00073713">
                  <w:rPr>
                    <w:sz w:val="22"/>
                  </w:rPr>
                  <w:fldChar w:fldCharType="begin"/>
                </w:r>
                <w:r w:rsidR="00DF1F08" w:rsidRPr="00073713">
                  <w:rPr>
                    <w:sz w:val="22"/>
                  </w:rPr>
                  <w:instrText>If</w:instrText>
                </w:r>
                <w:r w:rsidRPr="00073713">
                  <w:rPr>
                    <w:sz w:val="22"/>
                  </w:rPr>
                  <w:fldChar w:fldCharType="begin"/>
                </w:r>
                <w:r w:rsidR="00DF1F08" w:rsidRPr="00073713">
                  <w:rPr>
                    <w:sz w:val="22"/>
                  </w:rPr>
                  <w:instrText>STYLEREF “Заголовок 1”</w:instrText>
                </w:r>
                <w:r w:rsidRPr="00073713">
                  <w:rPr>
                    <w:sz w:val="22"/>
                  </w:rPr>
                  <w:fldChar w:fldCharType="separate"/>
                </w:r>
                <w:r w:rsidR="004F12E3">
                  <w:rPr>
                    <w:noProof/>
                    <w:sz w:val="22"/>
                  </w:rPr>
                  <w:instrText>2. Приватизація державного майна</w:instrText>
                </w:r>
                <w:r w:rsidRPr="00073713">
                  <w:rPr>
                    <w:sz w:val="22"/>
                  </w:rPr>
                  <w:fldChar w:fldCharType="end"/>
                </w:r>
                <w:r w:rsidR="00DF1F08" w:rsidRPr="00073713">
                  <w:rPr>
                    <w:sz w:val="22"/>
                  </w:rPr>
                  <w:instrText>&lt;&gt; "Ошибка *" "</w:instrText>
                </w:r>
                <w:r w:rsidRPr="00073713">
                  <w:rPr>
                    <w:sz w:val="22"/>
                  </w:rPr>
                  <w:fldChar w:fldCharType="begin"/>
                </w:r>
                <w:r w:rsidR="00DF1F08" w:rsidRPr="00073713">
                  <w:rPr>
                    <w:sz w:val="22"/>
                  </w:rPr>
                  <w:instrText>STYLEREF "Заголовок 1"</w:instrText>
                </w:r>
                <w:r w:rsidRPr="00073713">
                  <w:rPr>
                    <w:sz w:val="22"/>
                  </w:rPr>
                  <w:fldChar w:fldCharType="separate"/>
                </w:r>
                <w:r w:rsidR="004F12E3">
                  <w:rPr>
                    <w:noProof/>
                    <w:sz w:val="22"/>
                  </w:rPr>
                  <w:instrText>2. Приватизація державного майна</w:instrText>
                </w:r>
                <w:r w:rsidRPr="00073713">
                  <w:rPr>
                    <w:sz w:val="22"/>
                  </w:rPr>
                  <w:fldChar w:fldCharType="end"/>
                </w:r>
                <w:r w:rsidR="00DF1F08" w:rsidRPr="00073713">
                  <w:rPr>
                    <w:sz w:val="22"/>
                  </w:rPr>
                  <w:instrText>"Добавьте в свой документ заголовок"</w:instrText>
                </w:r>
                <w:r w:rsidRPr="00073713">
                  <w:rPr>
                    <w:sz w:val="22"/>
                  </w:rPr>
                  <w:fldChar w:fldCharType="separate"/>
                </w:r>
                <w:r w:rsidR="004F12E3">
                  <w:rPr>
                    <w:noProof/>
                    <w:sz w:val="22"/>
                  </w:rPr>
                  <w:t>2. Приватизація державного майна</w:t>
                </w:r>
                <w:r w:rsidRPr="00073713">
                  <w:rPr>
                    <w:sz w:val="22"/>
                  </w:rPr>
                  <w:fldChar w:fldCharType="end"/>
                </w:r>
                <w:r w:rsidR="000F55FF">
                  <w:rPr>
                    <w:noProof/>
                    <w:sz w:val="22"/>
                  </w:rPr>
                  <w:t xml:space="preserve"> с де</w:t>
                </w:r>
                <w:r w:rsidR="00DF1F08" w:rsidRPr="00073713">
                  <w:rPr>
                    <w:sz w:val="22"/>
                  </w:rPr>
                  <w:t>f</w:t>
                </w:r>
                <w:r w:rsidRPr="00073713">
                  <w:rPr>
                    <w:sz w:val="22"/>
                  </w:rPr>
                  <w:fldChar w:fldCharType="begin"/>
                </w:r>
                <w:r w:rsidR="00DF1F08" w:rsidRPr="00073713">
                  <w:rPr>
                    <w:sz w:val="22"/>
                  </w:rPr>
                  <w:instrText>STYLEREF “Заголовок 1”</w:instrText>
                </w:r>
                <w:r w:rsidRPr="00073713">
                  <w:rPr>
                    <w:sz w:val="22"/>
                  </w:rPr>
                  <w:fldChar w:fldCharType="separate"/>
                </w:r>
                <w:r w:rsidR="004F12E3">
                  <w:rPr>
                    <w:noProof/>
                    <w:sz w:val="22"/>
                  </w:rPr>
                  <w:t>2. Приватизація державного майна</w:t>
                </w:r>
                <w:r w:rsidRPr="00073713">
                  <w:rPr>
                    <w:sz w:val="22"/>
                  </w:rPr>
                  <w:fldChar w:fldCharType="end"/>
                </w:r>
                <w:r w:rsidR="00DF1F08" w:rsidRPr="00073713">
                  <w:rPr>
                    <w:sz w:val="22"/>
                  </w:rPr>
                  <w:t>&lt;&gt; "</w:t>
                </w:r>
                <w:proofErr w:type="spellStart"/>
                <w:r w:rsidR="00DF1F08" w:rsidRPr="00073713">
                  <w:rPr>
                    <w:sz w:val="22"/>
                  </w:rPr>
                  <w:t>Ошибка</w:t>
                </w:r>
                <w:proofErr w:type="spellEnd"/>
                <w:r w:rsidR="00DF1F08" w:rsidRPr="00073713">
                  <w:rPr>
                    <w:sz w:val="22"/>
                  </w:rPr>
                  <w:t xml:space="preserve"> *" "</w:t>
                </w:r>
                <w:r w:rsidRPr="00073713">
                  <w:rPr>
                    <w:sz w:val="22"/>
                  </w:rPr>
                  <w:fldChar w:fldCharType="begin"/>
                </w:r>
                <w:r w:rsidR="00DF1F08" w:rsidRPr="00073713">
                  <w:rPr>
                    <w:sz w:val="22"/>
                  </w:rPr>
                  <w:instrText>ST</w:instrText>
                </w:r>
                <w:r w:rsidRPr="00073713">
                  <w:rPr>
                    <w:sz w:val="22"/>
                  </w:rPr>
                  <w:fldChar w:fldCharType="begin"/>
                </w:r>
                <w:r w:rsidR="00DF1F08" w:rsidRPr="00073713">
                  <w:rPr>
                    <w:sz w:val="22"/>
                  </w:rPr>
                  <w:instrText>If</w:instrText>
                </w:r>
                <w:r w:rsidRPr="00073713">
                  <w:rPr>
                    <w:sz w:val="22"/>
                  </w:rPr>
                  <w:fldChar w:fldCharType="begin"/>
                </w:r>
                <w:r w:rsidR="00DF1F08" w:rsidRPr="00073713">
                  <w:rPr>
                    <w:sz w:val="22"/>
                  </w:rPr>
                  <w:instrText>STYLEREF “Заголовок 1”</w:instrText>
                </w:r>
                <w:r w:rsidRPr="00073713">
                  <w:rPr>
                    <w:sz w:val="22"/>
                  </w:rPr>
                  <w:fldChar w:fldCharType="separate"/>
                </w:r>
                <w:r w:rsidR="004F12E3">
                  <w:rPr>
                    <w:noProof/>
                    <w:sz w:val="22"/>
                  </w:rPr>
                  <w:instrText>2. Приватизація державного майна</w:instrText>
                </w:r>
                <w:r w:rsidRPr="00073713">
                  <w:rPr>
                    <w:sz w:val="22"/>
                  </w:rPr>
                  <w:fldChar w:fldCharType="end"/>
                </w:r>
                <w:r w:rsidR="00DF1F08" w:rsidRPr="00073713">
                  <w:rPr>
                    <w:sz w:val="22"/>
                  </w:rPr>
                  <w:instrText>&lt;&gt; "Ошибка *" "</w:instrText>
                </w:r>
                <w:r w:rsidRPr="00073713">
                  <w:rPr>
                    <w:sz w:val="22"/>
                  </w:rPr>
                  <w:fldChar w:fldCharType="begin"/>
                </w:r>
                <w:r w:rsidR="00DF1F08" w:rsidRPr="00073713">
                  <w:rPr>
                    <w:sz w:val="22"/>
                  </w:rPr>
                  <w:instrText>STYLEREF "Заголовок 1"</w:instrText>
                </w:r>
                <w:r w:rsidRPr="00073713">
                  <w:rPr>
                    <w:sz w:val="22"/>
                  </w:rPr>
                  <w:fldChar w:fldCharType="separate"/>
                </w:r>
                <w:r w:rsidR="004F12E3">
                  <w:rPr>
                    <w:noProof/>
                    <w:sz w:val="22"/>
                  </w:rPr>
                  <w:instrText>2. Приватизація державного майна</w:instrText>
                </w:r>
                <w:r w:rsidRPr="00073713">
                  <w:rPr>
                    <w:sz w:val="22"/>
                  </w:rPr>
                  <w:fldChar w:fldCharType="end"/>
                </w:r>
                <w:r w:rsidR="00DF1F08" w:rsidRPr="00073713">
                  <w:rPr>
                    <w:sz w:val="22"/>
                  </w:rPr>
                  <w:instrText xml:space="preserve">"Добавьте в свой </w:instrText>
                </w:r>
                <w:r w:rsidRPr="00073713">
                  <w:rPr>
                    <w:sz w:val="22"/>
                  </w:rPr>
                  <w:fldChar w:fldCharType="begin"/>
                </w:r>
                <w:r w:rsidR="00DF1F08" w:rsidRPr="00073713">
                  <w:rPr>
                    <w:sz w:val="22"/>
                  </w:rPr>
                  <w:instrText>If</w:instrText>
                </w:r>
                <w:r w:rsidRPr="00073713">
                  <w:rPr>
                    <w:sz w:val="22"/>
                  </w:rPr>
                  <w:fldChar w:fldCharType="begin"/>
                </w:r>
                <w:r w:rsidR="00DF1F08" w:rsidRPr="00073713">
                  <w:rPr>
                    <w:sz w:val="22"/>
                  </w:rPr>
                  <w:instrText>STYLEREF “Заголовок 1”</w:instrText>
                </w:r>
                <w:r w:rsidRPr="00073713">
                  <w:rPr>
                    <w:sz w:val="22"/>
                  </w:rPr>
                  <w:fldChar w:fldCharType="separate"/>
                </w:r>
                <w:r w:rsidR="00EE1045">
                  <w:rPr>
                    <w:noProof/>
                    <w:sz w:val="22"/>
                  </w:rPr>
                  <w:instrText>Вступ</w:instrText>
                </w:r>
                <w:r w:rsidRPr="00073713">
                  <w:rPr>
                    <w:sz w:val="22"/>
                  </w:rPr>
                  <w:fldChar w:fldCharType="end"/>
                </w:r>
                <w:r w:rsidR="00DF1F08" w:rsidRPr="00073713">
                  <w:rPr>
                    <w:sz w:val="22"/>
                  </w:rPr>
                  <w:instrText>&lt;&gt; "Ошибка *" "</w:instrText>
                </w:r>
                <w:r w:rsidRPr="00073713">
                  <w:rPr>
                    <w:sz w:val="22"/>
                  </w:rPr>
                  <w:fldChar w:fldCharType="begin"/>
                </w:r>
                <w:r w:rsidR="00DF1F08" w:rsidRPr="00073713">
                  <w:rPr>
                    <w:sz w:val="22"/>
                  </w:rPr>
                  <w:instrText>ST</w:instrText>
                </w:r>
                <w:r w:rsidRPr="00073713">
                  <w:rPr>
                    <w:sz w:val="22"/>
                  </w:rPr>
                  <w:fldChar w:fldCharType="begin"/>
                </w:r>
                <w:r w:rsidR="00DF1F08" w:rsidRPr="00073713">
                  <w:rPr>
                    <w:sz w:val="22"/>
                  </w:rPr>
                  <w:instrText>If</w:instrText>
                </w:r>
                <w:r w:rsidRPr="00073713">
                  <w:rPr>
                    <w:sz w:val="22"/>
                  </w:rPr>
                  <w:fldChar w:fldCharType="begin"/>
                </w:r>
                <w:r w:rsidR="00DF1F08" w:rsidRPr="00073713">
                  <w:rPr>
                    <w:sz w:val="22"/>
                  </w:rPr>
                  <w:instrText>STYLEREF “Заголовок 1”</w:instrText>
                </w:r>
                <w:r w:rsidRPr="00073713">
                  <w:rPr>
                    <w:sz w:val="22"/>
                  </w:rPr>
                  <w:fldChar w:fldCharType="separate"/>
                </w:r>
                <w:r w:rsidR="00EE1045">
                  <w:rPr>
                    <w:noProof/>
                    <w:sz w:val="22"/>
                  </w:rPr>
                  <w:instrText>Вступ</w:instrText>
                </w:r>
                <w:r w:rsidRPr="00073713">
                  <w:rPr>
                    <w:sz w:val="22"/>
                  </w:rPr>
                  <w:fldChar w:fldCharType="end"/>
                </w:r>
                <w:r w:rsidR="00DF1F08" w:rsidRPr="00073713">
                  <w:rPr>
                    <w:sz w:val="22"/>
                  </w:rPr>
                  <w:instrText>&lt;&gt; "Ошибка *" "</w:instrText>
                </w:r>
                <w:r w:rsidRPr="00073713">
                  <w:rPr>
                    <w:sz w:val="22"/>
                  </w:rPr>
                  <w:fldChar w:fldCharType="begin"/>
                </w:r>
                <w:r w:rsidR="00DF1F08" w:rsidRPr="00073713">
                  <w:rPr>
                    <w:sz w:val="22"/>
                  </w:rPr>
                  <w:instrText>STYLEREF "Заголовок 1"</w:instrText>
                </w:r>
                <w:r w:rsidRPr="00073713">
                  <w:rPr>
                    <w:sz w:val="22"/>
                  </w:rPr>
                  <w:fldChar w:fldCharType="separate"/>
                </w:r>
                <w:r w:rsidR="00EE1045">
                  <w:rPr>
                    <w:noProof/>
                    <w:sz w:val="22"/>
                  </w:rPr>
                  <w:instrText>Вступ</w:instrText>
                </w:r>
                <w:r w:rsidRPr="00073713">
                  <w:rPr>
                    <w:sz w:val="22"/>
                  </w:rPr>
                  <w:fldChar w:fldCharType="end"/>
                </w:r>
                <w:r w:rsidR="00DF1F08" w:rsidRPr="00073713">
                  <w:rPr>
                    <w:sz w:val="22"/>
                  </w:rPr>
                  <w:instrText>"Добавьте в свой документ заголовок"</w:instrText>
                </w:r>
                <w:r w:rsidRPr="00073713">
                  <w:rPr>
                    <w:sz w:val="22"/>
                  </w:rPr>
                  <w:fldChar w:fldCharType="separate"/>
                </w:r>
                <w:r w:rsidR="00EE1045">
                  <w:rPr>
                    <w:noProof/>
                    <w:sz w:val="22"/>
                  </w:rPr>
                  <w:instrText>Вступ</w:instrText>
                </w:r>
                <w:r w:rsidRPr="00073713">
                  <w:rPr>
                    <w:sz w:val="22"/>
                  </w:rPr>
                  <w:fldChar w:fldCharType="end"/>
                </w:r>
                <w:r w:rsidR="00DF1F08" w:rsidRPr="00073713">
                  <w:rPr>
                    <w:sz w:val="22"/>
                  </w:rPr>
                  <w:instrText>YLEREF "Заголовок 1"</w:instrText>
                </w:r>
                <w:r w:rsidRPr="00073713">
                  <w:rPr>
                    <w:sz w:val="22"/>
                  </w:rPr>
                  <w:fldChar w:fldCharType="separate"/>
                </w:r>
                <w:r w:rsidR="00DF1F08">
                  <w:rPr>
                    <w:noProof/>
                    <w:sz w:val="22"/>
                  </w:rPr>
                  <w:instrText>Вступ</w:instrText>
                </w:r>
                <w:r w:rsidRPr="00073713">
                  <w:rPr>
                    <w:sz w:val="22"/>
                  </w:rPr>
                  <w:fldChar w:fldCharType="end"/>
                </w:r>
                <w:r w:rsidR="00DF1F08" w:rsidRPr="00073713">
                  <w:rPr>
                    <w:sz w:val="22"/>
                  </w:rPr>
                  <w:instrText>"Добавьте в свой документ заголовок"</w:instrText>
                </w:r>
                <w:r w:rsidRPr="00073713">
                  <w:rPr>
                    <w:sz w:val="22"/>
                  </w:rPr>
                  <w:fldChar w:fldCharType="separate"/>
                </w:r>
                <w:r w:rsidR="00EE1045">
                  <w:rPr>
                    <w:noProof/>
                    <w:sz w:val="22"/>
                  </w:rPr>
                  <w:instrText>Вступ</w:instrText>
                </w:r>
                <w:r w:rsidRPr="00073713">
                  <w:rPr>
                    <w:sz w:val="22"/>
                  </w:rPr>
                  <w:fldChar w:fldCharType="end"/>
                </w:r>
                <w:r w:rsidR="00DF1F08" w:rsidRPr="00073713">
                  <w:rPr>
                    <w:sz w:val="22"/>
                  </w:rPr>
                  <w:instrText>документ загол</w:instrText>
                </w:r>
                <w:r w:rsidR="000F55FF">
                  <w:rPr>
                    <w:noProof/>
                    <w:sz w:val="22"/>
                  </w:rPr>
                  <w:instrText>ржавною власністю</w:instrText>
                </w:r>
                <w:r w:rsidRPr="00073713">
                  <w:rPr>
                    <w:sz w:val="22"/>
                  </w:rPr>
                  <w:fldChar w:fldCharType="separate"/>
                </w:r>
                <w:r w:rsidR="004F12E3">
                  <w:rPr>
                    <w:noProof/>
                    <w:sz w:val="22"/>
                  </w:rPr>
                  <w:instrText>2. Приватизація державного майна</w:instrText>
                </w:r>
                <w:r w:rsidRPr="00073713">
                  <w:rPr>
                    <w:sz w:val="22"/>
                  </w:rPr>
                  <w:fldChar w:fldCharType="end"/>
                </w:r>
                <w:r w:rsidR="00DF1F08" w:rsidRPr="00073713">
                  <w:rPr>
                    <w:sz w:val="22"/>
                  </w:rPr>
                  <w:instrText>YLEREF "Заголовок 1"</w:instrText>
                </w:r>
                <w:r w:rsidRPr="00073713">
                  <w:rPr>
                    <w:sz w:val="22"/>
                  </w:rPr>
                  <w:fldChar w:fldCharType="separate"/>
                </w:r>
                <w:r w:rsidR="000F55FF">
                  <w:rPr>
                    <w:b/>
                    <w:bCs/>
                    <w:noProof/>
                    <w:sz w:val="22"/>
                    <w:lang w:val="ru-RU"/>
                  </w:rPr>
                  <w:t>Ошибка! Используйте вкладку "Главная" для применения  к тексту, который должен здесь отображаться.</w:t>
                </w:r>
                <w:r w:rsidRPr="00073713">
                  <w:rPr>
                    <w:sz w:val="22"/>
                  </w:rPr>
                  <w:fldChar w:fldCharType="end"/>
                </w:r>
                <w:r w:rsidR="00DF1F08" w:rsidRPr="00073713">
                  <w:rPr>
                    <w:sz w:val="22"/>
                  </w:rPr>
                  <w:t>"</w:t>
                </w:r>
                <w:proofErr w:type="spellStart"/>
                <w:r w:rsidR="00DF1F08" w:rsidRPr="00073713">
                  <w:rPr>
                    <w:sz w:val="22"/>
                  </w:rPr>
                  <w:t>Добавьте</w:t>
                </w:r>
                <w:proofErr w:type="spellEnd"/>
                <w:r w:rsidR="00DF1F08" w:rsidRPr="00073713">
                  <w:rPr>
                    <w:sz w:val="22"/>
                  </w:rPr>
                  <w:t xml:space="preserve"> в </w:t>
                </w:r>
                <w:proofErr w:type="spellStart"/>
                <w:r w:rsidR="00DF1F08" w:rsidRPr="00073713">
                  <w:rPr>
                    <w:sz w:val="22"/>
                  </w:rPr>
                  <w:t>свой</w:t>
                </w:r>
                <w:proofErr w:type="spellEnd"/>
                <w:r w:rsidR="00DF1F08" w:rsidRPr="00073713">
                  <w:rPr>
                    <w:sz w:val="22"/>
                  </w:rPr>
                  <w:t xml:space="preserve"> документ заголовок"</w:t>
                </w:r>
                <w:r w:rsidR="000F55FF">
                  <w:rPr>
                    <w:b/>
                    <w:bCs/>
                    <w:noProof/>
                    <w:sz w:val="22"/>
                    <w:lang w:val="ru-RU"/>
                  </w:rPr>
                  <w:t>Ошибка! Закладка не определена.</w:t>
                </w:r>
                <w:r w:rsidR="000F55FF">
                  <w:rPr>
                    <w:noProof/>
                    <w:sz w:val="22"/>
                  </w:rPr>
                  <w:t>стемі державних органів приватизації</w:t>
                </w:r>
                <w:r w:rsidR="00DF1F08" w:rsidRPr="00073713">
                  <w:rPr>
                    <w:sz w:val="22"/>
                  </w:rPr>
                  <w:t>"</w:t>
                </w:r>
                <w:proofErr w:type="spellStart"/>
                <w:r w:rsidR="00DF1F08" w:rsidRPr="00073713">
                  <w:rPr>
                    <w:sz w:val="22"/>
                  </w:rPr>
                  <w:t>Добавьте</w:t>
                </w:r>
                <w:proofErr w:type="spellEnd"/>
                <w:r w:rsidR="00DF1F08" w:rsidRPr="00073713">
                  <w:rPr>
                    <w:sz w:val="22"/>
                  </w:rPr>
                  <w:t xml:space="preserve"> в </w:t>
                </w:r>
                <w:proofErr w:type="spellStart"/>
                <w:r w:rsidR="00DF1F08" w:rsidRPr="00073713">
                  <w:rPr>
                    <w:sz w:val="22"/>
                  </w:rPr>
                  <w:t>свой</w:t>
                </w:r>
                <w:proofErr w:type="spellEnd"/>
                <w:r w:rsidR="00DF1F08" w:rsidRPr="00073713">
                  <w:rPr>
                    <w:sz w:val="22"/>
                  </w:rPr>
                  <w:t xml:space="preserve"> документ заголовок"</w:t>
                </w:r>
                <w:r w:rsidR="000F55FF">
                  <w:rPr>
                    <w:noProof/>
                    <w:sz w:val="22"/>
                  </w:rPr>
                  <w:t>5. Внутрішній аудит та внутрівідомчий контроль в системі державних органів приватизації</w:t>
                </w:r>
              </w:p>
            </w:txbxContent>
          </v:textbox>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F08" w:rsidRDefault="00095093" w:rsidP="00BE4231">
    <w:pPr>
      <w:pStyle w:val="a3"/>
      <w:ind w:firstLine="0"/>
    </w:pPr>
    <w:r>
      <w:rPr>
        <w:noProof/>
        <w:lang w:eastAsia="uk-UA"/>
      </w:rPr>
      <w:pict>
        <v:shapetype id="_x0000_t202" coordsize="21600,21600" o:spt="202" path="m,l,21600r21600,l21600,xe">
          <v:stroke joinstyle="miter"/>
          <v:path gradientshapeok="t" o:connecttype="rect"/>
        </v:shapetype>
        <v:shape id="_x0000_s4143" type="#_x0000_t202" style="position:absolute;margin-left:26952.8pt;margin-top:35.25pt;width:468pt;height:16.5pt;z-index:251716608;visibility:visible;mso-width-percent:1000;mso-position-horizontal:right;mso-position-horizontal-relative:margin;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" o:allowincell="f" fillcolor="#9cc2e5 [1940]" stroked="f">
          <v:textbox style="mso-next-textbox:#_x0000_s4143" inset=",0,,0">
            <w:txbxContent>
              <w:p w:rsidR="00DF1F08" w:rsidRPr="00FD3680" w:rsidRDefault="00DF1F08" w:rsidP="00D879BD">
                <w:pPr>
                  <w:ind w:firstLine="0"/>
                  <w:jc w:val="right"/>
                  <w:rPr>
                    <w:noProof/>
                    <w:sz w:val="22"/>
                  </w:rPr>
                </w:pPr>
                <w:r>
                  <w:rPr>
                    <w:sz w:val="22"/>
                  </w:rPr>
                  <w:t>Додаток 9</w:t>
                </w:r>
              </w:p>
            </w:txbxContent>
          </v:textbox>
          <w10:wrap anchorx="margin" anchory="margin"/>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F08" w:rsidRPr="002B3DF4" w:rsidRDefault="00095093" w:rsidP="00BE4231">
    <w:pPr>
      <w:pStyle w:val="a3"/>
      <w:ind w:firstLine="0"/>
      <w:rPr>
        <w:sz w:val="2"/>
        <w:szCs w:val="2"/>
      </w:rPr>
    </w:pPr>
    <w:r>
      <w:rPr>
        <w:noProof/>
        <w:sz w:val="2"/>
        <w:szCs w:val="2"/>
        <w:lang w:eastAsia="uk-UA"/>
      </w:rPr>
      <w:pict>
        <v:shapetype id="_x0000_t202" coordsize="21600,21600" o:spt="202" path="m,l,21600r21600,l21600,xe">
          <v:stroke joinstyle="miter"/>
          <v:path gradientshapeok="t" o:connecttype="rect"/>
        </v:shapetype>
        <v:shape id="_x0000_s4102" type="#_x0000_t202" style="position:absolute;margin-left:0;margin-top:20.15pt;width:486.9pt;height:12.65pt;z-index:251683840;visibility:visible;mso-position-horizontal:center;mso-position-horizontal-relative:margin;mso-position-vertical-relative:top-margin-area;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" o:allowincell="f" fillcolor="#9cc2e5 [1940]" stroked="f">
          <v:textbox style="mso-next-textbox:#_x0000_s4102;mso-fit-shape-to-text:t" inset=",0,,0">
            <w:txbxContent>
              <w:p w:rsidR="00DF1F08" w:rsidRPr="00107BFA" w:rsidRDefault="00DF1F08" w:rsidP="00DF1F08">
                <w:pPr>
                  <w:ind w:firstLine="0"/>
                  <w:jc w:val="right"/>
                  <w:rPr>
                    <w:sz w:val="22"/>
                    <w:lang w:val="en-US"/>
                  </w:rPr>
                </w:pPr>
                <w:r>
                  <w:rPr>
                    <w:sz w:val="22"/>
                  </w:rPr>
                  <w:t xml:space="preserve">Додаток </w:t>
                </w:r>
                <w:r>
                  <w:rPr>
                    <w:sz w:val="22"/>
                    <w:lang w:val="en-US"/>
                  </w:rPr>
                  <w:t>9</w:t>
                </w:r>
              </w:p>
            </w:txbxContent>
          </v:textbox>
          <w10:wrap anchorx="margin" anchory="margin"/>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F08" w:rsidRDefault="00095093" w:rsidP="00BE4231">
    <w:pPr>
      <w:pStyle w:val="a3"/>
      <w:ind w:firstLine="0"/>
    </w:pPr>
    <w:r>
      <w:rPr>
        <w:noProof/>
        <w:lang w:eastAsia="uk-UA"/>
      </w:rPr>
      <w:pict>
        <v:shapetype id="_x0000_t202" coordsize="21600,21600" o:spt="202" path="m,l,21600r21600,l21600,xe">
          <v:stroke joinstyle="miter"/>
          <v:path gradientshapeok="t" o:connecttype="rect"/>
        </v:shapetype>
        <v:shape id="_x0000_s4101" type="#_x0000_t202" style="position:absolute;margin-left:26952.8pt;margin-top:35.25pt;width:468pt;height:16.5pt;z-index:251697152;visibility:visible;mso-width-percent:1000;mso-position-horizontal:right;mso-position-horizontal-relative:margin;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" o:allowincell="f" fillcolor="#9cc2e5 [1940]" stroked="f">
          <v:textbox inset=",0,,0">
            <w:txbxContent>
              <w:p w:rsidR="00DF1F08" w:rsidRPr="004B2387" w:rsidRDefault="00DF1F08" w:rsidP="00D879BD">
                <w:pPr>
                  <w:ind w:firstLine="0"/>
                  <w:jc w:val="right"/>
                  <w:rPr>
                    <w:noProof/>
                    <w:sz w:val="22"/>
                    <w:lang w:val="en-US"/>
                  </w:rPr>
                </w:pPr>
                <w:r>
                  <w:rPr>
                    <w:sz w:val="22"/>
                  </w:rPr>
                  <w:t xml:space="preserve">Додаток </w:t>
                </w:r>
                <w:r>
                  <w:rPr>
                    <w:sz w:val="22"/>
                    <w:lang w:val="en-US"/>
                  </w:rPr>
                  <w:t>10</w:t>
                </w:r>
              </w:p>
            </w:txbxContent>
          </v:textbox>
          <w10:wrap anchorx="margin" anchory="margin"/>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F08" w:rsidRPr="002B3DF4" w:rsidRDefault="00095093" w:rsidP="00BE4231">
    <w:pPr>
      <w:pStyle w:val="a3"/>
      <w:ind w:firstLine="0"/>
      <w:rPr>
        <w:sz w:val="2"/>
        <w:szCs w:val="2"/>
      </w:rPr>
    </w:pPr>
    <w:r>
      <w:rPr>
        <w:noProof/>
        <w:sz w:val="2"/>
        <w:szCs w:val="2"/>
        <w:lang w:eastAsia="uk-UA"/>
      </w:rPr>
      <w:pict>
        <v:shapetype id="_x0000_t202" coordsize="21600,21600" o:spt="202" path="m,l,21600r21600,l21600,xe">
          <v:stroke joinstyle="miter"/>
          <v:path gradientshapeok="t" o:connecttype="rect"/>
        </v:shapetype>
        <v:shape id="_x0000_s4100" type="#_x0000_t202" style="position:absolute;margin-left:0;margin-top:20.15pt;width:468pt;height:13.7pt;z-index:251673600;visibility:visible;mso-width-percent:1000;mso-position-horizontal:center;mso-position-horizontal-relative:margin;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" o:allowincell="f" fillcolor="#9cc2e5 [1940]" stroked="f">
          <v:textbox style="mso-fit-shape-to-text:t" inset=",0,,0">
            <w:txbxContent>
              <w:p w:rsidR="00DF1F08" w:rsidRPr="00FD3680" w:rsidRDefault="00DF1F08">
                <w:pPr>
                  <w:jc w:val="right"/>
                  <w:rPr>
                    <w:sz w:val="22"/>
                  </w:rPr>
                </w:pPr>
                <w:r>
                  <w:rPr>
                    <w:sz w:val="22"/>
                  </w:rPr>
                  <w:t>Додаток 10</w:t>
                </w:r>
              </w:p>
            </w:txbxContent>
          </v:textbox>
          <w10:wrap anchorx="margin" anchory="margin"/>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F08" w:rsidRDefault="00095093" w:rsidP="00BE4231">
    <w:pPr>
      <w:pStyle w:val="a3"/>
      <w:ind w:firstLine="0"/>
    </w:pPr>
    <w:r>
      <w:rPr>
        <w:noProof/>
        <w:lang w:eastAsia="uk-UA"/>
      </w:rPr>
      <w:pict>
        <v:shapetype id="_x0000_t202" coordsize="21600,21600" o:spt="202" path="m,l,21600r21600,l21600,xe">
          <v:stroke joinstyle="miter"/>
          <v:path gradientshapeok="t" o:connecttype="rect"/>
        </v:shapetype>
        <v:shape id="_x0000_s4099" type="#_x0000_t202" style="position:absolute;margin-left:26952.8pt;margin-top:35.25pt;width:468pt;height:16.5pt;z-index:251699200;visibility:visible;mso-width-percent:1000;mso-position-horizontal:right;mso-position-horizontal-relative:margin;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" o:allowincell="f" fillcolor="#9cc2e5 [1940]" stroked="f">
          <v:textbox inset=",0,,0">
            <w:txbxContent>
              <w:p w:rsidR="00DF1F08" w:rsidRPr="004B2387" w:rsidRDefault="00DF1F08" w:rsidP="00D2554D">
                <w:pPr>
                  <w:ind w:firstLine="0"/>
                  <w:rPr>
                    <w:noProof/>
                    <w:sz w:val="22"/>
                    <w:lang w:val="en-US"/>
                  </w:rPr>
                </w:pPr>
                <w:r>
                  <w:rPr>
                    <w:sz w:val="22"/>
                  </w:rPr>
                  <w:t xml:space="preserve">Додаток </w:t>
                </w:r>
                <w:r>
                  <w:rPr>
                    <w:sz w:val="22"/>
                    <w:lang w:val="en-US"/>
                  </w:rPr>
                  <w:t>11</w:t>
                </w:r>
              </w:p>
            </w:txbxContent>
          </v:textbox>
          <w10:wrap anchorx="margin" anchory="margin"/>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F08" w:rsidRPr="002B3DF4" w:rsidRDefault="00095093" w:rsidP="00BE4231">
    <w:pPr>
      <w:pStyle w:val="a3"/>
      <w:ind w:firstLine="0"/>
      <w:rPr>
        <w:sz w:val="2"/>
        <w:szCs w:val="2"/>
      </w:rPr>
    </w:pPr>
    <w:r>
      <w:rPr>
        <w:noProof/>
        <w:sz w:val="2"/>
        <w:szCs w:val="2"/>
        <w:lang w:eastAsia="uk-UA"/>
      </w:rPr>
      <w:pict>
        <v:shapetype id="_x0000_t202" coordsize="21600,21600" o:spt="202" path="m,l,21600r21600,l21600,xe">
          <v:stroke joinstyle="miter"/>
          <v:path gradientshapeok="t" o:connecttype="rect"/>
        </v:shapetype>
        <v:shape id="_x0000_s4098" type="#_x0000_t202" style="position:absolute;margin-left:0;margin-top:20.15pt;width:468pt;height:13.7pt;z-index:251701248;visibility:visible;mso-width-percent:1000;mso-position-horizontal:center;mso-position-horizontal-relative:margin;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" o:allowincell="f" fillcolor="#9cc2e5 [1940]" stroked="f">
          <v:textbox style="mso-fit-shape-to-text:t" inset=",0,,0">
            <w:txbxContent>
              <w:p w:rsidR="00DF1F08" w:rsidRPr="00FD3680" w:rsidRDefault="00DF1F08">
                <w:pPr>
                  <w:jc w:val="right"/>
                  <w:rPr>
                    <w:sz w:val="22"/>
                  </w:rPr>
                </w:pPr>
                <w:r>
                  <w:rPr>
                    <w:sz w:val="22"/>
                  </w:rPr>
                  <w:t xml:space="preserve">Додаток </w:t>
                </w:r>
                <w:r>
                  <w:rPr>
                    <w:sz w:val="22"/>
                    <w:lang w:val="en-US"/>
                  </w:rPr>
                  <w:t>1</w:t>
                </w:r>
                <w:proofErr w:type="spellStart"/>
                <w:r>
                  <w:rPr>
                    <w:sz w:val="22"/>
                  </w:rPr>
                  <w:t>1</w:t>
                </w:r>
                <w:proofErr w:type="spellEnd"/>
              </w:p>
            </w:txbxContent>
          </v:textbox>
          <w10:wrap anchorx="margin" anchory="margin"/>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F08" w:rsidRDefault="00095093" w:rsidP="00BE4231">
    <w:pPr>
      <w:pStyle w:val="a3"/>
      <w:ind w:firstLine="0"/>
    </w:pPr>
    <w:r>
      <w:rPr>
        <w:noProof/>
        <w:lang w:eastAsia="uk-UA"/>
      </w:rPr>
      <w:pict>
        <v:shapetype id="_x0000_t202" coordsize="21600,21600" o:spt="202" path="m,l,21600r21600,l21600,xe">
          <v:stroke joinstyle="miter"/>
          <v:path gradientshapeok="t" o:connecttype="rect"/>
        </v:shapetype>
        <v:shape id="_x0000_s4097" type="#_x0000_t202" style="position:absolute;margin-left:26952.8pt;margin-top:35.25pt;width:468pt;height:16.5pt;z-index:251703296;visibility:visible;mso-width-percent:1000;mso-position-horizontal:right;mso-position-horizontal-relative:margin;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" o:allowincell="f" fillcolor="#9cc2e5 [1940]" stroked="f">
          <v:textbox inset=",0,,0">
            <w:txbxContent>
              <w:p w:rsidR="00DF1F08" w:rsidRPr="004B2387" w:rsidRDefault="00DF1F08" w:rsidP="00D2554D">
                <w:pPr>
                  <w:ind w:firstLine="0"/>
                  <w:rPr>
                    <w:noProof/>
                    <w:sz w:val="22"/>
                    <w:lang w:val="en-US"/>
                  </w:rPr>
                </w:pPr>
                <w:r>
                  <w:rPr>
                    <w:sz w:val="22"/>
                  </w:rPr>
                  <w:t xml:space="preserve">Додаток </w:t>
                </w:r>
                <w:r>
                  <w:rPr>
                    <w:sz w:val="22"/>
                    <w:lang w:val="en-US"/>
                  </w:rPr>
                  <w:t>12</w:t>
                </w:r>
              </w:p>
            </w:txbxContent>
          </v:textbox>
          <w10:wrap anchorx="margin" anchory="margin"/>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F08" w:rsidRPr="002B3DF4" w:rsidRDefault="00095093" w:rsidP="00BE4231">
    <w:pPr>
      <w:pStyle w:val="a3"/>
      <w:ind w:firstLine="0"/>
      <w:rPr>
        <w:sz w:val="2"/>
        <w:szCs w:val="2"/>
      </w:rPr>
    </w:pPr>
    <w:r>
      <w:rPr>
        <w:noProof/>
        <w:sz w:val="2"/>
        <w:szCs w:val="2"/>
        <w:lang w:eastAsia="uk-UA"/>
      </w:rPr>
      <w:pict>
        <v:shapetype id="_x0000_t202" coordsize="21600,21600" o:spt="202" path="m,l,21600r21600,l21600,xe">
          <v:stroke joinstyle="miter"/>
          <v:path gradientshapeok="t" o:connecttype="rect"/>
        </v:shapetype>
        <v:shape id="_x0000_s4144" type="#_x0000_t202" style="position:absolute;margin-left:0;margin-top:20.15pt;width:468pt;height:13.7pt;z-index:251718656;visibility:visible;mso-width-percent:1000;mso-position-horizontal:center;mso-position-horizontal-relative:margin;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" o:allowincell="f" fillcolor="#9cc2e5 [1940]" stroked="f">
          <v:textbox style="mso-fit-shape-to-text:t" inset=",0,,0">
            <w:txbxContent>
              <w:p w:rsidR="00DF1F08" w:rsidRPr="00FD3680" w:rsidRDefault="00DF1F08">
                <w:pPr>
                  <w:jc w:val="right"/>
                  <w:rPr>
                    <w:sz w:val="22"/>
                  </w:rPr>
                </w:pPr>
                <w:r>
                  <w:rPr>
                    <w:sz w:val="22"/>
                  </w:rPr>
                  <w:t xml:space="preserve">Додаток </w:t>
                </w:r>
                <w:r>
                  <w:rPr>
                    <w:sz w:val="22"/>
                    <w:lang w:val="en-US"/>
                  </w:rPr>
                  <w:t>1</w:t>
                </w:r>
                <w:r>
                  <w:rPr>
                    <w:sz w:val="22"/>
                  </w:rPr>
                  <w:t>2</w:t>
                </w:r>
              </w:p>
            </w:txbxContent>
          </v:textbox>
          <w10:wrap anchorx="margin" anchory="margin"/>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F08" w:rsidRDefault="00095093" w:rsidP="00BE4231">
    <w:pPr>
      <w:pStyle w:val="a3"/>
      <w:ind w:firstLine="0"/>
    </w:pPr>
    <w:r>
      <w:rPr>
        <w:noProof/>
        <w:lang w:eastAsia="uk-UA"/>
      </w:rPr>
      <w:pict>
        <v:shapetype id="_x0000_t202" coordsize="21600,21600" o:spt="202" path="m,l,21600r21600,l21600,xe">
          <v:stroke joinstyle="miter"/>
          <v:path gradientshapeok="t" o:connecttype="rect"/>
        </v:shapetype>
        <v:shape id="_x0000_s4145" type="#_x0000_t202" style="position:absolute;margin-left:26952.8pt;margin-top:35.25pt;width:468pt;height:16.5pt;z-index:251720704;visibility:visible;mso-width-percent:1000;mso-position-horizontal:right;mso-position-horizontal-relative:margin;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" o:allowincell="f" fillcolor="#9cc2e5 [1940]" stroked="f">
          <v:textbox inset=",0,,0">
            <w:txbxContent>
              <w:p w:rsidR="00DF1F08" w:rsidRPr="00FD3680" w:rsidRDefault="00DF1F08" w:rsidP="00D2554D">
                <w:pPr>
                  <w:ind w:firstLine="0"/>
                  <w:rPr>
                    <w:noProof/>
                    <w:sz w:val="22"/>
                  </w:rPr>
                </w:pPr>
                <w:r>
                  <w:rPr>
                    <w:sz w:val="22"/>
                  </w:rPr>
                  <w:t xml:space="preserve">Додаток </w:t>
                </w:r>
                <w:r>
                  <w:rPr>
                    <w:sz w:val="22"/>
                    <w:lang w:val="en-US"/>
                  </w:rPr>
                  <w:t>1</w:t>
                </w:r>
                <w:r>
                  <w:rPr>
                    <w:sz w:val="22"/>
                  </w:rPr>
                  <w:t>3</w:t>
                </w:r>
              </w:p>
            </w:txbxContent>
          </v:textbox>
          <w10:wrap anchorx="margin" anchory="margin"/>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F08" w:rsidRPr="002B3DF4" w:rsidRDefault="00095093" w:rsidP="00BE4231">
    <w:pPr>
      <w:pStyle w:val="a3"/>
      <w:ind w:firstLine="0"/>
      <w:rPr>
        <w:sz w:val="2"/>
        <w:szCs w:val="2"/>
      </w:rPr>
    </w:pPr>
    <w:r>
      <w:rPr>
        <w:noProof/>
        <w:sz w:val="2"/>
        <w:szCs w:val="2"/>
        <w:lang w:eastAsia="uk-UA"/>
      </w:rPr>
      <w:pict>
        <v:shapetype id="_x0000_t202" coordsize="21600,21600" o:spt="202" path="m,l,21600r21600,l21600,xe">
          <v:stroke joinstyle="miter"/>
          <v:path gradientshapeok="t" o:connecttype="rect"/>
        </v:shapetype>
        <v:shape id="_x0000_s4146" type="#_x0000_t202" style="position:absolute;margin-left:0;margin-top:28.4pt;width:481.8pt;height:19.65pt;z-index:251722752;visibility:visible;mso-width-percent:1000;mso-position-horizontal:center;mso-position-horizontal-relative:margin;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" o:allowincell="f" fillcolor="#9cc2e5 [1940]" stroked="f">
          <v:textbox inset=",0,,0">
            <w:txbxContent>
              <w:p w:rsidR="00DF1F08" w:rsidRPr="00FD3680" w:rsidRDefault="00DF1F08">
                <w:pPr>
                  <w:jc w:val="right"/>
                  <w:rPr>
                    <w:sz w:val="22"/>
                  </w:rPr>
                </w:pPr>
                <w:r>
                  <w:rPr>
                    <w:sz w:val="22"/>
                  </w:rPr>
                  <w:t xml:space="preserve">Додаток </w:t>
                </w:r>
                <w:r>
                  <w:rPr>
                    <w:sz w:val="22"/>
                    <w:lang w:val="en-US"/>
                  </w:rPr>
                  <w:t>1</w:t>
                </w:r>
                <w:r>
                  <w:rPr>
                    <w:sz w:val="22"/>
                  </w:rPr>
                  <w:t>3</w:t>
                </w:r>
              </w:p>
            </w:txbxContent>
          </v:textbox>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F08" w:rsidRPr="001278E0" w:rsidRDefault="00095093" w:rsidP="001278E0">
    <w:pPr>
      <w:pStyle w:val="a3"/>
      <w:ind w:firstLine="0"/>
      <w:rPr>
        <w:sz w:val="16"/>
        <w:szCs w:val="16"/>
      </w:rPr>
    </w:pPr>
    <w:r>
      <w:rPr>
        <w:noProof/>
        <w:sz w:val="16"/>
        <w:szCs w:val="16"/>
        <w:lang w:eastAsia="uk-UA"/>
      </w:rPr>
      <w:pict>
        <v:shapetype id="_x0000_t202" coordsize="21600,21600" o:spt="202" path="m,l,21600r21600,l21600,xe">
          <v:stroke joinstyle="miter"/>
          <v:path gradientshapeok="t" o:connecttype="rect"/>
        </v:shapetype>
        <v:shape id="_x0000_s4115" type="#_x0000_t202" style="position:absolute;margin-left:-7.65pt;margin-top:15.7pt;width:497.25pt;height:25.3pt;z-index:251706368;visibility:visible;mso-position-horizontal-relative:margin;mso-position-vertical-relative:top-margin-area;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" o:allowincell="f" filled="f" stroked="f">
          <v:textbox style="mso-fit-shape-to-text:t" inset=",0,,0">
            <w:txbxContent>
              <w:p w:rsidR="00DF1F08" w:rsidRDefault="00DF1F08" w:rsidP="00073713">
                <w:pPr>
                  <w:shd w:val="clear" w:color="auto" w:fill="9CC2E5" w:themeFill="accent1" w:themeFillTint="99"/>
                  <w:jc w:val="right"/>
                  <w:rPr>
                    <w:sz w:val="22"/>
                  </w:rPr>
                </w:pPr>
              </w:p>
              <w:p w:rsidR="00DF1F08" w:rsidRPr="00073713" w:rsidRDefault="00095093" w:rsidP="00073713">
                <w:pPr>
                  <w:shd w:val="clear" w:color="auto" w:fill="9CC2E5" w:themeFill="accent1" w:themeFillTint="99"/>
                  <w:jc w:val="right"/>
                  <w:rPr>
                    <w:sz w:val="22"/>
                  </w:rPr>
                </w:pPr>
                <w:r w:rsidRPr="00073713">
                  <w:rPr>
                    <w:sz w:val="22"/>
                  </w:rPr>
                  <w:fldChar w:fldCharType="begin"/>
                </w:r>
                <w:r w:rsidR="00DF1F08" w:rsidRPr="00073713">
                  <w:rPr>
                    <w:sz w:val="22"/>
                  </w:rPr>
                  <w:instrText>If</w:instrText>
                </w:r>
                <w:r w:rsidRPr="00073713">
                  <w:rPr>
                    <w:sz w:val="22"/>
                  </w:rPr>
                  <w:fldChar w:fldCharType="begin"/>
                </w:r>
                <w:r w:rsidR="00DF1F08" w:rsidRPr="00073713">
                  <w:rPr>
                    <w:sz w:val="22"/>
                  </w:rPr>
                  <w:instrText>STYLEREF “Заголовок 1”</w:instrText>
                </w:r>
                <w:r w:rsidRPr="00073713">
                  <w:rPr>
                    <w:sz w:val="22"/>
                  </w:rPr>
                  <w:fldChar w:fldCharType="separate"/>
                </w:r>
                <w:r w:rsidR="004F12E3">
                  <w:rPr>
                    <w:noProof/>
                    <w:sz w:val="22"/>
                  </w:rPr>
                  <w:instrText>Вступ</w:instrText>
                </w:r>
                <w:r w:rsidRPr="00073713">
                  <w:rPr>
                    <w:sz w:val="22"/>
                  </w:rPr>
                  <w:fldChar w:fldCharType="end"/>
                </w:r>
                <w:r w:rsidR="00DF1F08" w:rsidRPr="00073713">
                  <w:rPr>
                    <w:sz w:val="22"/>
                  </w:rPr>
                  <w:instrText>&lt;&gt; "Ошибка *" "</w:instrText>
                </w:r>
                <w:r w:rsidRPr="00073713">
                  <w:rPr>
                    <w:sz w:val="22"/>
                  </w:rPr>
                  <w:fldChar w:fldCharType="begin"/>
                </w:r>
                <w:r w:rsidR="00DF1F08" w:rsidRPr="00073713">
                  <w:rPr>
                    <w:sz w:val="22"/>
                  </w:rPr>
                  <w:instrText>ST</w:instrText>
                </w:r>
                <w:r w:rsidRPr="00073713">
                  <w:rPr>
                    <w:sz w:val="22"/>
                  </w:rPr>
                  <w:fldChar w:fldCharType="begin"/>
                </w:r>
                <w:r w:rsidR="00DF1F08" w:rsidRPr="00073713">
                  <w:rPr>
                    <w:sz w:val="22"/>
                  </w:rPr>
                  <w:instrText>If</w:instrText>
                </w:r>
                <w:r w:rsidRPr="00073713">
                  <w:rPr>
                    <w:sz w:val="22"/>
                  </w:rPr>
                  <w:fldChar w:fldCharType="begin"/>
                </w:r>
                <w:r w:rsidR="00DF1F08" w:rsidRPr="00073713">
                  <w:rPr>
                    <w:sz w:val="22"/>
                  </w:rPr>
                  <w:instrText>STYLEREF “Заголовок 1”</w:instrText>
                </w:r>
                <w:r w:rsidRPr="00073713">
                  <w:rPr>
                    <w:sz w:val="22"/>
                  </w:rPr>
                  <w:fldChar w:fldCharType="separate"/>
                </w:r>
                <w:r w:rsidR="004F12E3">
                  <w:rPr>
                    <w:noProof/>
                    <w:sz w:val="22"/>
                  </w:rPr>
                  <w:instrText>Вступ</w:instrText>
                </w:r>
                <w:r w:rsidRPr="00073713">
                  <w:rPr>
                    <w:sz w:val="22"/>
                  </w:rPr>
                  <w:fldChar w:fldCharType="end"/>
                </w:r>
                <w:r w:rsidR="00DF1F08" w:rsidRPr="00073713">
                  <w:rPr>
                    <w:sz w:val="22"/>
                  </w:rPr>
                  <w:instrText>&lt;&gt; "Ошибка *" "</w:instrText>
                </w:r>
                <w:r w:rsidRPr="00073713">
                  <w:rPr>
                    <w:sz w:val="22"/>
                  </w:rPr>
                  <w:fldChar w:fldCharType="begin"/>
                </w:r>
                <w:r w:rsidR="00DF1F08" w:rsidRPr="00073713">
                  <w:rPr>
                    <w:sz w:val="22"/>
                  </w:rPr>
                  <w:instrText>STYLEREF "Заголовок 1"</w:instrText>
                </w:r>
                <w:r w:rsidRPr="00073713">
                  <w:rPr>
                    <w:sz w:val="22"/>
                  </w:rPr>
                  <w:fldChar w:fldCharType="separate"/>
                </w:r>
                <w:r w:rsidR="004F12E3">
                  <w:rPr>
                    <w:noProof/>
                    <w:sz w:val="22"/>
                  </w:rPr>
                  <w:instrText>Вступ</w:instrText>
                </w:r>
                <w:r w:rsidRPr="00073713">
                  <w:rPr>
                    <w:sz w:val="22"/>
                  </w:rPr>
                  <w:fldChar w:fldCharType="end"/>
                </w:r>
                <w:r w:rsidR="00DF1F08" w:rsidRPr="00073713">
                  <w:rPr>
                    <w:sz w:val="22"/>
                  </w:rPr>
                  <w:instrText xml:space="preserve">"Добавьте в свой </w:instrText>
                </w:r>
                <w:r w:rsidRPr="00073713">
                  <w:rPr>
                    <w:sz w:val="22"/>
                  </w:rPr>
                  <w:fldChar w:fldCharType="begin"/>
                </w:r>
                <w:r w:rsidR="00DF1F08" w:rsidRPr="00073713">
                  <w:rPr>
                    <w:sz w:val="22"/>
                  </w:rPr>
                  <w:instrText>If</w:instrText>
                </w:r>
                <w:r w:rsidRPr="00073713">
                  <w:rPr>
                    <w:sz w:val="22"/>
                  </w:rPr>
                  <w:fldChar w:fldCharType="begin"/>
                </w:r>
                <w:r w:rsidR="00DF1F08" w:rsidRPr="00073713">
                  <w:rPr>
                    <w:sz w:val="22"/>
                  </w:rPr>
                  <w:instrText>STYLEREF “Заголовок 1”</w:instrText>
                </w:r>
                <w:r w:rsidRPr="00073713">
                  <w:rPr>
                    <w:sz w:val="22"/>
                  </w:rPr>
                  <w:fldChar w:fldCharType="separate"/>
                </w:r>
                <w:r w:rsidR="00EE1045">
                  <w:rPr>
                    <w:noProof/>
                    <w:sz w:val="22"/>
                  </w:rPr>
                  <w:instrText>Вступ</w:instrText>
                </w:r>
                <w:r w:rsidRPr="00073713">
                  <w:rPr>
                    <w:sz w:val="22"/>
                  </w:rPr>
                  <w:fldChar w:fldCharType="end"/>
                </w:r>
                <w:r w:rsidR="00DF1F08" w:rsidRPr="00073713">
                  <w:rPr>
                    <w:sz w:val="22"/>
                  </w:rPr>
                  <w:instrText>&lt;&gt; "Ошибка *" "</w:instrText>
                </w:r>
                <w:r w:rsidRPr="00073713">
                  <w:rPr>
                    <w:sz w:val="22"/>
                  </w:rPr>
                  <w:fldChar w:fldCharType="begin"/>
                </w:r>
                <w:r w:rsidR="00DF1F08" w:rsidRPr="00073713">
                  <w:rPr>
                    <w:sz w:val="22"/>
                  </w:rPr>
                  <w:instrText>ST</w:instrText>
                </w:r>
                <w:r w:rsidRPr="00073713">
                  <w:rPr>
                    <w:sz w:val="22"/>
                  </w:rPr>
                  <w:fldChar w:fldCharType="begin"/>
                </w:r>
                <w:r w:rsidR="00DF1F08" w:rsidRPr="00073713">
                  <w:rPr>
                    <w:sz w:val="22"/>
                  </w:rPr>
                  <w:instrText>If</w:instrText>
                </w:r>
                <w:r w:rsidRPr="00073713">
                  <w:rPr>
                    <w:sz w:val="22"/>
                  </w:rPr>
                  <w:fldChar w:fldCharType="begin"/>
                </w:r>
                <w:r w:rsidR="00DF1F08" w:rsidRPr="00073713">
                  <w:rPr>
                    <w:sz w:val="22"/>
                  </w:rPr>
                  <w:instrText>STYLEREF “Заголовок 1”</w:instrText>
                </w:r>
                <w:r w:rsidRPr="00073713">
                  <w:rPr>
                    <w:sz w:val="22"/>
                  </w:rPr>
                  <w:fldChar w:fldCharType="separate"/>
                </w:r>
                <w:r w:rsidR="00EE1045">
                  <w:rPr>
                    <w:noProof/>
                    <w:sz w:val="22"/>
                  </w:rPr>
                  <w:instrText>Вступ</w:instrText>
                </w:r>
                <w:r w:rsidRPr="00073713">
                  <w:rPr>
                    <w:sz w:val="22"/>
                  </w:rPr>
                  <w:fldChar w:fldCharType="end"/>
                </w:r>
                <w:r w:rsidR="00DF1F08" w:rsidRPr="00073713">
                  <w:rPr>
                    <w:sz w:val="22"/>
                  </w:rPr>
                  <w:instrText>&lt;&gt; "Ошибка *" "</w:instrText>
                </w:r>
                <w:r w:rsidRPr="00073713">
                  <w:rPr>
                    <w:sz w:val="22"/>
                  </w:rPr>
                  <w:fldChar w:fldCharType="begin"/>
                </w:r>
                <w:r w:rsidR="00DF1F08" w:rsidRPr="00073713">
                  <w:rPr>
                    <w:sz w:val="22"/>
                  </w:rPr>
                  <w:instrText>STYLEREF "Заголовок 1"</w:instrText>
                </w:r>
                <w:r w:rsidRPr="00073713">
                  <w:rPr>
                    <w:sz w:val="22"/>
                  </w:rPr>
                  <w:fldChar w:fldCharType="separate"/>
                </w:r>
                <w:r w:rsidR="00EE1045">
                  <w:rPr>
                    <w:noProof/>
                    <w:sz w:val="22"/>
                  </w:rPr>
                  <w:instrText>Вступ</w:instrText>
                </w:r>
                <w:r w:rsidRPr="00073713">
                  <w:rPr>
                    <w:sz w:val="22"/>
                  </w:rPr>
                  <w:fldChar w:fldCharType="end"/>
                </w:r>
                <w:r w:rsidR="00DF1F08" w:rsidRPr="00073713">
                  <w:rPr>
                    <w:sz w:val="22"/>
                  </w:rPr>
                  <w:instrText>"Добавьте в свой документ заголовок"</w:instrText>
                </w:r>
                <w:r w:rsidRPr="00073713">
                  <w:rPr>
                    <w:sz w:val="22"/>
                  </w:rPr>
                  <w:fldChar w:fldCharType="separate"/>
                </w:r>
                <w:r w:rsidR="00EE1045">
                  <w:rPr>
                    <w:noProof/>
                    <w:sz w:val="22"/>
                  </w:rPr>
                  <w:instrText>Вступ</w:instrText>
                </w:r>
                <w:r w:rsidRPr="00073713">
                  <w:rPr>
                    <w:sz w:val="22"/>
                  </w:rPr>
                  <w:fldChar w:fldCharType="end"/>
                </w:r>
                <w:r w:rsidR="00DF1F08" w:rsidRPr="00073713">
                  <w:rPr>
                    <w:sz w:val="22"/>
                  </w:rPr>
                  <w:instrText>YLEREF "Заголовок 1"</w:instrText>
                </w:r>
                <w:r w:rsidRPr="00073713">
                  <w:rPr>
                    <w:sz w:val="22"/>
                  </w:rPr>
                  <w:fldChar w:fldCharType="separate"/>
                </w:r>
                <w:r w:rsidR="00DF1F08">
                  <w:rPr>
                    <w:noProof/>
                    <w:sz w:val="22"/>
                  </w:rPr>
                  <w:instrText>Вступ</w:instrText>
                </w:r>
                <w:r w:rsidRPr="00073713">
                  <w:rPr>
                    <w:sz w:val="22"/>
                  </w:rPr>
                  <w:fldChar w:fldCharType="end"/>
                </w:r>
                <w:r w:rsidR="00DF1F08" w:rsidRPr="00073713">
                  <w:rPr>
                    <w:sz w:val="22"/>
                  </w:rPr>
                  <w:instrText>"Добавьте в свой документ заголовок"</w:instrText>
                </w:r>
                <w:r w:rsidRPr="00073713">
                  <w:rPr>
                    <w:sz w:val="22"/>
                  </w:rPr>
                  <w:fldChar w:fldCharType="separate"/>
                </w:r>
                <w:r w:rsidR="00EE1045">
                  <w:rPr>
                    <w:noProof/>
                    <w:sz w:val="22"/>
                  </w:rPr>
                  <w:instrText>Вступ</w:instrText>
                </w:r>
                <w:r w:rsidRPr="00073713">
                  <w:rPr>
                    <w:sz w:val="22"/>
                  </w:rPr>
                  <w:fldChar w:fldCharType="end"/>
                </w:r>
                <w:r w:rsidR="00DF1F08" w:rsidRPr="00073713">
                  <w:rPr>
                    <w:sz w:val="22"/>
                  </w:rPr>
                  <w:instrText>документ заголовок"</w:instrText>
                </w:r>
                <w:r w:rsidRPr="00073713">
                  <w:rPr>
                    <w:sz w:val="22"/>
                  </w:rPr>
                  <w:fldChar w:fldCharType="separate"/>
                </w:r>
                <w:r w:rsidR="004F12E3">
                  <w:rPr>
                    <w:noProof/>
                    <w:sz w:val="22"/>
                  </w:rPr>
                  <w:instrText>Вступ</w:instrText>
                </w:r>
                <w:r w:rsidRPr="00073713">
                  <w:rPr>
                    <w:sz w:val="22"/>
                  </w:rPr>
                  <w:fldChar w:fldCharType="end"/>
                </w:r>
                <w:r w:rsidR="00DF1F08" w:rsidRPr="00073713">
                  <w:rPr>
                    <w:sz w:val="22"/>
                  </w:rPr>
                  <w:instrText>YLEREF "Заголовок 1"</w:instrText>
                </w:r>
                <w:r w:rsidRPr="00073713">
                  <w:rPr>
                    <w:sz w:val="22"/>
                  </w:rPr>
                  <w:fldChar w:fldCharType="separate"/>
                </w:r>
                <w:r w:rsidR="00DF1F08">
                  <w:rPr>
                    <w:noProof/>
                    <w:sz w:val="22"/>
                  </w:rPr>
                  <w:instrText>Вступ</w:instrText>
                </w:r>
                <w:r w:rsidRPr="00073713">
                  <w:rPr>
                    <w:sz w:val="22"/>
                  </w:rPr>
                  <w:fldChar w:fldCharType="end"/>
                </w:r>
                <w:r w:rsidR="00DF1F08" w:rsidRPr="00073713">
                  <w:rPr>
                    <w:sz w:val="22"/>
                  </w:rPr>
                  <w:instrText>"Добавьте в свой документ заголовок"</w:instrText>
                </w:r>
                <w:r w:rsidRPr="00073713">
                  <w:rPr>
                    <w:sz w:val="22"/>
                  </w:rPr>
                  <w:fldChar w:fldCharType="separate"/>
                </w:r>
                <w:r w:rsidR="004F12E3">
                  <w:rPr>
                    <w:noProof/>
                    <w:sz w:val="22"/>
                  </w:rPr>
                  <w:t>Вступ</w:t>
                </w:r>
                <w:r w:rsidRPr="00073713">
                  <w:rPr>
                    <w:sz w:val="22"/>
                  </w:rPr>
                  <w:fldChar w:fldCharType="end"/>
                </w:r>
              </w:p>
            </w:txbxContent>
          </v:textbox>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F08" w:rsidRPr="00233D4D" w:rsidRDefault="00095093" w:rsidP="00BE4231">
    <w:pPr>
      <w:pStyle w:val="a3"/>
      <w:ind w:firstLine="0"/>
      <w:rPr>
        <w:sz w:val="8"/>
        <w:szCs w:val="8"/>
      </w:rPr>
    </w:pPr>
    <w:r>
      <w:rPr>
        <w:noProof/>
        <w:sz w:val="8"/>
        <w:szCs w:val="8"/>
        <w:lang w:eastAsia="uk-UA"/>
      </w:rPr>
      <w:pict>
        <v:shapetype id="_x0000_t202" coordsize="21600,21600" o:spt="202" path="m,l,21600r21600,l21600,xe">
          <v:stroke joinstyle="miter"/>
          <v:path gradientshapeok="t" o:connecttype="rect"/>
        </v:shapetype>
        <v:shape id="_x0000_s4139" type="#_x0000_t202" style="position:absolute;margin-left:45382.3pt;margin-top:21.9pt;width:765.25pt;height:17.7pt;z-index:251708416;visibility:visible;mso-width-percent:1000;mso-position-horizontal:right;mso-position-horizontal-relative:margin;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" o:allowincell="f" fillcolor="#9cc2e5 [1940]" stroked="f">
          <v:textbox style="mso-next-textbox:#_x0000_s4139" inset=",0,,0">
            <w:txbxContent>
              <w:sdt>
                <w:sdtPr>
                  <w:rPr>
                    <w:noProof/>
                    <w:sz w:val="22"/>
                  </w:rPr>
                  <w:alias w:val="Название"/>
                  <w:id w:val="5320439"/>
                  <w:dataBinding w:prefixMappings="xmlns:ns0='http://schemas.openxmlformats.org/package/2006/metadata/core-properties' xmlns:ns1='http://purl.org/dc/elements/1.1/'" w:xpath="/ns0:coreProperties[1]/ns1:title[1]" w:storeItemID="{6C3C8BC8-F283-45AE-878A-BAB7291924A1}"/>
                  <w:text/>
                </w:sdtPr>
                <w:sdtContent>
                  <w:p w:rsidR="00DF1F08" w:rsidRPr="001E5CAD" w:rsidRDefault="00DF1F08" w:rsidP="00FD3680">
                    <w:pPr>
                      <w:ind w:firstLine="0"/>
                      <w:jc w:val="right"/>
                      <w:rPr>
                        <w:noProof/>
                        <w:sz w:val="22"/>
                      </w:rPr>
                    </w:pPr>
                    <w:r>
                      <w:rPr>
                        <w:noProof/>
                        <w:sz w:val="22"/>
                      </w:rPr>
                      <w:t xml:space="preserve">Звіт про роботу Фонду державного майна України, </w:t>
                    </w:r>
                  </w:p>
                </w:sdtContent>
              </w:sdt>
            </w:txbxContent>
          </v:textbox>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F08" w:rsidRPr="002B3DF4" w:rsidRDefault="00095093" w:rsidP="00BE4231">
    <w:pPr>
      <w:pStyle w:val="a3"/>
      <w:ind w:firstLine="0"/>
      <w:rPr>
        <w:sz w:val="2"/>
        <w:szCs w:val="2"/>
      </w:rPr>
    </w:pPr>
    <w:r>
      <w:rPr>
        <w:noProof/>
        <w:sz w:val="2"/>
        <w:szCs w:val="2"/>
        <w:lang w:eastAsia="uk-UA"/>
      </w:rPr>
      <w:pict>
        <v:shapetype id="_x0000_t202" coordsize="21600,21600" o:spt="202" path="m,l,21600r21600,l21600,xe">
          <v:stroke joinstyle="miter"/>
          <v:path gradientshapeok="t" o:connecttype="rect"/>
        </v:shapetype>
        <v:shape id="_x0000_s4114" type="#_x0000_t202" style="position:absolute;margin-left:0;margin-top:20.15pt;width:468pt;height:13.7pt;z-index:251665408;visibility:visible;mso-width-percent:1000;mso-position-horizontal:center;mso-position-horizontal-relative:margin;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" o:allowincell="f" fillcolor="#9cc2e5 [1940]" stroked="f">
          <v:textbox style="mso-next-textbox:#_x0000_s4114;mso-fit-shape-to-text:t" inset=",0,,0">
            <w:txbxContent>
              <w:p w:rsidR="00DF1F08" w:rsidRDefault="00DF1F08">
                <w:pPr>
                  <w:jc w:val="right"/>
                  <w:rPr>
                    <w:sz w:val="22"/>
                  </w:rPr>
                </w:pPr>
                <w:r>
                  <w:rPr>
                    <w:sz w:val="22"/>
                  </w:rPr>
                  <w:t>Додаток 1</w:t>
                </w:r>
              </w:p>
            </w:txbxContent>
          </v:textbox>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F08" w:rsidRDefault="00095093" w:rsidP="00BE4231">
    <w:pPr>
      <w:pStyle w:val="a3"/>
      <w:ind w:firstLine="0"/>
    </w:pPr>
    <w:r>
      <w:rPr>
        <w:noProof/>
        <w:lang w:eastAsia="uk-UA"/>
      </w:rPr>
      <w:pict>
        <v:shapetype id="_x0000_t202" coordsize="21600,21600" o:spt="202" path="m,l,21600r21600,l21600,xe">
          <v:stroke joinstyle="miter"/>
          <v:path gradientshapeok="t" o:connecttype="rect"/>
        </v:shapetype>
        <v:shape id="_x0000_s4113" type="#_x0000_t202" style="position:absolute;margin-left:26952.8pt;margin-top:36.75pt;width:468pt;height:15pt;z-index:251688960;visibility:visible;mso-width-percent:1000;mso-position-horizontal:right;mso-position-horizontal-relative:margin;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" o:allowincell="f" fillcolor="#9cc2e5 [1940]" stroked="f">
          <v:textbox inset=",0,,0">
            <w:txbxContent>
              <w:p w:rsidR="00DF1F08" w:rsidRPr="001E5CAD" w:rsidRDefault="00DF1F08" w:rsidP="00D879BD">
                <w:pPr>
                  <w:ind w:firstLine="0"/>
                  <w:jc w:val="right"/>
                  <w:rPr>
                    <w:noProof/>
                    <w:sz w:val="22"/>
                  </w:rPr>
                </w:pPr>
                <w:r>
                  <w:rPr>
                    <w:sz w:val="22"/>
                  </w:rPr>
                  <w:t>Додаток 2</w:t>
                </w:r>
              </w:p>
            </w:txbxContent>
          </v:textbox>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F08" w:rsidRPr="002B3DF4" w:rsidRDefault="00095093" w:rsidP="00BE4231">
    <w:pPr>
      <w:pStyle w:val="a3"/>
      <w:ind w:firstLine="0"/>
      <w:rPr>
        <w:sz w:val="2"/>
        <w:szCs w:val="2"/>
      </w:rPr>
    </w:pPr>
    <w:r>
      <w:rPr>
        <w:noProof/>
        <w:sz w:val="2"/>
        <w:szCs w:val="2"/>
        <w:lang w:eastAsia="uk-UA"/>
      </w:rPr>
      <w:pict>
        <v:shapetype id="_x0000_t202" coordsize="21600,21600" o:spt="202" path="m,l,21600r21600,l21600,xe">
          <v:stroke joinstyle="miter"/>
          <v:path gradientshapeok="t" o:connecttype="rect"/>
        </v:shapetype>
        <v:shape id="_x0000_s4112" type="#_x0000_t202" style="position:absolute;margin-left:0;margin-top:20.15pt;width:468pt;height:13.7pt;z-index:251667456;visibility:visible;mso-width-percent:1000;mso-position-horizontal:center;mso-position-horizontal-relative:margin;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" o:allowincell="f" fillcolor="#9cc2e5 [1940]" stroked="f">
          <v:textbox style="mso-fit-shape-to-text:t" inset=",0,,0">
            <w:txbxContent>
              <w:p w:rsidR="00DF1F08" w:rsidRPr="00135105" w:rsidRDefault="00DF1F08">
                <w:pPr>
                  <w:jc w:val="right"/>
                  <w:rPr>
                    <w:sz w:val="22"/>
                    <w:lang w:val="en-US"/>
                  </w:rPr>
                </w:pPr>
                <w:r>
                  <w:rPr>
                    <w:sz w:val="22"/>
                  </w:rPr>
                  <w:t xml:space="preserve">Додаток </w:t>
                </w:r>
                <w:r>
                  <w:rPr>
                    <w:sz w:val="22"/>
                    <w:lang w:val="en-US"/>
                  </w:rPr>
                  <w:t>2</w:t>
                </w:r>
              </w:p>
            </w:txbxContent>
          </v:textbox>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F08" w:rsidRDefault="00095093" w:rsidP="00BE4231">
    <w:pPr>
      <w:pStyle w:val="a3"/>
      <w:ind w:firstLine="0"/>
    </w:pPr>
    <w:r>
      <w:rPr>
        <w:noProof/>
        <w:lang w:eastAsia="uk-UA"/>
      </w:rPr>
      <w:pict>
        <v:shapetype id="_x0000_t202" coordsize="21600,21600" o:spt="202" path="m,l,21600r21600,l21600,xe">
          <v:stroke joinstyle="miter"/>
          <v:path gradientshapeok="t" o:connecttype="rect"/>
        </v:shapetype>
        <v:shape id="_x0000_s4140" type="#_x0000_t202" style="position:absolute;margin-left:26952.8pt;margin-top:36.75pt;width:468pt;height:15pt;z-index:251710464;visibility:visible;mso-width-percent:1000;mso-position-horizontal:right;mso-position-horizontal-relative:margin;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" o:allowincell="f" fillcolor="#9cc2e5 [1940]" stroked="f">
          <v:textbox inset=",0,,0">
            <w:txbxContent>
              <w:p w:rsidR="00DF1F08" w:rsidRPr="001E5CAD" w:rsidRDefault="00DF1F08" w:rsidP="00D879BD">
                <w:pPr>
                  <w:ind w:firstLine="0"/>
                  <w:jc w:val="right"/>
                  <w:rPr>
                    <w:noProof/>
                    <w:sz w:val="22"/>
                  </w:rPr>
                </w:pPr>
                <w:r>
                  <w:rPr>
                    <w:sz w:val="22"/>
                  </w:rPr>
                  <w:t>Додаток 3</w:t>
                </w:r>
              </w:p>
            </w:txbxContent>
          </v:textbox>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F08" w:rsidRPr="002B3DF4" w:rsidRDefault="00095093" w:rsidP="00BE4231">
    <w:pPr>
      <w:pStyle w:val="a3"/>
      <w:ind w:firstLine="0"/>
      <w:rPr>
        <w:sz w:val="2"/>
        <w:szCs w:val="2"/>
      </w:rPr>
    </w:pPr>
    <w:r>
      <w:rPr>
        <w:noProof/>
        <w:sz w:val="2"/>
        <w:szCs w:val="2"/>
        <w:lang w:eastAsia="uk-UA"/>
      </w:rPr>
      <w:pict>
        <v:shapetype id="_x0000_t202" coordsize="21600,21600" o:spt="202" path="m,l,21600r21600,l21600,xe">
          <v:stroke joinstyle="miter"/>
          <v:path gradientshapeok="t" o:connecttype="rect"/>
        </v:shapetype>
        <v:shape id="_x0000_s4111" type="#_x0000_t202" style="position:absolute;margin-left:0;margin-top:32.8pt;width:765.45pt;height:12.65pt;z-index:251669504;visibility:visible;mso-width-percent:1000;mso-position-horizontal-relative:margin;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" o:allowincell="f" fillcolor="#9cc2e5 [1940]" stroked="f">
          <v:textbox style="mso-fit-shape-to-text:t" inset=",0,,0">
            <w:txbxContent>
              <w:p w:rsidR="00DF1F08" w:rsidRPr="00135105" w:rsidRDefault="00DF1F08">
                <w:pPr>
                  <w:jc w:val="right"/>
                  <w:rPr>
                    <w:sz w:val="22"/>
                    <w:lang w:val="en-US"/>
                  </w:rPr>
                </w:pPr>
                <w:r>
                  <w:rPr>
                    <w:sz w:val="22"/>
                  </w:rPr>
                  <w:t xml:space="preserve">Додаток </w:t>
                </w:r>
                <w:r>
                  <w:rPr>
                    <w:sz w:val="22"/>
                    <w:lang w:val="en-US"/>
                  </w:rPr>
                  <w:t>3</w:t>
                </w:r>
              </w:p>
            </w:txbxContent>
          </v:textbox>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811AA"/>
    <w:multiLevelType w:val="hybridMultilevel"/>
    <w:tmpl w:val="BBC27266"/>
    <w:lvl w:ilvl="0" w:tplc="04190001">
      <w:start w:val="1"/>
      <w:numFmt w:val="bullet"/>
      <w:lvlText w:val=""/>
      <w:lvlJc w:val="left"/>
      <w:pPr>
        <w:tabs>
          <w:tab w:val="num" w:pos="1669"/>
        </w:tabs>
        <w:ind w:left="1669" w:hanging="360"/>
      </w:pPr>
      <w:rPr>
        <w:rFonts w:ascii="Symbol" w:hAnsi="Symbol" w:hint="default"/>
      </w:rPr>
    </w:lvl>
    <w:lvl w:ilvl="1" w:tplc="04190003">
      <w:start w:val="1"/>
      <w:numFmt w:val="bullet"/>
      <w:lvlText w:val="o"/>
      <w:lvlJc w:val="left"/>
      <w:pPr>
        <w:tabs>
          <w:tab w:val="num" w:pos="2389"/>
        </w:tabs>
        <w:ind w:left="2389" w:hanging="360"/>
      </w:pPr>
      <w:rPr>
        <w:rFonts w:ascii="Courier New" w:hAnsi="Courier New" w:cs="Courier New" w:hint="default"/>
      </w:rPr>
    </w:lvl>
    <w:lvl w:ilvl="2" w:tplc="04190005">
      <w:start w:val="1"/>
      <w:numFmt w:val="bullet"/>
      <w:lvlText w:val=""/>
      <w:lvlJc w:val="left"/>
      <w:pPr>
        <w:tabs>
          <w:tab w:val="num" w:pos="3109"/>
        </w:tabs>
        <w:ind w:left="3109" w:hanging="360"/>
      </w:pPr>
      <w:rPr>
        <w:rFonts w:ascii="Wingdings" w:hAnsi="Wingdings" w:hint="default"/>
      </w:rPr>
    </w:lvl>
    <w:lvl w:ilvl="3" w:tplc="04190001">
      <w:start w:val="1"/>
      <w:numFmt w:val="bullet"/>
      <w:lvlText w:val=""/>
      <w:lvlJc w:val="left"/>
      <w:pPr>
        <w:tabs>
          <w:tab w:val="num" w:pos="3829"/>
        </w:tabs>
        <w:ind w:left="3829" w:hanging="360"/>
      </w:pPr>
      <w:rPr>
        <w:rFonts w:ascii="Symbol" w:hAnsi="Symbol" w:hint="default"/>
      </w:rPr>
    </w:lvl>
    <w:lvl w:ilvl="4" w:tplc="04190003">
      <w:start w:val="1"/>
      <w:numFmt w:val="bullet"/>
      <w:lvlText w:val="o"/>
      <w:lvlJc w:val="left"/>
      <w:pPr>
        <w:tabs>
          <w:tab w:val="num" w:pos="4549"/>
        </w:tabs>
        <w:ind w:left="4549" w:hanging="360"/>
      </w:pPr>
      <w:rPr>
        <w:rFonts w:ascii="Courier New" w:hAnsi="Courier New" w:cs="Courier New" w:hint="default"/>
      </w:rPr>
    </w:lvl>
    <w:lvl w:ilvl="5" w:tplc="04190005">
      <w:start w:val="1"/>
      <w:numFmt w:val="bullet"/>
      <w:lvlText w:val=""/>
      <w:lvlJc w:val="left"/>
      <w:pPr>
        <w:tabs>
          <w:tab w:val="num" w:pos="5269"/>
        </w:tabs>
        <w:ind w:left="5269" w:hanging="360"/>
      </w:pPr>
      <w:rPr>
        <w:rFonts w:ascii="Wingdings" w:hAnsi="Wingdings" w:hint="default"/>
      </w:rPr>
    </w:lvl>
    <w:lvl w:ilvl="6" w:tplc="04190001">
      <w:start w:val="1"/>
      <w:numFmt w:val="bullet"/>
      <w:lvlText w:val=""/>
      <w:lvlJc w:val="left"/>
      <w:pPr>
        <w:tabs>
          <w:tab w:val="num" w:pos="5989"/>
        </w:tabs>
        <w:ind w:left="5989" w:hanging="360"/>
      </w:pPr>
      <w:rPr>
        <w:rFonts w:ascii="Symbol" w:hAnsi="Symbol" w:hint="default"/>
      </w:rPr>
    </w:lvl>
    <w:lvl w:ilvl="7" w:tplc="04190003">
      <w:start w:val="1"/>
      <w:numFmt w:val="bullet"/>
      <w:lvlText w:val="o"/>
      <w:lvlJc w:val="left"/>
      <w:pPr>
        <w:tabs>
          <w:tab w:val="num" w:pos="6709"/>
        </w:tabs>
        <w:ind w:left="6709" w:hanging="360"/>
      </w:pPr>
      <w:rPr>
        <w:rFonts w:ascii="Courier New" w:hAnsi="Courier New" w:cs="Courier New" w:hint="default"/>
      </w:rPr>
    </w:lvl>
    <w:lvl w:ilvl="8" w:tplc="04190005">
      <w:start w:val="1"/>
      <w:numFmt w:val="bullet"/>
      <w:lvlText w:val=""/>
      <w:lvlJc w:val="left"/>
      <w:pPr>
        <w:tabs>
          <w:tab w:val="num" w:pos="7429"/>
        </w:tabs>
        <w:ind w:left="7429" w:hanging="360"/>
      </w:pPr>
      <w:rPr>
        <w:rFonts w:ascii="Wingdings" w:hAnsi="Wingdings" w:hint="default"/>
      </w:rPr>
    </w:lvl>
  </w:abstractNum>
  <w:abstractNum w:abstractNumId="1">
    <w:nsid w:val="0CA13FC7"/>
    <w:multiLevelType w:val="hybridMultilevel"/>
    <w:tmpl w:val="81E24A04"/>
    <w:lvl w:ilvl="0" w:tplc="04190001">
      <w:start w:val="1"/>
      <w:numFmt w:val="bullet"/>
      <w:lvlText w:val=""/>
      <w:lvlJc w:val="left"/>
      <w:pPr>
        <w:ind w:left="720" w:hanging="360"/>
      </w:pPr>
      <w:rPr>
        <w:rFonts w:ascii="Symbol" w:hAnsi="Symbol" w:hint="default"/>
      </w:rPr>
    </w:lvl>
    <w:lvl w:ilvl="1" w:tplc="04190011">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D1E595D"/>
    <w:multiLevelType w:val="hybridMultilevel"/>
    <w:tmpl w:val="5CE65B1A"/>
    <w:lvl w:ilvl="0" w:tplc="274017AA">
      <w:start w:val="10"/>
      <w:numFmt w:val="bullet"/>
      <w:lvlText w:val="–"/>
      <w:lvlJc w:val="left"/>
      <w:pPr>
        <w:tabs>
          <w:tab w:val="num" w:pos="1624"/>
        </w:tabs>
        <w:ind w:left="1624" w:hanging="915"/>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
    <w:nsid w:val="0D7F03C2"/>
    <w:multiLevelType w:val="hybridMultilevel"/>
    <w:tmpl w:val="5D2E3BF6"/>
    <w:lvl w:ilvl="0" w:tplc="51323F22">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nsid w:val="0FCE7262"/>
    <w:multiLevelType w:val="hybridMultilevel"/>
    <w:tmpl w:val="9176F9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47D29AB"/>
    <w:multiLevelType w:val="hybridMultilevel"/>
    <w:tmpl w:val="5EFA32BC"/>
    <w:lvl w:ilvl="0" w:tplc="1CE84D58">
      <w:start w:val="25"/>
      <w:numFmt w:val="bullet"/>
      <w:lvlText w:val="–"/>
      <w:lvlJc w:val="left"/>
      <w:pPr>
        <w:ind w:left="1429" w:hanging="360"/>
      </w:pPr>
      <w:rPr>
        <w:rFonts w:ascii="Times New Roman" w:eastAsia="Times New Roman"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6">
    <w:nsid w:val="1818735C"/>
    <w:multiLevelType w:val="hybridMultilevel"/>
    <w:tmpl w:val="9C60B39A"/>
    <w:lvl w:ilvl="0" w:tplc="A3E8A430">
      <w:numFmt w:val="bullet"/>
      <w:lvlText w:val=""/>
      <w:lvlJc w:val="left"/>
      <w:pPr>
        <w:tabs>
          <w:tab w:val="num" w:pos="2191"/>
        </w:tabs>
        <w:ind w:left="2191" w:hanging="765"/>
      </w:pPr>
      <w:rPr>
        <w:rFonts w:ascii="Symbol" w:eastAsia="Times New Roman" w:hAnsi="Symbol"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
    <w:nsid w:val="184A0C08"/>
    <w:multiLevelType w:val="hybridMultilevel"/>
    <w:tmpl w:val="A86E0C82"/>
    <w:lvl w:ilvl="0" w:tplc="1CE84D58">
      <w:start w:val="25"/>
      <w:numFmt w:val="bullet"/>
      <w:lvlText w:val="–"/>
      <w:lvlJc w:val="left"/>
      <w:pPr>
        <w:ind w:left="720" w:hanging="360"/>
      </w:pPr>
      <w:rPr>
        <w:rFonts w:ascii="Times New Roman" w:eastAsia="Times New Roman" w:hAnsi="Times New Roman" w:cs="Times New Roman" w:hint="default"/>
        <w:sz w:val="28"/>
        <w:szCs w:val="28"/>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nsid w:val="221A6BF4"/>
    <w:multiLevelType w:val="hybridMultilevel"/>
    <w:tmpl w:val="D0EC9A98"/>
    <w:lvl w:ilvl="0" w:tplc="C602BA90">
      <w:numFmt w:val="bullet"/>
      <w:lvlText w:val="–"/>
      <w:lvlJc w:val="left"/>
      <w:pPr>
        <w:tabs>
          <w:tab w:val="num" w:pos="1080"/>
        </w:tabs>
        <w:ind w:left="1080" w:hanging="360"/>
      </w:pPr>
      <w:rPr>
        <w:rFonts w:ascii="Times New Roman" w:eastAsia="Times New Roman" w:hAnsi="Times New Roman" w:cs="Times New Roman" w:hint="default"/>
        <w:color w:val="000000"/>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9">
    <w:nsid w:val="321D5174"/>
    <w:multiLevelType w:val="hybridMultilevel"/>
    <w:tmpl w:val="1B76CE58"/>
    <w:lvl w:ilvl="0" w:tplc="04190001">
      <w:start w:val="1"/>
      <w:numFmt w:val="bullet"/>
      <w:lvlText w:val=""/>
      <w:lvlJc w:val="left"/>
      <w:pPr>
        <w:ind w:left="1260" w:hanging="360"/>
      </w:pPr>
      <w:rPr>
        <w:rFonts w:ascii="Symbol" w:hAnsi="Symbol" w:hint="default"/>
        <w:b/>
        <w:sz w:val="24"/>
        <w:szCs w:val="24"/>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0">
    <w:nsid w:val="324378A1"/>
    <w:multiLevelType w:val="hybridMultilevel"/>
    <w:tmpl w:val="2084D1B8"/>
    <w:lvl w:ilvl="0" w:tplc="3A54F9FE">
      <w:start w:val="1"/>
      <w:numFmt w:val="bullet"/>
      <w:lvlText w:val=""/>
      <w:lvlJc w:val="left"/>
      <w:pPr>
        <w:tabs>
          <w:tab w:val="num" w:pos="2149"/>
        </w:tabs>
        <w:ind w:left="2149" w:hanging="360"/>
      </w:pPr>
      <w:rPr>
        <w:rFonts w:ascii="Symbol" w:hAnsi="Symbol" w:hint="default"/>
      </w:rPr>
    </w:lvl>
    <w:lvl w:ilvl="1" w:tplc="3A54F9FE">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F352307"/>
    <w:multiLevelType w:val="hybridMultilevel"/>
    <w:tmpl w:val="D592D7CE"/>
    <w:lvl w:ilvl="0" w:tplc="A26231BE">
      <w:start w:val="23"/>
      <w:numFmt w:val="bullet"/>
      <w:lvlText w:val="–"/>
      <w:lvlJc w:val="left"/>
      <w:pPr>
        <w:tabs>
          <w:tab w:val="num" w:pos="1211"/>
        </w:tabs>
        <w:ind w:left="1211" w:hanging="360"/>
      </w:pPr>
      <w:rPr>
        <w:rFonts w:ascii="Times New Roman" w:eastAsia="Times New Roman" w:hAnsi="Times New Roman" w:cs="Times New Roman" w:hint="default"/>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cs="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cs="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12">
    <w:nsid w:val="48ED73E9"/>
    <w:multiLevelType w:val="hybridMultilevel"/>
    <w:tmpl w:val="FDEC1034"/>
    <w:lvl w:ilvl="0" w:tplc="1CE84D58">
      <w:start w:val="25"/>
      <w:numFmt w:val="bullet"/>
      <w:lvlText w:val="–"/>
      <w:lvlJc w:val="left"/>
      <w:pPr>
        <w:tabs>
          <w:tab w:val="num" w:pos="2175"/>
        </w:tabs>
        <w:ind w:left="2175" w:hanging="915"/>
      </w:pPr>
      <w:rPr>
        <w:rFonts w:ascii="Times New Roman" w:eastAsia="Times New Roman" w:hAnsi="Times New Roman" w:hint="default"/>
        <w:sz w:val="28"/>
      </w:rPr>
    </w:lvl>
    <w:lvl w:ilvl="1" w:tplc="04190003" w:tentative="1">
      <w:start w:val="1"/>
      <w:numFmt w:val="bullet"/>
      <w:lvlText w:val="o"/>
      <w:lvlJc w:val="left"/>
      <w:pPr>
        <w:tabs>
          <w:tab w:val="num" w:pos="2133"/>
        </w:tabs>
        <w:ind w:left="2133" w:hanging="360"/>
      </w:pPr>
      <w:rPr>
        <w:rFonts w:ascii="Courier New" w:hAnsi="Courier New" w:cs="Courier New" w:hint="default"/>
      </w:rPr>
    </w:lvl>
    <w:lvl w:ilvl="2" w:tplc="04190005" w:tentative="1">
      <w:start w:val="1"/>
      <w:numFmt w:val="bullet"/>
      <w:lvlText w:val=""/>
      <w:lvlJc w:val="left"/>
      <w:pPr>
        <w:tabs>
          <w:tab w:val="num" w:pos="2853"/>
        </w:tabs>
        <w:ind w:left="2853" w:hanging="360"/>
      </w:pPr>
      <w:rPr>
        <w:rFonts w:ascii="Wingdings" w:hAnsi="Wingdings" w:hint="default"/>
      </w:rPr>
    </w:lvl>
    <w:lvl w:ilvl="3" w:tplc="04190001" w:tentative="1">
      <w:start w:val="1"/>
      <w:numFmt w:val="bullet"/>
      <w:lvlText w:val=""/>
      <w:lvlJc w:val="left"/>
      <w:pPr>
        <w:tabs>
          <w:tab w:val="num" w:pos="3573"/>
        </w:tabs>
        <w:ind w:left="3573" w:hanging="360"/>
      </w:pPr>
      <w:rPr>
        <w:rFonts w:ascii="Symbol" w:hAnsi="Symbol" w:hint="default"/>
      </w:rPr>
    </w:lvl>
    <w:lvl w:ilvl="4" w:tplc="04190003" w:tentative="1">
      <w:start w:val="1"/>
      <w:numFmt w:val="bullet"/>
      <w:lvlText w:val="o"/>
      <w:lvlJc w:val="left"/>
      <w:pPr>
        <w:tabs>
          <w:tab w:val="num" w:pos="4293"/>
        </w:tabs>
        <w:ind w:left="4293" w:hanging="360"/>
      </w:pPr>
      <w:rPr>
        <w:rFonts w:ascii="Courier New" w:hAnsi="Courier New" w:cs="Courier New" w:hint="default"/>
      </w:rPr>
    </w:lvl>
    <w:lvl w:ilvl="5" w:tplc="04190005" w:tentative="1">
      <w:start w:val="1"/>
      <w:numFmt w:val="bullet"/>
      <w:lvlText w:val=""/>
      <w:lvlJc w:val="left"/>
      <w:pPr>
        <w:tabs>
          <w:tab w:val="num" w:pos="5013"/>
        </w:tabs>
        <w:ind w:left="5013" w:hanging="360"/>
      </w:pPr>
      <w:rPr>
        <w:rFonts w:ascii="Wingdings" w:hAnsi="Wingdings" w:hint="default"/>
      </w:rPr>
    </w:lvl>
    <w:lvl w:ilvl="6" w:tplc="04190001" w:tentative="1">
      <w:start w:val="1"/>
      <w:numFmt w:val="bullet"/>
      <w:lvlText w:val=""/>
      <w:lvlJc w:val="left"/>
      <w:pPr>
        <w:tabs>
          <w:tab w:val="num" w:pos="5733"/>
        </w:tabs>
        <w:ind w:left="5733" w:hanging="360"/>
      </w:pPr>
      <w:rPr>
        <w:rFonts w:ascii="Symbol" w:hAnsi="Symbol" w:hint="default"/>
      </w:rPr>
    </w:lvl>
    <w:lvl w:ilvl="7" w:tplc="04190003" w:tentative="1">
      <w:start w:val="1"/>
      <w:numFmt w:val="bullet"/>
      <w:lvlText w:val="o"/>
      <w:lvlJc w:val="left"/>
      <w:pPr>
        <w:tabs>
          <w:tab w:val="num" w:pos="6453"/>
        </w:tabs>
        <w:ind w:left="6453" w:hanging="360"/>
      </w:pPr>
      <w:rPr>
        <w:rFonts w:ascii="Courier New" w:hAnsi="Courier New" w:cs="Courier New" w:hint="default"/>
      </w:rPr>
    </w:lvl>
    <w:lvl w:ilvl="8" w:tplc="04190005" w:tentative="1">
      <w:start w:val="1"/>
      <w:numFmt w:val="bullet"/>
      <w:lvlText w:val=""/>
      <w:lvlJc w:val="left"/>
      <w:pPr>
        <w:tabs>
          <w:tab w:val="num" w:pos="7173"/>
        </w:tabs>
        <w:ind w:left="7173" w:hanging="360"/>
      </w:pPr>
      <w:rPr>
        <w:rFonts w:ascii="Wingdings" w:hAnsi="Wingdings" w:hint="default"/>
      </w:rPr>
    </w:lvl>
  </w:abstractNum>
  <w:abstractNum w:abstractNumId="13">
    <w:nsid w:val="4AA73C11"/>
    <w:multiLevelType w:val="hybridMultilevel"/>
    <w:tmpl w:val="C61E21F6"/>
    <w:lvl w:ilvl="0" w:tplc="3EC69480">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4">
    <w:nsid w:val="5237468A"/>
    <w:multiLevelType w:val="hybridMultilevel"/>
    <w:tmpl w:val="8A6E44BA"/>
    <w:lvl w:ilvl="0" w:tplc="F3EAF286">
      <w:start w:val="1"/>
      <w:numFmt w:val="decimal"/>
      <w:lvlText w:val="%1."/>
      <w:lvlJc w:val="left"/>
      <w:pPr>
        <w:tabs>
          <w:tab w:val="num" w:pos="1512"/>
        </w:tabs>
        <w:ind w:left="1512" w:hanging="945"/>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5">
    <w:nsid w:val="59902D6E"/>
    <w:multiLevelType w:val="hybridMultilevel"/>
    <w:tmpl w:val="0E4E4402"/>
    <w:lvl w:ilvl="0" w:tplc="1CE84D58">
      <w:start w:val="25"/>
      <w:numFmt w:val="bullet"/>
      <w:lvlText w:val="–"/>
      <w:lvlJc w:val="left"/>
      <w:pPr>
        <w:ind w:left="1429" w:hanging="360"/>
      </w:pPr>
      <w:rPr>
        <w:rFonts w:ascii="Times New Roman" w:eastAsia="Times New Roman"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6">
    <w:nsid w:val="5BA63E8A"/>
    <w:multiLevelType w:val="hybridMultilevel"/>
    <w:tmpl w:val="E8CA52B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636152E4"/>
    <w:multiLevelType w:val="hybridMultilevel"/>
    <w:tmpl w:val="43BCD748"/>
    <w:lvl w:ilvl="0" w:tplc="1CE84D58">
      <w:start w:val="25"/>
      <w:numFmt w:val="bullet"/>
      <w:lvlText w:val="–"/>
      <w:lvlJc w:val="left"/>
      <w:pPr>
        <w:ind w:left="1429" w:hanging="360"/>
      </w:pPr>
      <w:rPr>
        <w:rFonts w:ascii="Times New Roman" w:eastAsia="Times New Roman" w:hAnsi="Times New Roman" w:cs="Times New Roman" w:hint="default"/>
        <w:sz w:val="28"/>
        <w:szCs w:val="28"/>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8">
    <w:nsid w:val="64073B7E"/>
    <w:multiLevelType w:val="hybridMultilevel"/>
    <w:tmpl w:val="15D00CDE"/>
    <w:lvl w:ilvl="0" w:tplc="C602BA90">
      <w:numFmt w:val="bullet"/>
      <w:lvlText w:val="–"/>
      <w:lvlJc w:val="left"/>
      <w:pPr>
        <w:tabs>
          <w:tab w:val="num" w:pos="1789"/>
        </w:tabs>
        <w:ind w:left="1789" w:hanging="360"/>
      </w:pPr>
      <w:rPr>
        <w:rFonts w:ascii="Times New Roman" w:eastAsia="Times New Roman" w:hAnsi="Times New Roman" w:cs="Times New Roman" w:hint="default"/>
        <w:color w:val="000000"/>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9">
    <w:nsid w:val="71517997"/>
    <w:multiLevelType w:val="hybridMultilevel"/>
    <w:tmpl w:val="768EAB0A"/>
    <w:lvl w:ilvl="0" w:tplc="FCD05ABC">
      <w:numFmt w:val="bullet"/>
      <w:lvlText w:val="–"/>
      <w:lvlJc w:val="left"/>
      <w:pPr>
        <w:tabs>
          <w:tab w:val="num" w:pos="1084"/>
        </w:tabs>
        <w:ind w:left="1084" w:hanging="375"/>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0">
    <w:nsid w:val="762E0863"/>
    <w:multiLevelType w:val="hybridMultilevel"/>
    <w:tmpl w:val="127C9E0E"/>
    <w:lvl w:ilvl="0" w:tplc="581243C4">
      <w:start w:val="7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1">
    <w:nsid w:val="7CA068F3"/>
    <w:multiLevelType w:val="hybridMultilevel"/>
    <w:tmpl w:val="11DA342E"/>
    <w:lvl w:ilvl="0" w:tplc="1CE84D58">
      <w:start w:val="25"/>
      <w:numFmt w:val="bullet"/>
      <w:lvlText w:val="–"/>
      <w:lvlJc w:val="left"/>
      <w:pPr>
        <w:ind w:left="1429" w:hanging="360"/>
      </w:pPr>
      <w:rPr>
        <w:rFonts w:ascii="Times New Roman" w:eastAsia="Times New Roman"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2">
    <w:nsid w:val="7EAF5F87"/>
    <w:multiLevelType w:val="hybridMultilevel"/>
    <w:tmpl w:val="2FC4D4F4"/>
    <w:lvl w:ilvl="0" w:tplc="9C8AD208">
      <w:start w:val="1"/>
      <w:numFmt w:val="bullet"/>
      <w:lvlText w:val=""/>
      <w:lvlJc w:val="left"/>
      <w:pPr>
        <w:tabs>
          <w:tab w:val="num" w:pos="1854"/>
        </w:tabs>
        <w:ind w:left="1854" w:hanging="397"/>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19"/>
  </w:num>
  <w:num w:numId="2">
    <w:abstractNumId w:val="8"/>
  </w:num>
  <w:num w:numId="3">
    <w:abstractNumId w:val="0"/>
  </w:num>
  <w:num w:numId="4">
    <w:abstractNumId w:val="18"/>
  </w:num>
  <w:num w:numId="5">
    <w:abstractNumId w:val="20"/>
  </w:num>
  <w:num w:numId="6">
    <w:abstractNumId w:val="21"/>
  </w:num>
  <w:num w:numId="7">
    <w:abstractNumId w:val="21"/>
  </w:num>
  <w:num w:numId="8">
    <w:abstractNumId w:val="9"/>
  </w:num>
  <w:num w:numId="9">
    <w:abstractNumId w:val="9"/>
  </w:num>
  <w:num w:numId="10">
    <w:abstractNumId w:val="17"/>
  </w:num>
  <w:num w:numId="11">
    <w:abstractNumId w:val="17"/>
  </w:num>
  <w:num w:numId="12">
    <w:abstractNumId w:val="5"/>
  </w:num>
  <w:num w:numId="13">
    <w:abstractNumId w:val="5"/>
  </w:num>
  <w:num w:numId="14">
    <w:abstractNumId w:val="7"/>
  </w:num>
  <w:num w:numId="15">
    <w:abstractNumId w:val="7"/>
  </w:num>
  <w:num w:numId="16">
    <w:abstractNumId w:val="15"/>
  </w:num>
  <w:num w:numId="17">
    <w:abstractNumId w:val="15"/>
  </w:num>
  <w:num w:numId="18">
    <w:abstractNumId w:val="6"/>
  </w:num>
  <w:num w:numId="19">
    <w:abstractNumId w:val="6"/>
  </w:num>
  <w:num w:numId="20">
    <w:abstractNumId w:val="1"/>
  </w:num>
  <w:num w:numId="21">
    <w:abstractNumId w:val="1"/>
    <w:lvlOverride w:ilvl="0"/>
    <w:lvlOverride w:ilvl="1">
      <w:startOverride w:val="1"/>
    </w:lvlOverride>
    <w:lvlOverride w:ilvl="2"/>
    <w:lvlOverride w:ilvl="3"/>
    <w:lvlOverride w:ilvl="4"/>
    <w:lvlOverride w:ilvl="5"/>
    <w:lvlOverride w:ilvl="6"/>
    <w:lvlOverride w:ilvl="7"/>
    <w:lvlOverride w:ilvl="8"/>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1"/>
  </w:num>
  <w:num w:numId="25">
    <w:abstractNumId w:val="22"/>
  </w:num>
  <w:num w:numId="26">
    <w:abstractNumId w:val="2"/>
  </w:num>
  <w:num w:numId="27">
    <w:abstractNumId w:val="10"/>
  </w:num>
  <w:num w:numId="28">
    <w:abstractNumId w:val="13"/>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2"/>
  </w:num>
  <w:num w:numId="32">
    <w:abstractNumId w:val="4"/>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GrammaticalErrors/>
  <w:proofState w:spelling="clean"/>
  <w:defaultTabStop w:val="708"/>
  <w:hyphenationZone w:val="425"/>
  <w:evenAndOddHeaders/>
  <w:characterSpacingControl w:val="doNotCompress"/>
  <w:hdrShapeDefaults>
    <o:shapedefaults v:ext="edit" spidmax="130050">
      <o:colormru v:ext="edit" colors="#c6dbf0"/>
      <o:colormenu v:ext="edit" fillcolor="#c6dbf0" strokecolor="none"/>
    </o:shapedefaults>
    <o:shapelayout v:ext="edit">
      <o:idmap v:ext="edit" data="4"/>
    </o:shapelayout>
  </w:hdrShapeDefaults>
  <w:footnotePr>
    <w:footnote w:id="-1"/>
    <w:footnote w:id="0"/>
  </w:footnotePr>
  <w:endnotePr>
    <w:endnote w:id="-1"/>
    <w:endnote w:id="0"/>
  </w:endnotePr>
  <w:compat>
    <w:applyBreakingRules/>
  </w:compat>
  <w:rsids>
    <w:rsidRoot w:val="00D226C3"/>
    <w:rsid w:val="00010BB9"/>
    <w:rsid w:val="000156E0"/>
    <w:rsid w:val="00022F5E"/>
    <w:rsid w:val="0002741B"/>
    <w:rsid w:val="00033D7B"/>
    <w:rsid w:val="00035C3A"/>
    <w:rsid w:val="00036778"/>
    <w:rsid w:val="000425C3"/>
    <w:rsid w:val="00052C53"/>
    <w:rsid w:val="00052F2E"/>
    <w:rsid w:val="00061F44"/>
    <w:rsid w:val="000647BD"/>
    <w:rsid w:val="000651CD"/>
    <w:rsid w:val="00067BE3"/>
    <w:rsid w:val="00073713"/>
    <w:rsid w:val="000849B7"/>
    <w:rsid w:val="0008575D"/>
    <w:rsid w:val="00085F86"/>
    <w:rsid w:val="00095093"/>
    <w:rsid w:val="000A1F35"/>
    <w:rsid w:val="000A7B99"/>
    <w:rsid w:val="000B3024"/>
    <w:rsid w:val="000B4DB2"/>
    <w:rsid w:val="000E5E8A"/>
    <w:rsid w:val="000E7400"/>
    <w:rsid w:val="000F10AE"/>
    <w:rsid w:val="000F55FF"/>
    <w:rsid w:val="0010011A"/>
    <w:rsid w:val="00102753"/>
    <w:rsid w:val="00102F52"/>
    <w:rsid w:val="00107BFA"/>
    <w:rsid w:val="001278E0"/>
    <w:rsid w:val="00135105"/>
    <w:rsid w:val="00145610"/>
    <w:rsid w:val="00146D64"/>
    <w:rsid w:val="00163F75"/>
    <w:rsid w:val="001763DC"/>
    <w:rsid w:val="00192427"/>
    <w:rsid w:val="001A1AA1"/>
    <w:rsid w:val="001B14ED"/>
    <w:rsid w:val="001B1949"/>
    <w:rsid w:val="001B3F5D"/>
    <w:rsid w:val="001C7E15"/>
    <w:rsid w:val="001D334D"/>
    <w:rsid w:val="001D5876"/>
    <w:rsid w:val="001D697A"/>
    <w:rsid w:val="001D74B5"/>
    <w:rsid w:val="001E1CA6"/>
    <w:rsid w:val="001E5CAD"/>
    <w:rsid w:val="00200E9F"/>
    <w:rsid w:val="002039E8"/>
    <w:rsid w:val="002112B6"/>
    <w:rsid w:val="002151FC"/>
    <w:rsid w:val="00216EBD"/>
    <w:rsid w:val="00220D4B"/>
    <w:rsid w:val="00232FFF"/>
    <w:rsid w:val="00233D4D"/>
    <w:rsid w:val="00242020"/>
    <w:rsid w:val="0024250F"/>
    <w:rsid w:val="00245F99"/>
    <w:rsid w:val="00260419"/>
    <w:rsid w:val="002703B9"/>
    <w:rsid w:val="002769BF"/>
    <w:rsid w:val="00291076"/>
    <w:rsid w:val="002A0A86"/>
    <w:rsid w:val="002A1029"/>
    <w:rsid w:val="002B3DF4"/>
    <w:rsid w:val="002B7EFA"/>
    <w:rsid w:val="002C09D9"/>
    <w:rsid w:val="002D0EA6"/>
    <w:rsid w:val="002D3131"/>
    <w:rsid w:val="002E2387"/>
    <w:rsid w:val="003028BF"/>
    <w:rsid w:val="003160E7"/>
    <w:rsid w:val="00325102"/>
    <w:rsid w:val="00344E43"/>
    <w:rsid w:val="00345E76"/>
    <w:rsid w:val="00347E22"/>
    <w:rsid w:val="00362AD3"/>
    <w:rsid w:val="003772B9"/>
    <w:rsid w:val="0037777E"/>
    <w:rsid w:val="003900BF"/>
    <w:rsid w:val="003A184F"/>
    <w:rsid w:val="003A3D6B"/>
    <w:rsid w:val="003B1223"/>
    <w:rsid w:val="003B1438"/>
    <w:rsid w:val="003B3329"/>
    <w:rsid w:val="003D4881"/>
    <w:rsid w:val="003E5A15"/>
    <w:rsid w:val="003F16CA"/>
    <w:rsid w:val="003F4D1D"/>
    <w:rsid w:val="004056C9"/>
    <w:rsid w:val="00410433"/>
    <w:rsid w:val="00410B25"/>
    <w:rsid w:val="004252F1"/>
    <w:rsid w:val="004256B6"/>
    <w:rsid w:val="0042596A"/>
    <w:rsid w:val="004372A1"/>
    <w:rsid w:val="00443208"/>
    <w:rsid w:val="004462BE"/>
    <w:rsid w:val="0045558F"/>
    <w:rsid w:val="0045706C"/>
    <w:rsid w:val="00460493"/>
    <w:rsid w:val="0046343D"/>
    <w:rsid w:val="00476011"/>
    <w:rsid w:val="00480739"/>
    <w:rsid w:val="004A2A3F"/>
    <w:rsid w:val="004A4A2B"/>
    <w:rsid w:val="004B2387"/>
    <w:rsid w:val="004C21B7"/>
    <w:rsid w:val="004D06FA"/>
    <w:rsid w:val="004E44A2"/>
    <w:rsid w:val="004F12E3"/>
    <w:rsid w:val="00536612"/>
    <w:rsid w:val="0053795C"/>
    <w:rsid w:val="00550C76"/>
    <w:rsid w:val="00551E32"/>
    <w:rsid w:val="005550C7"/>
    <w:rsid w:val="00556993"/>
    <w:rsid w:val="00577828"/>
    <w:rsid w:val="00577DAF"/>
    <w:rsid w:val="0058409B"/>
    <w:rsid w:val="00592C14"/>
    <w:rsid w:val="005977B1"/>
    <w:rsid w:val="005A5D40"/>
    <w:rsid w:val="005B2E6A"/>
    <w:rsid w:val="005D3E32"/>
    <w:rsid w:val="005D5FF8"/>
    <w:rsid w:val="005F2598"/>
    <w:rsid w:val="00605DCF"/>
    <w:rsid w:val="00610A64"/>
    <w:rsid w:val="006129B8"/>
    <w:rsid w:val="00616B8C"/>
    <w:rsid w:val="0062121E"/>
    <w:rsid w:val="006319B6"/>
    <w:rsid w:val="00631FE4"/>
    <w:rsid w:val="006373F7"/>
    <w:rsid w:val="0064192A"/>
    <w:rsid w:val="00645E63"/>
    <w:rsid w:val="0064651F"/>
    <w:rsid w:val="0066029B"/>
    <w:rsid w:val="00660C74"/>
    <w:rsid w:val="00666B0C"/>
    <w:rsid w:val="00681794"/>
    <w:rsid w:val="00682D5B"/>
    <w:rsid w:val="0069117D"/>
    <w:rsid w:val="006929D3"/>
    <w:rsid w:val="006A13FE"/>
    <w:rsid w:val="006A5C6B"/>
    <w:rsid w:val="006A7FC5"/>
    <w:rsid w:val="006B2231"/>
    <w:rsid w:val="006B4C2C"/>
    <w:rsid w:val="006C158A"/>
    <w:rsid w:val="006D0666"/>
    <w:rsid w:val="006D2377"/>
    <w:rsid w:val="006E43C2"/>
    <w:rsid w:val="006E5C62"/>
    <w:rsid w:val="006F0067"/>
    <w:rsid w:val="006F4201"/>
    <w:rsid w:val="00702D3C"/>
    <w:rsid w:val="007036F4"/>
    <w:rsid w:val="007059FD"/>
    <w:rsid w:val="007072B0"/>
    <w:rsid w:val="00714835"/>
    <w:rsid w:val="00720788"/>
    <w:rsid w:val="0073354B"/>
    <w:rsid w:val="007844F0"/>
    <w:rsid w:val="00797FF0"/>
    <w:rsid w:val="007A3F84"/>
    <w:rsid w:val="007D07C2"/>
    <w:rsid w:val="007D18AD"/>
    <w:rsid w:val="007D193C"/>
    <w:rsid w:val="007D1B2A"/>
    <w:rsid w:val="007D21FA"/>
    <w:rsid w:val="007D459F"/>
    <w:rsid w:val="007D7286"/>
    <w:rsid w:val="007E35CE"/>
    <w:rsid w:val="007E7B3A"/>
    <w:rsid w:val="007F3E31"/>
    <w:rsid w:val="00804F0A"/>
    <w:rsid w:val="00805AB4"/>
    <w:rsid w:val="008076B2"/>
    <w:rsid w:val="008077E6"/>
    <w:rsid w:val="008115CC"/>
    <w:rsid w:val="00813306"/>
    <w:rsid w:val="008315B5"/>
    <w:rsid w:val="008357B5"/>
    <w:rsid w:val="00835CC5"/>
    <w:rsid w:val="00842368"/>
    <w:rsid w:val="00844423"/>
    <w:rsid w:val="0086062E"/>
    <w:rsid w:val="00861F9D"/>
    <w:rsid w:val="00863ED9"/>
    <w:rsid w:val="008777AF"/>
    <w:rsid w:val="00881856"/>
    <w:rsid w:val="0088199A"/>
    <w:rsid w:val="00884815"/>
    <w:rsid w:val="008933DD"/>
    <w:rsid w:val="008A65FE"/>
    <w:rsid w:val="008A6B47"/>
    <w:rsid w:val="008A7154"/>
    <w:rsid w:val="008B6993"/>
    <w:rsid w:val="008C0559"/>
    <w:rsid w:val="008C48F8"/>
    <w:rsid w:val="008D422F"/>
    <w:rsid w:val="008E34D6"/>
    <w:rsid w:val="00920C42"/>
    <w:rsid w:val="00932CB2"/>
    <w:rsid w:val="00935AC5"/>
    <w:rsid w:val="009413C1"/>
    <w:rsid w:val="00954A46"/>
    <w:rsid w:val="00976EC3"/>
    <w:rsid w:val="009A2C8C"/>
    <w:rsid w:val="009D45C6"/>
    <w:rsid w:val="009E2DB8"/>
    <w:rsid w:val="00A02325"/>
    <w:rsid w:val="00A036CC"/>
    <w:rsid w:val="00A104C6"/>
    <w:rsid w:val="00A14B54"/>
    <w:rsid w:val="00A16642"/>
    <w:rsid w:val="00A233C5"/>
    <w:rsid w:val="00A2497A"/>
    <w:rsid w:val="00A26DDB"/>
    <w:rsid w:val="00A305C4"/>
    <w:rsid w:val="00A464FF"/>
    <w:rsid w:val="00A51F75"/>
    <w:rsid w:val="00A5280A"/>
    <w:rsid w:val="00A7283D"/>
    <w:rsid w:val="00A86961"/>
    <w:rsid w:val="00A87396"/>
    <w:rsid w:val="00A9053E"/>
    <w:rsid w:val="00AA10A5"/>
    <w:rsid w:val="00AB3B28"/>
    <w:rsid w:val="00AB421C"/>
    <w:rsid w:val="00AC1E32"/>
    <w:rsid w:val="00AD169B"/>
    <w:rsid w:val="00AE0263"/>
    <w:rsid w:val="00AF1CA5"/>
    <w:rsid w:val="00AF5E11"/>
    <w:rsid w:val="00B06152"/>
    <w:rsid w:val="00B1085F"/>
    <w:rsid w:val="00B120BD"/>
    <w:rsid w:val="00B17D00"/>
    <w:rsid w:val="00B17F7E"/>
    <w:rsid w:val="00B20C08"/>
    <w:rsid w:val="00B2208C"/>
    <w:rsid w:val="00B258B3"/>
    <w:rsid w:val="00B2765A"/>
    <w:rsid w:val="00B44BE9"/>
    <w:rsid w:val="00B53E57"/>
    <w:rsid w:val="00B54D32"/>
    <w:rsid w:val="00B643E4"/>
    <w:rsid w:val="00B71E4B"/>
    <w:rsid w:val="00B76BD1"/>
    <w:rsid w:val="00B84BD0"/>
    <w:rsid w:val="00B93382"/>
    <w:rsid w:val="00BA04A3"/>
    <w:rsid w:val="00BA2595"/>
    <w:rsid w:val="00BB70B0"/>
    <w:rsid w:val="00BC2617"/>
    <w:rsid w:val="00BC4160"/>
    <w:rsid w:val="00BE0C82"/>
    <w:rsid w:val="00BE4231"/>
    <w:rsid w:val="00BE601D"/>
    <w:rsid w:val="00BF6D40"/>
    <w:rsid w:val="00C0287D"/>
    <w:rsid w:val="00C03F16"/>
    <w:rsid w:val="00C12894"/>
    <w:rsid w:val="00C243A9"/>
    <w:rsid w:val="00C27AF2"/>
    <w:rsid w:val="00C35559"/>
    <w:rsid w:val="00C357FC"/>
    <w:rsid w:val="00C526C9"/>
    <w:rsid w:val="00C53D48"/>
    <w:rsid w:val="00C5537C"/>
    <w:rsid w:val="00C56134"/>
    <w:rsid w:val="00C6000F"/>
    <w:rsid w:val="00C605D5"/>
    <w:rsid w:val="00C67F11"/>
    <w:rsid w:val="00C71FCA"/>
    <w:rsid w:val="00C8547F"/>
    <w:rsid w:val="00C96367"/>
    <w:rsid w:val="00CA7857"/>
    <w:rsid w:val="00CB29B1"/>
    <w:rsid w:val="00CB3988"/>
    <w:rsid w:val="00CC0AD5"/>
    <w:rsid w:val="00CC7727"/>
    <w:rsid w:val="00CD3CD0"/>
    <w:rsid w:val="00CD7059"/>
    <w:rsid w:val="00CE6222"/>
    <w:rsid w:val="00CF5745"/>
    <w:rsid w:val="00CF5E09"/>
    <w:rsid w:val="00D014ED"/>
    <w:rsid w:val="00D0301A"/>
    <w:rsid w:val="00D05094"/>
    <w:rsid w:val="00D073D3"/>
    <w:rsid w:val="00D10B2F"/>
    <w:rsid w:val="00D1309A"/>
    <w:rsid w:val="00D133C5"/>
    <w:rsid w:val="00D16449"/>
    <w:rsid w:val="00D226C3"/>
    <w:rsid w:val="00D2554D"/>
    <w:rsid w:val="00D506EF"/>
    <w:rsid w:val="00D51851"/>
    <w:rsid w:val="00D74C4C"/>
    <w:rsid w:val="00D879BD"/>
    <w:rsid w:val="00DA759F"/>
    <w:rsid w:val="00DE193C"/>
    <w:rsid w:val="00DF1F08"/>
    <w:rsid w:val="00E07025"/>
    <w:rsid w:val="00E07E00"/>
    <w:rsid w:val="00E1308A"/>
    <w:rsid w:val="00E161FD"/>
    <w:rsid w:val="00E216A3"/>
    <w:rsid w:val="00E23906"/>
    <w:rsid w:val="00E37DE1"/>
    <w:rsid w:val="00E427AD"/>
    <w:rsid w:val="00E444D7"/>
    <w:rsid w:val="00E53AD6"/>
    <w:rsid w:val="00E54FBE"/>
    <w:rsid w:val="00E57AEE"/>
    <w:rsid w:val="00E61414"/>
    <w:rsid w:val="00E77918"/>
    <w:rsid w:val="00E911AA"/>
    <w:rsid w:val="00E92552"/>
    <w:rsid w:val="00EA034B"/>
    <w:rsid w:val="00EA7D3A"/>
    <w:rsid w:val="00EB1C91"/>
    <w:rsid w:val="00EB440E"/>
    <w:rsid w:val="00EB77BE"/>
    <w:rsid w:val="00EB7E0E"/>
    <w:rsid w:val="00ED34EA"/>
    <w:rsid w:val="00ED6B1E"/>
    <w:rsid w:val="00EE1045"/>
    <w:rsid w:val="00EE5FAA"/>
    <w:rsid w:val="00EE65F6"/>
    <w:rsid w:val="00EE7E4E"/>
    <w:rsid w:val="00EF2524"/>
    <w:rsid w:val="00F12A9D"/>
    <w:rsid w:val="00F33C78"/>
    <w:rsid w:val="00F35A30"/>
    <w:rsid w:val="00F35DE6"/>
    <w:rsid w:val="00F37533"/>
    <w:rsid w:val="00F74FCF"/>
    <w:rsid w:val="00F82BD9"/>
    <w:rsid w:val="00F84CFE"/>
    <w:rsid w:val="00F8752E"/>
    <w:rsid w:val="00F87B5D"/>
    <w:rsid w:val="00F97348"/>
    <w:rsid w:val="00F97A4C"/>
    <w:rsid w:val="00FA3A92"/>
    <w:rsid w:val="00FA7538"/>
    <w:rsid w:val="00FC066C"/>
    <w:rsid w:val="00FC2F83"/>
    <w:rsid w:val="00FC3571"/>
    <w:rsid w:val="00FD114A"/>
    <w:rsid w:val="00FD3057"/>
    <w:rsid w:val="00FD3680"/>
    <w:rsid w:val="00FF3230"/>
    <w:rsid w:val="00FF7072"/>
    <w:rsid w:val="00FF79E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0050">
      <o:colormru v:ext="edit" colors="#c6dbf0"/>
      <o:colormenu v:ext="edit" fillcolor="#c6dbf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906"/>
    <w:pPr>
      <w:widowControl w:val="0"/>
      <w:spacing w:after="0" w:line="240" w:lineRule="auto"/>
      <w:ind w:firstLine="709"/>
    </w:pPr>
    <w:rPr>
      <w:rFonts w:ascii="Times New Roman" w:hAnsi="Times New Roman"/>
      <w:sz w:val="28"/>
    </w:rPr>
  </w:style>
  <w:style w:type="paragraph" w:styleId="1">
    <w:name w:val="heading 1"/>
    <w:basedOn w:val="a"/>
    <w:next w:val="a"/>
    <w:link w:val="10"/>
    <w:uiPriority w:val="9"/>
    <w:qFormat/>
    <w:rsid w:val="004D06FA"/>
    <w:pPr>
      <w:keepNext/>
      <w:keepLines/>
      <w:spacing w:before="120"/>
      <w:ind w:firstLine="0"/>
      <w:jc w:val="center"/>
      <w:outlineLvl w:val="0"/>
    </w:pPr>
    <w:rPr>
      <w:rFonts w:eastAsiaTheme="majorEastAsia" w:cstheme="majorBidi"/>
      <w:b/>
      <w:sz w:val="32"/>
      <w:szCs w:val="32"/>
    </w:rPr>
  </w:style>
  <w:style w:type="paragraph" w:styleId="2">
    <w:name w:val="heading 2"/>
    <w:basedOn w:val="a"/>
    <w:next w:val="a"/>
    <w:link w:val="20"/>
    <w:uiPriority w:val="9"/>
    <w:semiHidden/>
    <w:unhideWhenUsed/>
    <w:qFormat/>
    <w:rsid w:val="0088199A"/>
    <w:pPr>
      <w:keepNext/>
      <w:keepLines/>
      <w:spacing w:before="40" w:after="40"/>
      <w:ind w:firstLine="0"/>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06FA"/>
    <w:rPr>
      <w:rFonts w:ascii="Times New Roman" w:eastAsiaTheme="majorEastAsia" w:hAnsi="Times New Roman" w:cstheme="majorBidi"/>
      <w:b/>
      <w:sz w:val="32"/>
      <w:szCs w:val="32"/>
    </w:rPr>
  </w:style>
  <w:style w:type="character" w:customStyle="1" w:styleId="20">
    <w:name w:val="Заголовок 2 Знак"/>
    <w:basedOn w:val="a0"/>
    <w:link w:val="2"/>
    <w:uiPriority w:val="9"/>
    <w:semiHidden/>
    <w:rsid w:val="0088199A"/>
    <w:rPr>
      <w:rFonts w:ascii="Times New Roman" w:eastAsiaTheme="majorEastAsia" w:hAnsi="Times New Roman" w:cstheme="majorBidi"/>
      <w:b/>
      <w:sz w:val="28"/>
      <w:szCs w:val="26"/>
    </w:rPr>
  </w:style>
  <w:style w:type="paragraph" w:styleId="a3">
    <w:name w:val="header"/>
    <w:basedOn w:val="a"/>
    <w:link w:val="a4"/>
    <w:unhideWhenUsed/>
    <w:rsid w:val="004D06FA"/>
    <w:pPr>
      <w:tabs>
        <w:tab w:val="center" w:pos="4677"/>
        <w:tab w:val="right" w:pos="9355"/>
      </w:tabs>
    </w:pPr>
  </w:style>
  <w:style w:type="character" w:customStyle="1" w:styleId="a4">
    <w:name w:val="Верхний колонтитул Знак"/>
    <w:basedOn w:val="a0"/>
    <w:link w:val="a3"/>
    <w:rsid w:val="004D06FA"/>
    <w:rPr>
      <w:rFonts w:ascii="Times New Roman" w:hAnsi="Times New Roman"/>
      <w:sz w:val="28"/>
    </w:rPr>
  </w:style>
  <w:style w:type="paragraph" w:styleId="a5">
    <w:name w:val="footer"/>
    <w:basedOn w:val="a"/>
    <w:link w:val="a6"/>
    <w:uiPriority w:val="99"/>
    <w:unhideWhenUsed/>
    <w:rsid w:val="004D06FA"/>
    <w:pPr>
      <w:tabs>
        <w:tab w:val="center" w:pos="4677"/>
        <w:tab w:val="right" w:pos="9355"/>
      </w:tabs>
    </w:pPr>
  </w:style>
  <w:style w:type="character" w:customStyle="1" w:styleId="a6">
    <w:name w:val="Нижний колонтитул Знак"/>
    <w:basedOn w:val="a0"/>
    <w:link w:val="a5"/>
    <w:uiPriority w:val="99"/>
    <w:rsid w:val="004D06FA"/>
    <w:rPr>
      <w:rFonts w:ascii="Times New Roman" w:hAnsi="Times New Roman"/>
      <w:sz w:val="28"/>
    </w:rPr>
  </w:style>
  <w:style w:type="table" w:styleId="a7">
    <w:name w:val="Table Grid"/>
    <w:basedOn w:val="a1"/>
    <w:rsid w:val="0045706C"/>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semiHidden/>
    <w:unhideWhenUsed/>
    <w:rsid w:val="0045706C"/>
    <w:pPr>
      <w:autoSpaceDE w:val="0"/>
      <w:autoSpaceDN w:val="0"/>
      <w:adjustRightInd w:val="0"/>
      <w:spacing w:after="120"/>
      <w:ind w:firstLine="0"/>
    </w:pPr>
    <w:rPr>
      <w:rFonts w:eastAsia="Times New Roman" w:cs="Times New Roman"/>
      <w:bCs/>
      <w:sz w:val="16"/>
      <w:szCs w:val="16"/>
      <w:lang w:val="ru-RU" w:eastAsia="ru-RU"/>
    </w:rPr>
  </w:style>
  <w:style w:type="character" w:customStyle="1" w:styleId="30">
    <w:name w:val="Основной текст 3 Знак"/>
    <w:basedOn w:val="a0"/>
    <w:link w:val="3"/>
    <w:uiPriority w:val="99"/>
    <w:semiHidden/>
    <w:rsid w:val="0045706C"/>
    <w:rPr>
      <w:rFonts w:ascii="Times New Roman" w:eastAsia="Times New Roman" w:hAnsi="Times New Roman" w:cs="Times New Roman"/>
      <w:bCs/>
      <w:sz w:val="16"/>
      <w:szCs w:val="16"/>
      <w:lang w:val="ru-RU" w:eastAsia="ru-RU"/>
    </w:rPr>
  </w:style>
  <w:style w:type="paragraph" w:styleId="21">
    <w:name w:val="Body Text Indent 2"/>
    <w:basedOn w:val="a"/>
    <w:link w:val="22"/>
    <w:semiHidden/>
    <w:unhideWhenUsed/>
    <w:rsid w:val="001E5CAD"/>
    <w:pPr>
      <w:spacing w:after="120" w:line="480" w:lineRule="auto"/>
      <w:ind w:left="283"/>
    </w:pPr>
  </w:style>
  <w:style w:type="character" w:customStyle="1" w:styleId="22">
    <w:name w:val="Основной текст с отступом 2 Знак"/>
    <w:basedOn w:val="a0"/>
    <w:link w:val="21"/>
    <w:semiHidden/>
    <w:rsid w:val="001E5CAD"/>
    <w:rPr>
      <w:rFonts w:ascii="Times New Roman" w:hAnsi="Times New Roman"/>
      <w:sz w:val="28"/>
    </w:rPr>
  </w:style>
  <w:style w:type="paragraph" w:styleId="a8">
    <w:name w:val="Block Text"/>
    <w:basedOn w:val="a"/>
    <w:semiHidden/>
    <w:unhideWhenUsed/>
    <w:rsid w:val="001E5CAD"/>
    <w:pPr>
      <w:widowControl/>
      <w:spacing w:line="300" w:lineRule="auto"/>
      <w:ind w:left="57" w:right="57"/>
      <w:jc w:val="both"/>
    </w:pPr>
    <w:rPr>
      <w:rFonts w:eastAsia="Times New Roman" w:cs="Times New Roman"/>
      <w:szCs w:val="20"/>
      <w:lang w:eastAsia="ru-RU"/>
    </w:rPr>
  </w:style>
  <w:style w:type="paragraph" w:styleId="23">
    <w:name w:val="Body Text 2"/>
    <w:basedOn w:val="a"/>
    <w:link w:val="24"/>
    <w:semiHidden/>
    <w:unhideWhenUsed/>
    <w:rsid w:val="0088199A"/>
    <w:pPr>
      <w:spacing w:after="120" w:line="480" w:lineRule="auto"/>
    </w:pPr>
  </w:style>
  <w:style w:type="character" w:customStyle="1" w:styleId="24">
    <w:name w:val="Основной текст 2 Знак"/>
    <w:basedOn w:val="a0"/>
    <w:link w:val="23"/>
    <w:semiHidden/>
    <w:rsid w:val="0088199A"/>
    <w:rPr>
      <w:rFonts w:ascii="Times New Roman" w:hAnsi="Times New Roman"/>
      <w:sz w:val="28"/>
    </w:rPr>
  </w:style>
  <w:style w:type="paragraph" w:styleId="31">
    <w:name w:val="Body Text Indent 3"/>
    <w:basedOn w:val="a"/>
    <w:link w:val="32"/>
    <w:semiHidden/>
    <w:unhideWhenUsed/>
    <w:rsid w:val="0088199A"/>
    <w:pPr>
      <w:spacing w:after="120"/>
      <w:ind w:left="283"/>
    </w:pPr>
    <w:rPr>
      <w:sz w:val="16"/>
      <w:szCs w:val="16"/>
    </w:rPr>
  </w:style>
  <w:style w:type="character" w:customStyle="1" w:styleId="32">
    <w:name w:val="Основной текст с отступом 3 Знак"/>
    <w:basedOn w:val="a0"/>
    <w:link w:val="31"/>
    <w:semiHidden/>
    <w:rsid w:val="0088199A"/>
    <w:rPr>
      <w:rFonts w:ascii="Times New Roman" w:hAnsi="Times New Roman"/>
      <w:sz w:val="16"/>
      <w:szCs w:val="16"/>
    </w:rPr>
  </w:style>
  <w:style w:type="character" w:customStyle="1" w:styleId="FontStyle15">
    <w:name w:val="Font Style15"/>
    <w:basedOn w:val="a0"/>
    <w:rsid w:val="0088199A"/>
    <w:rPr>
      <w:rFonts w:ascii="Times New Roman" w:hAnsi="Times New Roman" w:cs="Times New Roman" w:hint="default"/>
      <w:sz w:val="24"/>
      <w:szCs w:val="24"/>
    </w:rPr>
  </w:style>
  <w:style w:type="character" w:customStyle="1" w:styleId="FontStyle13">
    <w:name w:val="Font Style13"/>
    <w:basedOn w:val="a0"/>
    <w:rsid w:val="0088199A"/>
    <w:rPr>
      <w:rFonts w:ascii="Times New Roman" w:hAnsi="Times New Roman" w:cs="Times New Roman" w:hint="default"/>
      <w:b/>
      <w:bCs/>
      <w:sz w:val="24"/>
      <w:szCs w:val="24"/>
    </w:rPr>
  </w:style>
  <w:style w:type="paragraph" w:styleId="a9">
    <w:name w:val="Subtitle"/>
    <w:basedOn w:val="a"/>
    <w:next w:val="a"/>
    <w:link w:val="aa"/>
    <w:uiPriority w:val="11"/>
    <w:qFormat/>
    <w:rsid w:val="0088199A"/>
    <w:pPr>
      <w:numPr>
        <w:ilvl w:val="1"/>
      </w:numPr>
      <w:spacing w:before="80" w:after="80"/>
      <w:ind w:firstLine="709"/>
      <w:jc w:val="center"/>
    </w:pPr>
    <w:rPr>
      <w:rFonts w:eastAsiaTheme="minorEastAsia"/>
      <w:b/>
      <w:sz w:val="26"/>
    </w:rPr>
  </w:style>
  <w:style w:type="character" w:customStyle="1" w:styleId="aa">
    <w:name w:val="Подзаголовок Знак"/>
    <w:basedOn w:val="a0"/>
    <w:link w:val="a9"/>
    <w:uiPriority w:val="11"/>
    <w:rsid w:val="0088199A"/>
    <w:rPr>
      <w:rFonts w:ascii="Times New Roman" w:eastAsiaTheme="minorEastAsia" w:hAnsi="Times New Roman"/>
      <w:b/>
      <w:sz w:val="26"/>
    </w:rPr>
  </w:style>
  <w:style w:type="character" w:styleId="ab">
    <w:name w:val="Strong"/>
    <w:basedOn w:val="a0"/>
    <w:qFormat/>
    <w:rsid w:val="00805AB4"/>
    <w:rPr>
      <w:b/>
      <w:bCs w:val="0"/>
    </w:rPr>
  </w:style>
  <w:style w:type="character" w:customStyle="1" w:styleId="ac">
    <w:name w:val="Обычный (веб) Знак"/>
    <w:basedOn w:val="a0"/>
    <w:link w:val="ad"/>
    <w:locked/>
    <w:rsid w:val="00805AB4"/>
    <w:rPr>
      <w:rFonts w:ascii="Times New Roman" w:eastAsia="Times New Roman" w:hAnsi="Times New Roman" w:cs="Times New Roman"/>
      <w:sz w:val="24"/>
      <w:szCs w:val="24"/>
      <w:lang w:eastAsia="ru-RU"/>
    </w:rPr>
  </w:style>
  <w:style w:type="paragraph" w:styleId="ad">
    <w:name w:val="Normal (Web)"/>
    <w:basedOn w:val="a"/>
    <w:link w:val="ac"/>
    <w:unhideWhenUsed/>
    <w:rsid w:val="00805AB4"/>
    <w:pPr>
      <w:widowControl/>
      <w:spacing w:before="100" w:beforeAutospacing="1" w:after="100" w:afterAutospacing="1"/>
      <w:ind w:firstLine="0"/>
    </w:pPr>
    <w:rPr>
      <w:rFonts w:eastAsia="Times New Roman" w:cs="Times New Roman"/>
      <w:sz w:val="24"/>
      <w:szCs w:val="24"/>
      <w:lang w:eastAsia="ru-RU"/>
    </w:rPr>
  </w:style>
  <w:style w:type="paragraph" w:customStyle="1" w:styleId="msonormal0">
    <w:name w:val="msonormal"/>
    <w:basedOn w:val="a"/>
    <w:rsid w:val="00805AB4"/>
    <w:pPr>
      <w:widowControl/>
      <w:spacing w:before="100" w:beforeAutospacing="1" w:after="100" w:afterAutospacing="1"/>
      <w:ind w:firstLine="0"/>
    </w:pPr>
    <w:rPr>
      <w:rFonts w:eastAsia="Times New Roman" w:cs="Times New Roman"/>
      <w:sz w:val="24"/>
      <w:szCs w:val="24"/>
      <w:lang w:eastAsia="ru-RU"/>
    </w:rPr>
  </w:style>
  <w:style w:type="paragraph" w:styleId="ae">
    <w:name w:val="footnote text"/>
    <w:basedOn w:val="a"/>
    <w:link w:val="af"/>
    <w:uiPriority w:val="99"/>
    <w:unhideWhenUsed/>
    <w:qFormat/>
    <w:rsid w:val="00805AB4"/>
    <w:pPr>
      <w:autoSpaceDE w:val="0"/>
      <w:autoSpaceDN w:val="0"/>
      <w:adjustRightInd w:val="0"/>
      <w:ind w:firstLine="0"/>
      <w:jc w:val="both"/>
    </w:pPr>
    <w:rPr>
      <w:rFonts w:eastAsia="Times New Roman" w:cs="Times New Roman"/>
      <w:bCs/>
      <w:sz w:val="20"/>
      <w:szCs w:val="20"/>
      <w:lang w:val="ru-RU" w:eastAsia="ru-RU"/>
    </w:rPr>
  </w:style>
  <w:style w:type="character" w:customStyle="1" w:styleId="af">
    <w:name w:val="Текст сноски Знак"/>
    <w:basedOn w:val="a0"/>
    <w:link w:val="ae"/>
    <w:uiPriority w:val="99"/>
    <w:rsid w:val="00805AB4"/>
    <w:rPr>
      <w:rFonts w:ascii="Times New Roman" w:eastAsia="Times New Roman" w:hAnsi="Times New Roman" w:cs="Times New Roman"/>
      <w:bCs/>
      <w:sz w:val="20"/>
      <w:szCs w:val="20"/>
      <w:lang w:val="ru-RU" w:eastAsia="ru-RU"/>
    </w:rPr>
  </w:style>
  <w:style w:type="paragraph" w:styleId="af0">
    <w:name w:val="Body Text"/>
    <w:basedOn w:val="a"/>
    <w:link w:val="af1"/>
    <w:uiPriority w:val="99"/>
    <w:semiHidden/>
    <w:unhideWhenUsed/>
    <w:rsid w:val="00805AB4"/>
    <w:pPr>
      <w:autoSpaceDE w:val="0"/>
      <w:autoSpaceDN w:val="0"/>
      <w:adjustRightInd w:val="0"/>
      <w:spacing w:after="120"/>
      <w:ind w:firstLine="0"/>
    </w:pPr>
    <w:rPr>
      <w:rFonts w:eastAsia="Times New Roman" w:cs="Times New Roman"/>
      <w:bCs/>
      <w:szCs w:val="20"/>
      <w:lang w:val="ru-RU" w:eastAsia="ru-RU"/>
    </w:rPr>
  </w:style>
  <w:style w:type="character" w:customStyle="1" w:styleId="af1">
    <w:name w:val="Основной текст Знак"/>
    <w:basedOn w:val="a0"/>
    <w:link w:val="af0"/>
    <w:uiPriority w:val="99"/>
    <w:semiHidden/>
    <w:rsid w:val="00805AB4"/>
    <w:rPr>
      <w:rFonts w:ascii="Times New Roman" w:eastAsia="Times New Roman" w:hAnsi="Times New Roman" w:cs="Times New Roman"/>
      <w:bCs/>
      <w:sz w:val="28"/>
      <w:szCs w:val="20"/>
      <w:lang w:val="ru-RU" w:eastAsia="ru-RU"/>
    </w:rPr>
  </w:style>
  <w:style w:type="character" w:customStyle="1" w:styleId="af2">
    <w:name w:val="Основной текст с отступом Знак"/>
    <w:basedOn w:val="a0"/>
    <w:link w:val="af3"/>
    <w:rsid w:val="00805AB4"/>
    <w:rPr>
      <w:rFonts w:ascii="Times New Roman" w:eastAsia="Times New Roman" w:hAnsi="Times New Roman" w:cs="Times New Roman"/>
      <w:sz w:val="24"/>
      <w:szCs w:val="24"/>
      <w:lang w:eastAsia="ru-RU"/>
    </w:rPr>
  </w:style>
  <w:style w:type="paragraph" w:styleId="af3">
    <w:name w:val="Body Text Indent"/>
    <w:basedOn w:val="a"/>
    <w:link w:val="af2"/>
    <w:unhideWhenUsed/>
    <w:rsid w:val="00805AB4"/>
    <w:pPr>
      <w:widowControl/>
      <w:spacing w:after="120"/>
      <w:ind w:left="283" w:firstLine="0"/>
    </w:pPr>
    <w:rPr>
      <w:rFonts w:eastAsia="Times New Roman" w:cs="Times New Roman"/>
      <w:sz w:val="24"/>
      <w:szCs w:val="24"/>
      <w:lang w:eastAsia="ru-RU"/>
    </w:rPr>
  </w:style>
  <w:style w:type="character" w:customStyle="1" w:styleId="af4">
    <w:name w:val="Текст выноски Знак"/>
    <w:basedOn w:val="a0"/>
    <w:link w:val="af5"/>
    <w:uiPriority w:val="99"/>
    <w:semiHidden/>
    <w:rsid w:val="00805AB4"/>
    <w:rPr>
      <w:rFonts w:ascii="Tahoma" w:eastAsia="Times New Roman" w:hAnsi="Tahoma" w:cs="Tahoma"/>
      <w:bCs/>
      <w:sz w:val="16"/>
      <w:szCs w:val="16"/>
      <w:lang w:val="ru-RU" w:eastAsia="ru-RU"/>
    </w:rPr>
  </w:style>
  <w:style w:type="paragraph" w:styleId="af5">
    <w:name w:val="Balloon Text"/>
    <w:basedOn w:val="a"/>
    <w:link w:val="af4"/>
    <w:uiPriority w:val="99"/>
    <w:semiHidden/>
    <w:unhideWhenUsed/>
    <w:rsid w:val="00805AB4"/>
    <w:pPr>
      <w:autoSpaceDE w:val="0"/>
      <w:autoSpaceDN w:val="0"/>
      <w:adjustRightInd w:val="0"/>
      <w:ind w:firstLine="0"/>
    </w:pPr>
    <w:rPr>
      <w:rFonts w:ascii="Tahoma" w:eastAsia="Times New Roman" w:hAnsi="Tahoma" w:cs="Tahoma"/>
      <w:bCs/>
      <w:sz w:val="16"/>
      <w:szCs w:val="16"/>
      <w:lang w:val="ru-RU" w:eastAsia="ru-RU"/>
    </w:rPr>
  </w:style>
  <w:style w:type="character" w:customStyle="1" w:styleId="af6">
    <w:name w:val="Без интервала Знак"/>
    <w:basedOn w:val="a0"/>
    <w:link w:val="af7"/>
    <w:uiPriority w:val="1"/>
    <w:locked/>
    <w:rsid w:val="00805AB4"/>
    <w:rPr>
      <w:rFonts w:ascii="Times New Roman" w:eastAsiaTheme="minorEastAsia" w:hAnsi="Times New Roman" w:cs="Times New Roman"/>
      <w:lang w:val="ru-RU"/>
    </w:rPr>
  </w:style>
  <w:style w:type="paragraph" w:styleId="af7">
    <w:name w:val="No Spacing"/>
    <w:link w:val="af6"/>
    <w:uiPriority w:val="1"/>
    <w:qFormat/>
    <w:rsid w:val="00805AB4"/>
    <w:pPr>
      <w:spacing w:after="0" w:line="240" w:lineRule="auto"/>
    </w:pPr>
    <w:rPr>
      <w:rFonts w:ascii="Times New Roman" w:eastAsiaTheme="minorEastAsia" w:hAnsi="Times New Roman" w:cs="Times New Roman"/>
      <w:lang w:val="ru-RU"/>
    </w:rPr>
  </w:style>
  <w:style w:type="paragraph" w:customStyle="1" w:styleId="af8">
    <w:name w:val="СтильТ"/>
    <w:basedOn w:val="a"/>
    <w:rsid w:val="00805AB4"/>
    <w:pPr>
      <w:widowControl/>
      <w:jc w:val="both"/>
    </w:pPr>
    <w:rPr>
      <w:rFonts w:eastAsia="Times New Roman" w:cs="Times New Roman"/>
      <w:szCs w:val="28"/>
      <w:lang w:eastAsia="ru-RU"/>
    </w:rPr>
  </w:style>
  <w:style w:type="paragraph" w:customStyle="1" w:styleId="af9">
    <w:name w:val="Название обьекта"/>
    <w:basedOn w:val="a"/>
    <w:rsid w:val="00805AB4"/>
    <w:pPr>
      <w:widowControl/>
      <w:spacing w:before="120" w:after="120"/>
      <w:ind w:firstLine="0"/>
      <w:jc w:val="center"/>
    </w:pPr>
    <w:rPr>
      <w:rFonts w:eastAsia="Times New Roman" w:cs="Times New Roman"/>
      <w:b/>
      <w:sz w:val="24"/>
      <w:szCs w:val="24"/>
      <w:lang w:eastAsia="ru-RU"/>
    </w:rPr>
  </w:style>
  <w:style w:type="character" w:styleId="afa">
    <w:name w:val="footnote reference"/>
    <w:basedOn w:val="a0"/>
    <w:uiPriority w:val="99"/>
    <w:unhideWhenUsed/>
    <w:rsid w:val="00805AB4"/>
    <w:rPr>
      <w:vertAlign w:val="superscript"/>
    </w:rPr>
  </w:style>
  <w:style w:type="character" w:customStyle="1" w:styleId="25">
    <w:name w:val="Знак Знак2"/>
    <w:rsid w:val="00805AB4"/>
    <w:rPr>
      <w:sz w:val="27"/>
      <w:szCs w:val="27"/>
      <w:lang w:bidi="ar-SA"/>
    </w:rPr>
  </w:style>
  <w:style w:type="character" w:customStyle="1" w:styleId="s41">
    <w:name w:val="s41"/>
    <w:rsid w:val="00805AB4"/>
    <w:rPr>
      <w:rFonts w:ascii="Times New Roman" w:hAnsi="Times New Roman" w:cs="Times New Roman" w:hint="default"/>
      <w:sz w:val="24"/>
      <w:szCs w:val="24"/>
    </w:rPr>
  </w:style>
  <w:style w:type="character" w:customStyle="1" w:styleId="rvts23">
    <w:name w:val="rvts23"/>
    <w:basedOn w:val="a0"/>
    <w:rsid w:val="00805AB4"/>
  </w:style>
  <w:style w:type="character" w:customStyle="1" w:styleId="st">
    <w:name w:val="st"/>
    <w:basedOn w:val="a0"/>
    <w:rsid w:val="00805AB4"/>
  </w:style>
  <w:style w:type="character" w:customStyle="1" w:styleId="rvts44">
    <w:name w:val="rvts44"/>
    <w:basedOn w:val="a0"/>
    <w:rsid w:val="00805AB4"/>
  </w:style>
  <w:style w:type="table" w:customStyle="1" w:styleId="11">
    <w:name w:val="Светлая сетка1"/>
    <w:basedOn w:val="a1"/>
    <w:uiPriority w:val="62"/>
    <w:unhideWhenUsed/>
    <w:rsid w:val="002B3DF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fb">
    <w:name w:val="Hyperlink"/>
    <w:basedOn w:val="a0"/>
    <w:rsid w:val="00DE193C"/>
    <w:rPr>
      <w:color w:val="0000FF"/>
      <w:u w:val="single"/>
    </w:rPr>
  </w:style>
  <w:style w:type="paragraph" w:styleId="afc">
    <w:name w:val="List Paragraph"/>
    <w:basedOn w:val="a"/>
    <w:uiPriority w:val="34"/>
    <w:qFormat/>
    <w:rsid w:val="00CF5745"/>
    <w:pPr>
      <w:widowControl/>
      <w:ind w:left="720" w:firstLine="0"/>
      <w:contextualSpacing/>
      <w:jc w:val="right"/>
    </w:pPr>
    <w:rPr>
      <w:rFonts w:cs="Times New Roman"/>
      <w:szCs w:val="28"/>
    </w:rPr>
  </w:style>
  <w:style w:type="table" w:customStyle="1" w:styleId="12">
    <w:name w:val="Сетка таблицы1"/>
    <w:basedOn w:val="a1"/>
    <w:next w:val="a7"/>
    <w:uiPriority w:val="59"/>
    <w:rsid w:val="004A4A2B"/>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224346">
      <w:bodyDiv w:val="1"/>
      <w:marLeft w:val="0"/>
      <w:marRight w:val="0"/>
      <w:marTop w:val="0"/>
      <w:marBottom w:val="0"/>
      <w:divBdr>
        <w:top w:val="none" w:sz="0" w:space="0" w:color="auto"/>
        <w:left w:val="none" w:sz="0" w:space="0" w:color="auto"/>
        <w:bottom w:val="none" w:sz="0" w:space="0" w:color="auto"/>
        <w:right w:val="none" w:sz="0" w:space="0" w:color="auto"/>
      </w:divBdr>
    </w:div>
    <w:div w:id="249120132">
      <w:bodyDiv w:val="1"/>
      <w:marLeft w:val="0"/>
      <w:marRight w:val="0"/>
      <w:marTop w:val="0"/>
      <w:marBottom w:val="0"/>
      <w:divBdr>
        <w:top w:val="none" w:sz="0" w:space="0" w:color="auto"/>
        <w:left w:val="none" w:sz="0" w:space="0" w:color="auto"/>
        <w:bottom w:val="none" w:sz="0" w:space="0" w:color="auto"/>
        <w:right w:val="none" w:sz="0" w:space="0" w:color="auto"/>
      </w:divBdr>
    </w:div>
    <w:div w:id="276987503">
      <w:bodyDiv w:val="1"/>
      <w:marLeft w:val="0"/>
      <w:marRight w:val="0"/>
      <w:marTop w:val="0"/>
      <w:marBottom w:val="0"/>
      <w:divBdr>
        <w:top w:val="none" w:sz="0" w:space="0" w:color="auto"/>
        <w:left w:val="none" w:sz="0" w:space="0" w:color="auto"/>
        <w:bottom w:val="none" w:sz="0" w:space="0" w:color="auto"/>
        <w:right w:val="none" w:sz="0" w:space="0" w:color="auto"/>
      </w:divBdr>
    </w:div>
    <w:div w:id="314067140">
      <w:bodyDiv w:val="1"/>
      <w:marLeft w:val="0"/>
      <w:marRight w:val="0"/>
      <w:marTop w:val="0"/>
      <w:marBottom w:val="0"/>
      <w:divBdr>
        <w:top w:val="none" w:sz="0" w:space="0" w:color="auto"/>
        <w:left w:val="none" w:sz="0" w:space="0" w:color="auto"/>
        <w:bottom w:val="none" w:sz="0" w:space="0" w:color="auto"/>
        <w:right w:val="none" w:sz="0" w:space="0" w:color="auto"/>
      </w:divBdr>
    </w:div>
    <w:div w:id="370299539">
      <w:bodyDiv w:val="1"/>
      <w:marLeft w:val="0"/>
      <w:marRight w:val="0"/>
      <w:marTop w:val="0"/>
      <w:marBottom w:val="0"/>
      <w:divBdr>
        <w:top w:val="none" w:sz="0" w:space="0" w:color="auto"/>
        <w:left w:val="none" w:sz="0" w:space="0" w:color="auto"/>
        <w:bottom w:val="none" w:sz="0" w:space="0" w:color="auto"/>
        <w:right w:val="none" w:sz="0" w:space="0" w:color="auto"/>
      </w:divBdr>
    </w:div>
    <w:div w:id="575748208">
      <w:bodyDiv w:val="1"/>
      <w:marLeft w:val="0"/>
      <w:marRight w:val="0"/>
      <w:marTop w:val="0"/>
      <w:marBottom w:val="0"/>
      <w:divBdr>
        <w:top w:val="none" w:sz="0" w:space="0" w:color="auto"/>
        <w:left w:val="none" w:sz="0" w:space="0" w:color="auto"/>
        <w:bottom w:val="none" w:sz="0" w:space="0" w:color="auto"/>
        <w:right w:val="none" w:sz="0" w:space="0" w:color="auto"/>
      </w:divBdr>
    </w:div>
    <w:div w:id="626401384">
      <w:bodyDiv w:val="1"/>
      <w:marLeft w:val="0"/>
      <w:marRight w:val="0"/>
      <w:marTop w:val="0"/>
      <w:marBottom w:val="0"/>
      <w:divBdr>
        <w:top w:val="none" w:sz="0" w:space="0" w:color="auto"/>
        <w:left w:val="none" w:sz="0" w:space="0" w:color="auto"/>
        <w:bottom w:val="none" w:sz="0" w:space="0" w:color="auto"/>
        <w:right w:val="none" w:sz="0" w:space="0" w:color="auto"/>
      </w:divBdr>
    </w:div>
    <w:div w:id="760494169">
      <w:bodyDiv w:val="1"/>
      <w:marLeft w:val="0"/>
      <w:marRight w:val="0"/>
      <w:marTop w:val="0"/>
      <w:marBottom w:val="0"/>
      <w:divBdr>
        <w:top w:val="none" w:sz="0" w:space="0" w:color="auto"/>
        <w:left w:val="none" w:sz="0" w:space="0" w:color="auto"/>
        <w:bottom w:val="none" w:sz="0" w:space="0" w:color="auto"/>
        <w:right w:val="none" w:sz="0" w:space="0" w:color="auto"/>
      </w:divBdr>
    </w:div>
    <w:div w:id="899363699">
      <w:bodyDiv w:val="1"/>
      <w:marLeft w:val="0"/>
      <w:marRight w:val="0"/>
      <w:marTop w:val="0"/>
      <w:marBottom w:val="0"/>
      <w:divBdr>
        <w:top w:val="none" w:sz="0" w:space="0" w:color="auto"/>
        <w:left w:val="none" w:sz="0" w:space="0" w:color="auto"/>
        <w:bottom w:val="none" w:sz="0" w:space="0" w:color="auto"/>
        <w:right w:val="none" w:sz="0" w:space="0" w:color="auto"/>
      </w:divBdr>
    </w:div>
    <w:div w:id="943462339">
      <w:bodyDiv w:val="1"/>
      <w:marLeft w:val="0"/>
      <w:marRight w:val="0"/>
      <w:marTop w:val="0"/>
      <w:marBottom w:val="0"/>
      <w:divBdr>
        <w:top w:val="none" w:sz="0" w:space="0" w:color="auto"/>
        <w:left w:val="none" w:sz="0" w:space="0" w:color="auto"/>
        <w:bottom w:val="none" w:sz="0" w:space="0" w:color="auto"/>
        <w:right w:val="none" w:sz="0" w:space="0" w:color="auto"/>
      </w:divBdr>
    </w:div>
    <w:div w:id="1042362211">
      <w:bodyDiv w:val="1"/>
      <w:marLeft w:val="0"/>
      <w:marRight w:val="0"/>
      <w:marTop w:val="0"/>
      <w:marBottom w:val="0"/>
      <w:divBdr>
        <w:top w:val="none" w:sz="0" w:space="0" w:color="auto"/>
        <w:left w:val="none" w:sz="0" w:space="0" w:color="auto"/>
        <w:bottom w:val="none" w:sz="0" w:space="0" w:color="auto"/>
        <w:right w:val="none" w:sz="0" w:space="0" w:color="auto"/>
      </w:divBdr>
    </w:div>
    <w:div w:id="1231306174">
      <w:bodyDiv w:val="1"/>
      <w:marLeft w:val="0"/>
      <w:marRight w:val="0"/>
      <w:marTop w:val="0"/>
      <w:marBottom w:val="0"/>
      <w:divBdr>
        <w:top w:val="none" w:sz="0" w:space="0" w:color="auto"/>
        <w:left w:val="none" w:sz="0" w:space="0" w:color="auto"/>
        <w:bottom w:val="none" w:sz="0" w:space="0" w:color="auto"/>
        <w:right w:val="none" w:sz="0" w:space="0" w:color="auto"/>
      </w:divBdr>
    </w:div>
    <w:div w:id="1297565079">
      <w:bodyDiv w:val="1"/>
      <w:marLeft w:val="0"/>
      <w:marRight w:val="0"/>
      <w:marTop w:val="0"/>
      <w:marBottom w:val="0"/>
      <w:divBdr>
        <w:top w:val="none" w:sz="0" w:space="0" w:color="auto"/>
        <w:left w:val="none" w:sz="0" w:space="0" w:color="auto"/>
        <w:bottom w:val="none" w:sz="0" w:space="0" w:color="auto"/>
        <w:right w:val="none" w:sz="0" w:space="0" w:color="auto"/>
      </w:divBdr>
    </w:div>
    <w:div w:id="1367219059">
      <w:bodyDiv w:val="1"/>
      <w:marLeft w:val="0"/>
      <w:marRight w:val="0"/>
      <w:marTop w:val="0"/>
      <w:marBottom w:val="0"/>
      <w:divBdr>
        <w:top w:val="none" w:sz="0" w:space="0" w:color="auto"/>
        <w:left w:val="none" w:sz="0" w:space="0" w:color="auto"/>
        <w:bottom w:val="none" w:sz="0" w:space="0" w:color="auto"/>
        <w:right w:val="none" w:sz="0" w:space="0" w:color="auto"/>
      </w:divBdr>
    </w:div>
    <w:div w:id="1507329895">
      <w:bodyDiv w:val="1"/>
      <w:marLeft w:val="0"/>
      <w:marRight w:val="0"/>
      <w:marTop w:val="0"/>
      <w:marBottom w:val="0"/>
      <w:divBdr>
        <w:top w:val="none" w:sz="0" w:space="0" w:color="auto"/>
        <w:left w:val="none" w:sz="0" w:space="0" w:color="auto"/>
        <w:bottom w:val="none" w:sz="0" w:space="0" w:color="auto"/>
        <w:right w:val="none" w:sz="0" w:space="0" w:color="auto"/>
      </w:divBdr>
    </w:div>
    <w:div w:id="1537087189">
      <w:bodyDiv w:val="1"/>
      <w:marLeft w:val="0"/>
      <w:marRight w:val="0"/>
      <w:marTop w:val="0"/>
      <w:marBottom w:val="0"/>
      <w:divBdr>
        <w:top w:val="none" w:sz="0" w:space="0" w:color="auto"/>
        <w:left w:val="none" w:sz="0" w:space="0" w:color="auto"/>
        <w:bottom w:val="none" w:sz="0" w:space="0" w:color="auto"/>
        <w:right w:val="none" w:sz="0" w:space="0" w:color="auto"/>
      </w:divBdr>
    </w:div>
    <w:div w:id="1755741630">
      <w:bodyDiv w:val="1"/>
      <w:marLeft w:val="0"/>
      <w:marRight w:val="0"/>
      <w:marTop w:val="0"/>
      <w:marBottom w:val="0"/>
      <w:divBdr>
        <w:top w:val="none" w:sz="0" w:space="0" w:color="auto"/>
        <w:left w:val="none" w:sz="0" w:space="0" w:color="auto"/>
        <w:bottom w:val="none" w:sz="0" w:space="0" w:color="auto"/>
        <w:right w:val="none" w:sz="0" w:space="0" w:color="auto"/>
      </w:divBdr>
    </w:div>
    <w:div w:id="1958901214">
      <w:bodyDiv w:val="1"/>
      <w:marLeft w:val="0"/>
      <w:marRight w:val="0"/>
      <w:marTop w:val="0"/>
      <w:marBottom w:val="0"/>
      <w:divBdr>
        <w:top w:val="none" w:sz="0" w:space="0" w:color="auto"/>
        <w:left w:val="none" w:sz="0" w:space="0" w:color="auto"/>
        <w:bottom w:val="none" w:sz="0" w:space="0" w:color="auto"/>
        <w:right w:val="none" w:sz="0" w:space="0" w:color="auto"/>
      </w:divBdr>
    </w:div>
    <w:div w:id="214265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chart" Target="charts/chart2.xml"/><Relationship Id="rId26" Type="http://schemas.openxmlformats.org/officeDocument/2006/relationships/header" Target="header6.xml"/><Relationship Id="rId39" Type="http://schemas.openxmlformats.org/officeDocument/2006/relationships/header" Target="header14.xml"/><Relationship Id="rId21" Type="http://schemas.openxmlformats.org/officeDocument/2006/relationships/footer" Target="footer6.xml"/><Relationship Id="rId34" Type="http://schemas.openxmlformats.org/officeDocument/2006/relationships/header" Target="header11.xml"/><Relationship Id="rId42" Type="http://schemas.openxmlformats.org/officeDocument/2006/relationships/header" Target="header16.xml"/><Relationship Id="rId47" Type="http://schemas.openxmlformats.org/officeDocument/2006/relationships/header" Target="header20.xml"/><Relationship Id="rId50" Type="http://schemas.openxmlformats.org/officeDocument/2006/relationships/footer" Target="footer11.xml"/><Relationship Id="rId55" Type="http://schemas.openxmlformats.org/officeDocument/2006/relationships/header" Target="header24.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chart" Target="charts/chart3.xml"/><Relationship Id="rId41" Type="http://schemas.openxmlformats.org/officeDocument/2006/relationships/chart" Target="charts/chart7.xml"/><Relationship Id="rId54" Type="http://schemas.openxmlformats.org/officeDocument/2006/relationships/footer" Target="footer13.xml"/><Relationship Id="rId62" Type="http://schemas.openxmlformats.org/officeDocument/2006/relationships/header" Target="header2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chart" Target="charts/chart4.xml"/><Relationship Id="rId37" Type="http://schemas.openxmlformats.org/officeDocument/2006/relationships/header" Target="header13.xml"/><Relationship Id="rId40" Type="http://schemas.openxmlformats.org/officeDocument/2006/relationships/header" Target="header15.xml"/><Relationship Id="rId45" Type="http://schemas.openxmlformats.org/officeDocument/2006/relationships/header" Target="header18.xml"/><Relationship Id="rId53" Type="http://schemas.openxmlformats.org/officeDocument/2006/relationships/footer" Target="footer12.xml"/><Relationship Id="rId58"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header" Target="header12.xml"/><Relationship Id="rId49" Type="http://schemas.openxmlformats.org/officeDocument/2006/relationships/footer" Target="footer10.xml"/><Relationship Id="rId57" Type="http://schemas.openxmlformats.org/officeDocument/2006/relationships/footer" Target="footer14.xml"/><Relationship Id="rId61" Type="http://schemas.openxmlformats.org/officeDocument/2006/relationships/header" Target="header28.xml"/><Relationship Id="rId10" Type="http://schemas.openxmlformats.org/officeDocument/2006/relationships/header" Target="header1.xml"/><Relationship Id="rId19" Type="http://schemas.openxmlformats.org/officeDocument/2006/relationships/hyperlink" Target="http://www.privatization.gov.ua" TargetMode="External"/><Relationship Id="rId31" Type="http://schemas.openxmlformats.org/officeDocument/2006/relationships/header" Target="header9.xml"/><Relationship Id="rId44" Type="http://schemas.openxmlformats.org/officeDocument/2006/relationships/chart" Target="charts/chart8.xml"/><Relationship Id="rId52" Type="http://schemas.openxmlformats.org/officeDocument/2006/relationships/header" Target="header23.xml"/><Relationship Id="rId60" Type="http://schemas.openxmlformats.org/officeDocument/2006/relationships/header" Target="header2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chart" Target="charts/chart5.xml"/><Relationship Id="rId43" Type="http://schemas.openxmlformats.org/officeDocument/2006/relationships/header" Target="header17.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2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footer" Target="footer8.xml"/><Relationship Id="rId33" Type="http://schemas.openxmlformats.org/officeDocument/2006/relationships/header" Target="header10.xml"/><Relationship Id="rId38" Type="http://schemas.openxmlformats.org/officeDocument/2006/relationships/chart" Target="charts/chart6.xml"/><Relationship Id="rId46" Type="http://schemas.openxmlformats.org/officeDocument/2006/relationships/header" Target="header19.xml"/><Relationship Id="rId59" Type="http://schemas.openxmlformats.org/officeDocument/2006/relationships/header" Target="header26.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style val="42"/>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strRef>
              <c:f>Лист1!$B$1</c:f>
              <c:strCache>
                <c:ptCount val="1"/>
                <c:pt idx="0">
                  <c:v>Продажи</c:v>
                </c:pt>
              </c:strCache>
            </c:strRef>
          </c:tx>
          <c:dPt>
            <c:idx val="0"/>
            <c:spPr>
              <a:solidFill>
                <a:schemeClr val="accent1">
                  <a:lumMod val="60000"/>
                  <a:lumOff val="40000"/>
                </a:schemeClr>
              </a:solidFill>
            </c:spPr>
          </c:dPt>
          <c:dPt>
            <c:idx val="1"/>
            <c:spPr>
              <a:solidFill>
                <a:schemeClr val="accent6">
                  <a:lumMod val="75000"/>
                </a:schemeClr>
              </a:solidFill>
            </c:spPr>
          </c:dPt>
          <c:dPt>
            <c:idx val="2"/>
            <c:spPr>
              <a:solidFill>
                <a:schemeClr val="accent3">
                  <a:lumMod val="60000"/>
                  <a:lumOff val="40000"/>
                </a:schemeClr>
              </a:solidFill>
            </c:spPr>
          </c:dPt>
          <c:dLbls>
            <c:dLbl>
              <c:idx val="0"/>
              <c:tx>
                <c:rich>
                  <a:bodyPr/>
                  <a:lstStyle/>
                  <a:p>
                    <a:r>
                      <a:rPr lang="uk-UA"/>
                      <a:t>від 50 % + 1 акція до 100 %</a:t>
                    </a:r>
                  </a:p>
                </c:rich>
              </c:tx>
              <c:dLblPos val="ctr"/>
            </c:dLbl>
            <c:dLbl>
              <c:idx val="1"/>
              <c:tx>
                <c:rich>
                  <a:bodyPr/>
                  <a:lstStyle/>
                  <a:p>
                    <a:r>
                      <a:rPr lang="uk-UA"/>
                      <a:t>від 0 до 25 %</a:t>
                    </a:r>
                  </a:p>
                </c:rich>
              </c:tx>
              <c:dLblPos val="ctr"/>
            </c:dLbl>
            <c:dLbl>
              <c:idx val="2"/>
              <c:layout>
                <c:manualLayout>
                  <c:x val="0.22996208807233232"/>
                  <c:y val="0.10240344956880409"/>
                </c:manualLayout>
              </c:layout>
              <c:tx>
                <c:rich>
                  <a:bodyPr/>
                  <a:lstStyle/>
                  <a:p>
                    <a:r>
                      <a:rPr lang="uk-UA"/>
                      <a:t>від 25 % + 1 акція до 50 %</a:t>
                    </a:r>
                  </a:p>
                </c:rich>
              </c:tx>
              <c:dLblPos val="bestFit"/>
            </c:dLbl>
            <c:txPr>
              <a:bodyPr/>
              <a:lstStyle/>
              <a:p>
                <a:pPr>
                  <a:defRPr sz="1099">
                    <a:solidFill>
                      <a:sysClr val="windowText" lastClr="000000"/>
                    </a:solidFill>
                    <a:latin typeface="Times New Roman" pitchFamily="18" charset="0"/>
                    <a:cs typeface="Times New Roman" pitchFamily="18" charset="0"/>
                  </a:defRPr>
                </a:pPr>
                <a:endParaRPr lang="uk-UA"/>
              </a:p>
            </c:txPr>
            <c:dLblPos val="ctr"/>
            <c:showVal val="1"/>
            <c:showCatName val="1"/>
            <c:separator>
</c:separator>
            <c:showLeaderLines val="1"/>
          </c:dLbls>
          <c:cat>
            <c:strRef>
              <c:f>Лист1!$A$2:$A$4</c:f>
              <c:strCache>
                <c:ptCount val="3"/>
                <c:pt idx="0">
                  <c:v>від 50 % + 1 акція до 100 %</c:v>
                </c:pt>
                <c:pt idx="1">
                  <c:v>від 0 до 25 %</c:v>
                </c:pt>
                <c:pt idx="2">
                  <c:v>від 25 % + 1 акція до 50 %</c:v>
                </c:pt>
              </c:strCache>
            </c:strRef>
          </c:cat>
          <c:val>
            <c:numRef>
              <c:f>Лист1!$B$2:$B$4</c:f>
              <c:numCache>
                <c:formatCode>General</c:formatCode>
                <c:ptCount val="3"/>
                <c:pt idx="0">
                  <c:v>262</c:v>
                </c:pt>
                <c:pt idx="1">
                  <c:v>131</c:v>
                </c:pt>
                <c:pt idx="2">
                  <c:v>133</c:v>
                </c:pt>
              </c:numCache>
            </c:numRef>
          </c:val>
        </c:ser>
        <c:dLbls>
          <c:showPercent val="1"/>
        </c:dLbls>
      </c:pie3DChart>
      <c:spPr>
        <a:noFill/>
        <a:ln w="25371">
          <a:noFill/>
        </a:ln>
      </c:spPr>
    </c:plotArea>
    <c:plotVisOnly val="1"/>
    <c:dispBlanksAs val="zero"/>
  </c:chart>
  <c:spPr>
    <a:noFill/>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lrMapOvr bg1="lt1" tx1="dk1" bg2="lt2" tx2="dk2" accent1="accent1" accent2="accent2" accent3="accent3" accent4="accent4" accent5="accent5" accent6="accent6" hlink="hlink" folHlink="folHlink"/>
  <c:chart>
    <c:autoTitleDeleted val="1"/>
    <c:view3D>
      <c:rotX val="60"/>
      <c:rotY val="70"/>
      <c:perspective val="30"/>
    </c:view3D>
    <c:plotArea>
      <c:layout>
        <c:manualLayout>
          <c:layoutTarget val="inner"/>
          <c:xMode val="edge"/>
          <c:yMode val="edge"/>
          <c:x val="0"/>
          <c:y val="2.4123361479530216E-4"/>
          <c:w val="1"/>
          <c:h val="0.99769855624923065"/>
        </c:manualLayout>
      </c:layout>
      <c:pie3DChart>
        <c:varyColors val="1"/>
        <c:ser>
          <c:idx val="0"/>
          <c:order val="0"/>
          <c:tx>
            <c:strRef>
              <c:f>Лист1!$B$1</c:f>
              <c:strCache>
                <c:ptCount val="1"/>
                <c:pt idx="0">
                  <c:v>Продажи</c:v>
                </c:pt>
              </c:strCache>
            </c:strRef>
          </c:tx>
          <c:spPr>
            <a:effectLst>
              <a:outerShdw blurRad="50800" dist="38100" dir="5400000" algn="t" rotWithShape="0">
                <a:prstClr val="black">
                  <a:alpha val="40000"/>
                </a:prstClr>
              </a:outerShdw>
            </a:effectLst>
          </c:spPr>
          <c:explosion val="25"/>
          <c:dPt>
            <c:idx val="0"/>
            <c:explosion val="6"/>
            <c:spPr>
              <a:solidFill>
                <a:schemeClr val="bg2">
                  <a:lumMod val="50000"/>
                </a:schemeClr>
              </a:solidFill>
              <a:effectLst>
                <a:outerShdw blurRad="50800" dist="38100" dir="5400000" algn="t" rotWithShape="0">
                  <a:prstClr val="black">
                    <a:alpha val="40000"/>
                  </a:prstClr>
                </a:outerShdw>
              </a:effectLst>
            </c:spPr>
          </c:dPt>
          <c:dPt>
            <c:idx val="1"/>
            <c:explosion val="4"/>
            <c:spPr>
              <a:solidFill>
                <a:schemeClr val="accent3">
                  <a:lumMod val="60000"/>
                  <a:lumOff val="40000"/>
                </a:schemeClr>
              </a:solidFill>
              <a:effectLst>
                <a:outerShdw blurRad="50800" dist="38100" dir="5400000" algn="t" rotWithShape="0">
                  <a:prstClr val="black">
                    <a:alpha val="40000"/>
                  </a:prstClr>
                </a:outerShdw>
              </a:effectLst>
            </c:spPr>
          </c:dPt>
          <c:dPt>
            <c:idx val="2"/>
            <c:explosion val="0"/>
            <c:spPr>
              <a:solidFill>
                <a:schemeClr val="accent2"/>
              </a:solidFill>
              <a:effectLst>
                <a:outerShdw blurRad="50800" dist="38100" dir="5400000" algn="t" rotWithShape="0">
                  <a:prstClr val="black">
                    <a:alpha val="40000"/>
                  </a:prstClr>
                </a:outerShdw>
              </a:effectLst>
            </c:spPr>
          </c:dPt>
          <c:dPt>
            <c:idx val="3"/>
            <c:explosion val="6"/>
            <c:spPr>
              <a:solidFill>
                <a:schemeClr val="accent5">
                  <a:lumMod val="75000"/>
                </a:schemeClr>
              </a:solidFill>
              <a:effectLst>
                <a:outerShdw blurRad="50800" dist="38100" dir="5400000" algn="t" rotWithShape="0">
                  <a:prstClr val="black">
                    <a:alpha val="40000"/>
                  </a:prstClr>
                </a:outerShdw>
              </a:effectLst>
            </c:spPr>
          </c:dPt>
          <c:dLbls>
            <c:dLbl>
              <c:idx val="0"/>
              <c:layout>
                <c:manualLayout>
                  <c:x val="1.1971915296626823E-2"/>
                  <c:y val="1.1882792017325637E-2"/>
                </c:manualLayout>
              </c:layout>
              <c:showVal val="1"/>
              <c:showCatName val="1"/>
              <c:showPercent val="1"/>
              <c:separator>
</c:separator>
            </c:dLbl>
            <c:dLbl>
              <c:idx val="1"/>
              <c:layout>
                <c:manualLayout>
                  <c:x val="1.3906173952861181E-2"/>
                  <c:y val="-5.5585245672171775E-2"/>
                </c:manualLayout>
              </c:layout>
              <c:showVal val="1"/>
              <c:showCatName val="1"/>
              <c:showPercent val="1"/>
              <c:separator>
</c:separator>
            </c:dLbl>
            <c:dLbl>
              <c:idx val="2"/>
              <c:layout>
                <c:manualLayout>
                  <c:x val="0.12841553387916424"/>
                  <c:y val="-0.28934421658831105"/>
                </c:manualLayout>
              </c:layout>
              <c:showVal val="1"/>
              <c:showCatName val="1"/>
              <c:showPercent val="1"/>
              <c:separator>
</c:separator>
            </c:dLbl>
            <c:dLbl>
              <c:idx val="3"/>
              <c:layout>
                <c:manualLayout>
                  <c:x val="0.11528584113553079"/>
                  <c:y val="0.21363579552555931"/>
                </c:manualLayout>
              </c:layout>
              <c:showVal val="1"/>
              <c:showCatName val="1"/>
              <c:showPercent val="1"/>
              <c:separator>
</c:separator>
            </c:dLbl>
            <c:showVal val="1"/>
            <c:showCatName val="1"/>
            <c:showPercent val="1"/>
            <c:separator>
</c:separator>
            <c:showLeaderLines val="1"/>
          </c:dLbls>
          <c:cat>
            <c:strRef>
              <c:f>Лист1!$A$2:$A$5</c:f>
              <c:strCache>
                <c:ptCount val="4"/>
                <c:pt idx="0">
                  <c:v>працювали ефективно (прибуткові)</c:v>
                </c:pt>
                <c:pt idx="1">
                  <c:v>працювали задовільно (прибуткові)</c:v>
                </c:pt>
                <c:pt idx="2">
                  <c:v>працювали неефективно</c:v>
                </c:pt>
                <c:pt idx="3">
                  <c:v>не оцінювалися</c:v>
                </c:pt>
              </c:strCache>
            </c:strRef>
          </c:cat>
          <c:val>
            <c:numRef>
              <c:f>Лист1!$B$2:$B$5</c:f>
              <c:numCache>
                <c:formatCode>General</c:formatCode>
                <c:ptCount val="4"/>
                <c:pt idx="0">
                  <c:v>14</c:v>
                </c:pt>
                <c:pt idx="1">
                  <c:v>28</c:v>
                </c:pt>
                <c:pt idx="2">
                  <c:v>48</c:v>
                </c:pt>
                <c:pt idx="3">
                  <c:v>92</c:v>
                </c:pt>
              </c:numCache>
            </c:numRef>
          </c:val>
        </c:ser>
      </c:pie3DChart>
    </c:plotArea>
    <c:plotVisOnly val="1"/>
  </c:chart>
  <c:spPr>
    <a:ln>
      <a:noFill/>
    </a:ln>
  </c:spPr>
  <c:txPr>
    <a:bodyPr/>
    <a:lstStyle/>
    <a:p>
      <a:pPr>
        <a:defRPr>
          <a:latin typeface="Times New Roman" pitchFamily="18" charset="0"/>
          <a:cs typeface="Times New Roman" pitchFamily="18" charset="0"/>
        </a:defRPr>
      </a:pPr>
      <a:endParaRPr lang="uk-UA"/>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lineChart>
        <c:grouping val="standard"/>
        <c:ser>
          <c:idx val="0"/>
          <c:order val="0"/>
          <c:tx>
            <c:strRef>
              <c:f>Лист1!$B$1</c:f>
              <c:strCache>
                <c:ptCount val="1"/>
                <c:pt idx="0">
                  <c:v>Кількість приватизованих об'єктів малої приватизації накопичувальним підсумком, од.</c:v>
                </c:pt>
              </c:strCache>
            </c:strRef>
          </c:tx>
          <c:spPr>
            <a:ln w="19050"/>
          </c:spPr>
          <c:marker>
            <c:symbol val="circle"/>
            <c:size val="4"/>
            <c:spPr>
              <a:solidFill>
                <a:schemeClr val="accent1"/>
              </a:solidFill>
            </c:spPr>
          </c:marker>
          <c:dLbls>
            <c:dLbl>
              <c:idx val="0"/>
              <c:tx>
                <c:rich>
                  <a:bodyPr/>
                  <a:lstStyle/>
                  <a:p>
                    <a:r>
                      <a:rPr lang="en-US"/>
                      <a:t>2 707</a:t>
                    </a:r>
                  </a:p>
                </c:rich>
              </c:tx>
              <c:dLblPos val="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9A7-4520-A93A-45D322405908}"/>
                </c:ext>
              </c:extLst>
            </c:dLbl>
            <c:dLbl>
              <c:idx val="1"/>
              <c:tx>
                <c:rich>
                  <a:bodyPr/>
                  <a:lstStyle/>
                  <a:p>
                    <a:r>
                      <a:rPr lang="en-US"/>
                      <a:t>9 082</a:t>
                    </a:r>
                  </a:p>
                </c:rich>
              </c:tx>
              <c:dLblPos val="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9A7-4520-A93A-45D322405908}"/>
                </c:ext>
              </c:extLst>
            </c:dLbl>
            <c:dLbl>
              <c:idx val="2"/>
              <c:tx>
                <c:rich>
                  <a:bodyPr/>
                  <a:lstStyle/>
                  <a:p>
                    <a:r>
                      <a:rPr lang="en-US"/>
                      <a:t>22 135</a:t>
                    </a:r>
                  </a:p>
                </c:rich>
              </c:tx>
              <c:dLblPos val="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9A7-4520-A93A-45D322405908}"/>
                </c:ext>
              </c:extLst>
            </c:dLbl>
            <c:dLbl>
              <c:idx val="3"/>
              <c:tx>
                <c:rich>
                  <a:bodyPr/>
                  <a:lstStyle/>
                  <a:p>
                    <a:r>
                      <a:rPr lang="en-US"/>
                      <a:t>38 370</a:t>
                    </a:r>
                  </a:p>
                </c:rich>
              </c:tx>
              <c:dLblPos val="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9A7-4520-A93A-45D322405908}"/>
                </c:ext>
              </c:extLst>
            </c:dLbl>
            <c:dLbl>
              <c:idx val="4"/>
              <c:tx>
                <c:rich>
                  <a:bodyPr/>
                  <a:lstStyle/>
                  <a:p>
                    <a:r>
                      <a:rPr lang="en-US"/>
                      <a:t>45 418</a:t>
                    </a:r>
                  </a:p>
                </c:rich>
              </c:tx>
              <c:dLblPos val="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29A7-4520-A93A-45D322405908}"/>
                </c:ext>
              </c:extLst>
            </c:dLbl>
            <c:dLbl>
              <c:idx val="5"/>
              <c:tx>
                <c:rich>
                  <a:bodyPr/>
                  <a:lstStyle/>
                  <a:p>
                    <a:r>
                      <a:rPr lang="en-US"/>
                      <a:t>49 442</a:t>
                    </a:r>
                  </a:p>
                </c:rich>
              </c:tx>
              <c:dLblPos val="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29A7-4520-A93A-45D322405908}"/>
                </c:ext>
              </c:extLst>
            </c:dLbl>
            <c:dLbl>
              <c:idx val="6"/>
              <c:tx>
                <c:rich>
                  <a:bodyPr/>
                  <a:lstStyle/>
                  <a:p>
                    <a:r>
                      <a:rPr lang="en-US"/>
                      <a:t>53 659</a:t>
                    </a:r>
                  </a:p>
                </c:rich>
              </c:tx>
              <c:dLblPos val="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29A7-4520-A93A-45D322405908}"/>
                </c:ext>
              </c:extLst>
            </c:dLbl>
            <c:dLbl>
              <c:idx val="7"/>
              <c:tx>
                <c:rich>
                  <a:bodyPr/>
                  <a:lstStyle/>
                  <a:p>
                    <a:r>
                      <a:rPr lang="en-US"/>
                      <a:t>57 739</a:t>
                    </a:r>
                  </a:p>
                </c:rich>
              </c:tx>
              <c:dLblPos val="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29A7-4520-A93A-45D322405908}"/>
                </c:ext>
              </c:extLst>
            </c:dLbl>
            <c:dLbl>
              <c:idx val="8"/>
              <c:tx>
                <c:rich>
                  <a:bodyPr/>
                  <a:lstStyle/>
                  <a:p>
                    <a:r>
                      <a:rPr lang="en-US"/>
                      <a:t>62 766</a:t>
                    </a:r>
                  </a:p>
                </c:rich>
              </c:tx>
              <c:dLblPos val="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29A7-4520-A93A-45D322405908}"/>
                </c:ext>
              </c:extLst>
            </c:dLbl>
            <c:dLbl>
              <c:idx val="9"/>
              <c:tx>
                <c:rich>
                  <a:bodyPr/>
                  <a:lstStyle/>
                  <a:p>
                    <a:r>
                      <a:rPr lang="en-US"/>
                      <a:t>68 060</a:t>
                    </a:r>
                  </a:p>
                </c:rich>
              </c:tx>
              <c:dLblPos val="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29A7-4520-A93A-45D322405908}"/>
                </c:ext>
              </c:extLst>
            </c:dLbl>
            <c:dLbl>
              <c:idx val="10"/>
              <c:tx>
                <c:rich>
                  <a:bodyPr/>
                  <a:lstStyle/>
                  <a:p>
                    <a:r>
                      <a:rPr lang="en-US"/>
                      <a:t>73 749</a:t>
                    </a:r>
                  </a:p>
                </c:rich>
              </c:tx>
              <c:dLblPos val="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29A7-4520-A93A-45D322405908}"/>
                </c:ext>
              </c:extLst>
            </c:dLbl>
            <c:dLbl>
              <c:idx val="11"/>
              <c:tx>
                <c:rich>
                  <a:bodyPr/>
                  <a:lstStyle/>
                  <a:p>
                    <a:r>
                      <a:rPr lang="en-US"/>
                      <a:t>79 138</a:t>
                    </a:r>
                  </a:p>
                </c:rich>
              </c:tx>
              <c:dLblPos val="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29A7-4520-A93A-45D322405908}"/>
                </c:ext>
              </c:extLst>
            </c:dLbl>
            <c:dLbl>
              <c:idx val="12"/>
              <c:tx>
                <c:rich>
                  <a:bodyPr/>
                  <a:lstStyle/>
                  <a:p>
                    <a:r>
                      <a:rPr lang="en-US"/>
                      <a:t>84 233</a:t>
                    </a:r>
                  </a:p>
                </c:rich>
              </c:tx>
              <c:dLblPos val="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29A7-4520-A93A-45D322405908}"/>
                </c:ext>
              </c:extLst>
            </c:dLbl>
            <c:dLbl>
              <c:idx val="13"/>
              <c:tx>
                <c:rich>
                  <a:bodyPr/>
                  <a:lstStyle/>
                  <a:p>
                    <a:r>
                      <a:rPr lang="en-US"/>
                      <a:t>89 046</a:t>
                    </a:r>
                  </a:p>
                </c:rich>
              </c:tx>
              <c:dLblPos val="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29A7-4520-A93A-45D322405908}"/>
                </c:ext>
              </c:extLst>
            </c:dLbl>
            <c:dLbl>
              <c:idx val="14"/>
              <c:tx>
                <c:rich>
                  <a:bodyPr/>
                  <a:lstStyle/>
                  <a:p>
                    <a:r>
                      <a:rPr lang="en-US"/>
                      <a:t>94 210</a:t>
                    </a:r>
                  </a:p>
                </c:rich>
              </c:tx>
              <c:dLblPos val="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29A7-4520-A93A-45D322405908}"/>
                </c:ext>
              </c:extLst>
            </c:dLbl>
            <c:dLbl>
              <c:idx val="15"/>
              <c:tx>
                <c:rich>
                  <a:bodyPr/>
                  <a:lstStyle/>
                  <a:p>
                    <a:r>
                      <a:rPr lang="en-US"/>
                      <a:t>99 401</a:t>
                    </a:r>
                  </a:p>
                </c:rich>
              </c:tx>
              <c:dLblPos val="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29A7-4520-A93A-45D322405908}"/>
                </c:ext>
              </c:extLst>
            </c:dLbl>
            <c:dLbl>
              <c:idx val="16"/>
              <c:tx>
                <c:rich>
                  <a:bodyPr/>
                  <a:lstStyle/>
                  <a:p>
                    <a:r>
                      <a:rPr lang="en-US"/>
                      <a:t>103 626</a:t>
                    </a:r>
                  </a:p>
                </c:rich>
              </c:tx>
              <c:dLblPos val="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29A7-4520-A93A-45D322405908}"/>
                </c:ext>
              </c:extLst>
            </c:dLbl>
            <c:dLbl>
              <c:idx val="17"/>
              <c:tx>
                <c:rich>
                  <a:bodyPr/>
                  <a:lstStyle/>
                  <a:p>
                    <a:r>
                      <a:rPr lang="en-US"/>
                      <a:t>106 409</a:t>
                    </a:r>
                  </a:p>
                </c:rich>
              </c:tx>
              <c:dLblPos val="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29A7-4520-A93A-45D322405908}"/>
                </c:ext>
              </c:extLst>
            </c:dLbl>
            <c:dLbl>
              <c:idx val="18"/>
              <c:tx>
                <c:rich>
                  <a:bodyPr/>
                  <a:lstStyle/>
                  <a:p>
                    <a:r>
                      <a:rPr lang="en-US"/>
                      <a:t>107 713</a:t>
                    </a:r>
                  </a:p>
                </c:rich>
              </c:tx>
              <c:dLblPos val="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29A7-4520-A93A-45D322405908}"/>
                </c:ext>
              </c:extLst>
            </c:dLbl>
            <c:dLbl>
              <c:idx val="19"/>
              <c:tx>
                <c:rich>
                  <a:bodyPr/>
                  <a:lstStyle/>
                  <a:p>
                    <a:r>
                      <a:rPr lang="en-US"/>
                      <a:t>109 165</a:t>
                    </a:r>
                  </a:p>
                </c:rich>
              </c:tx>
              <c:dLblPos val="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29A7-4520-A93A-45D322405908}"/>
                </c:ext>
              </c:extLst>
            </c:dLbl>
            <c:dLbl>
              <c:idx val="20"/>
              <c:tx>
                <c:rich>
                  <a:bodyPr/>
                  <a:lstStyle/>
                  <a:p>
                    <a:r>
                      <a:rPr lang="en-US"/>
                      <a:t>110 158</a:t>
                    </a:r>
                  </a:p>
                </c:rich>
              </c:tx>
              <c:dLblPos val="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29A7-4520-A93A-45D322405908}"/>
                </c:ext>
              </c:extLst>
            </c:dLbl>
            <c:dLbl>
              <c:idx val="21"/>
              <c:tx>
                <c:rich>
                  <a:bodyPr/>
                  <a:lstStyle/>
                  <a:p>
                    <a:r>
                      <a:rPr lang="en-US"/>
                      <a:t>110 834</a:t>
                    </a:r>
                  </a:p>
                </c:rich>
              </c:tx>
              <c:dLblPos val="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29A7-4520-A93A-45D322405908}"/>
                </c:ext>
              </c:extLst>
            </c:dLbl>
            <c:dLbl>
              <c:idx val="22"/>
              <c:layout>
                <c:manualLayout>
                  <c:x val="-1.3056131925552515E-2"/>
                  <c:y val="4.7775836056207333E-2"/>
                </c:manualLayout>
              </c:layout>
              <c:tx>
                <c:rich>
                  <a:bodyPr/>
                  <a:lstStyle/>
                  <a:p>
                    <a:r>
                      <a:rPr lang="en-US"/>
                      <a:t>113 371</a:t>
                    </a:r>
                  </a:p>
                </c:rich>
              </c:tx>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29A7-4520-A93A-45D322405908}"/>
                </c:ext>
              </c:extLst>
            </c:dLbl>
            <c:dLbl>
              <c:idx val="23"/>
              <c:layout>
                <c:manualLayout>
                  <c:x val="-1.4733089668992573E-2"/>
                  <c:y val="5.8414552600335713E-2"/>
                </c:manualLayout>
              </c:layout>
              <c:tx>
                <c:rich>
                  <a:bodyPr/>
                  <a:lstStyle/>
                  <a:p>
                    <a:r>
                      <a:rPr lang="en-US"/>
                      <a:t>113 889</a:t>
                    </a:r>
                  </a:p>
                </c:rich>
              </c:tx>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29A7-4520-A93A-45D322405908}"/>
                </c:ext>
              </c:extLst>
            </c:dLbl>
            <c:spPr>
              <a:noFill/>
              <a:ln>
                <a:noFill/>
              </a:ln>
              <a:effectLst/>
            </c:spPr>
            <c:txPr>
              <a:bodyPr rot="-5400000" vert="horz"/>
              <a:lstStyle/>
              <a:p>
                <a:pPr>
                  <a:defRPr>
                    <a:latin typeface="Times New Roman" pitchFamily="18" charset="0"/>
                    <a:cs typeface="Times New Roman" pitchFamily="18" charset="0"/>
                  </a:defRPr>
                </a:pPr>
                <a:endParaRPr lang="uk-UA"/>
              </a:p>
            </c:txPr>
            <c:dLblPos val="t"/>
            <c:showVal val="1"/>
            <c:extLst xmlns:c16r2="http://schemas.microsoft.com/office/drawing/2015/06/chart">
              <c:ext xmlns:c15="http://schemas.microsoft.com/office/drawing/2012/chart" uri="{CE6537A1-D6FC-4f65-9D91-7224C49458BB}">
                <c15:showLeaderLines val="0"/>
              </c:ext>
            </c:extLst>
          </c:dLbls>
          <c:cat>
            <c:strRef>
              <c:f>Лист1!$A$2:$A$25</c:f>
              <c:strCache>
                <c:ptCount val="24"/>
                <c:pt idx="0">
                  <c:v>1992-1993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strCache>
            </c:strRef>
          </c:cat>
          <c:val>
            <c:numRef>
              <c:f>Лист1!$B$2:$B$25</c:f>
              <c:numCache>
                <c:formatCode>General</c:formatCode>
                <c:ptCount val="24"/>
                <c:pt idx="0">
                  <c:v>2707</c:v>
                </c:pt>
                <c:pt idx="1">
                  <c:v>9082</c:v>
                </c:pt>
                <c:pt idx="2">
                  <c:v>22135</c:v>
                </c:pt>
                <c:pt idx="3">
                  <c:v>38370</c:v>
                </c:pt>
                <c:pt idx="4">
                  <c:v>45418</c:v>
                </c:pt>
                <c:pt idx="5">
                  <c:v>49442</c:v>
                </c:pt>
                <c:pt idx="6">
                  <c:v>53659</c:v>
                </c:pt>
                <c:pt idx="7">
                  <c:v>57739</c:v>
                </c:pt>
                <c:pt idx="8">
                  <c:v>62766</c:v>
                </c:pt>
                <c:pt idx="9">
                  <c:v>68060</c:v>
                </c:pt>
                <c:pt idx="10">
                  <c:v>73749</c:v>
                </c:pt>
                <c:pt idx="11">
                  <c:v>79138</c:v>
                </c:pt>
                <c:pt idx="12">
                  <c:v>84233</c:v>
                </c:pt>
                <c:pt idx="13">
                  <c:v>89046</c:v>
                </c:pt>
                <c:pt idx="14">
                  <c:v>94210</c:v>
                </c:pt>
                <c:pt idx="15">
                  <c:v>99401</c:v>
                </c:pt>
                <c:pt idx="16">
                  <c:v>103626</c:v>
                </c:pt>
                <c:pt idx="17">
                  <c:v>106409</c:v>
                </c:pt>
                <c:pt idx="18">
                  <c:v>107713</c:v>
                </c:pt>
                <c:pt idx="19">
                  <c:v>109165</c:v>
                </c:pt>
                <c:pt idx="20">
                  <c:v>110158</c:v>
                </c:pt>
                <c:pt idx="21">
                  <c:v>110834</c:v>
                </c:pt>
                <c:pt idx="22">
                  <c:v>113371</c:v>
                </c:pt>
                <c:pt idx="23">
                  <c:v>113887</c:v>
                </c:pt>
              </c:numCache>
            </c:numRef>
          </c:val>
          <c:extLst xmlns:c16r2="http://schemas.microsoft.com/office/drawing/2015/06/chart">
            <c:ext xmlns:c16="http://schemas.microsoft.com/office/drawing/2014/chart" uri="{C3380CC4-5D6E-409C-BE32-E72D297353CC}">
              <c16:uniqueId val="{00000018-29A7-4520-A93A-45D322405908}"/>
            </c:ext>
          </c:extLst>
        </c:ser>
        <c:marker val="1"/>
        <c:axId val="67947904"/>
        <c:axId val="67949696"/>
      </c:lineChart>
      <c:catAx>
        <c:axId val="6794790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uk-UA"/>
          </a:p>
        </c:txPr>
        <c:crossAx val="67949696"/>
        <c:crosses val="autoZero"/>
        <c:auto val="1"/>
        <c:lblAlgn val="ctr"/>
        <c:lblOffset val="100"/>
      </c:catAx>
      <c:valAx>
        <c:axId val="67949696"/>
        <c:scaling>
          <c:orientation val="minMax"/>
        </c:scaling>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67947904"/>
        <c:crosses val="autoZero"/>
        <c:crossBetween val="between"/>
      </c:valAx>
      <c:spPr>
        <a:noFill/>
        <a:ln>
          <a:noFill/>
        </a:ln>
        <a:effectLst/>
      </c:spPr>
    </c:plotArea>
    <c:plotVisOnly val="1"/>
    <c:dispBlanksAs val="gap"/>
  </c:chart>
  <c:spPr>
    <a:noFill/>
    <a:ln w="9525" cap="flat" cmpd="sng" algn="ctr">
      <a:noFill/>
      <a:round/>
    </a:ln>
    <a:effectLst/>
  </c:spPr>
  <c:txPr>
    <a:bodyPr/>
    <a:lstStyle/>
    <a:p>
      <a:pPr>
        <a:defRPr/>
      </a:pPr>
      <a:endParaRPr lang="uk-UA"/>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lineChart>
        <c:grouping val="standard"/>
        <c:ser>
          <c:idx val="0"/>
          <c:order val="0"/>
          <c:tx>
            <c:strRef>
              <c:f>Лист1!$B$1</c:f>
              <c:strCache>
                <c:ptCount val="1"/>
                <c:pt idx="0">
                  <c:v>Кількість приватизованих об'єктів незавершеного будівництва накопичувальним підсумком, од.</c:v>
                </c:pt>
              </c:strCache>
            </c:strRef>
          </c:tx>
          <c:spPr>
            <a:ln w="19050" cap="rnd">
              <a:solidFill>
                <a:schemeClr val="accent1"/>
              </a:solidFill>
              <a:round/>
            </a:ln>
            <a:effectLst/>
          </c:spPr>
          <c:marker>
            <c:symbol val="circle"/>
            <c:size val="3"/>
          </c:marker>
          <c:dLbls>
            <c:dLbl>
              <c:idx val="0"/>
              <c:layout>
                <c:manualLayout>
                  <c:x val="-1.3598041881969E-2"/>
                  <c:y val="-3.83693045563549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E61-4DFD-92A4-5F3AD2BF9D38}"/>
                </c:ext>
              </c:extLst>
            </c:dLbl>
            <c:dLbl>
              <c:idx val="1"/>
              <c:layout>
                <c:manualLayout>
                  <c:x val="-1.3598041881969E-2"/>
                  <c:y val="-4.316546762589928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E61-4DFD-92A4-5F3AD2BF9D38}"/>
                </c:ext>
              </c:extLst>
            </c:dLbl>
            <c:dLbl>
              <c:idx val="2"/>
              <c:layout>
                <c:manualLayout>
                  <c:x val="-1.6317650258363021E-2"/>
                  <c:y val="-3.597122302158274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E61-4DFD-92A4-5F3AD2BF9D38}"/>
                </c:ext>
              </c:extLst>
            </c:dLbl>
            <c:dLbl>
              <c:idx val="3"/>
              <c:layout>
                <c:manualLayout>
                  <c:x val="-1.6317650258363021E-2"/>
                  <c:y val="-4.316546762589928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E61-4DFD-92A4-5F3AD2BF9D38}"/>
                </c:ext>
              </c:extLst>
            </c:dLbl>
            <c:dLbl>
              <c:idx val="4"/>
              <c:layout>
                <c:manualLayout>
                  <c:x val="-1.903725863475662E-2"/>
                  <c:y val="-4.5563549160671457E-2"/>
                </c:manualLayout>
              </c:layout>
              <c:tx>
                <c:rich>
                  <a:bodyPr/>
                  <a:lstStyle/>
                  <a:p>
                    <a:r>
                      <a:rPr lang="en-US"/>
                      <a:t>1 162</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E61-4DFD-92A4-5F3AD2BF9D38}"/>
                </c:ext>
              </c:extLst>
            </c:dLbl>
            <c:dLbl>
              <c:idx val="5"/>
              <c:layout>
                <c:manualLayout>
                  <c:x val="-1.9037258634756603E-2"/>
                  <c:y val="-4.7961630695444034E-2"/>
                </c:manualLayout>
              </c:layout>
              <c:tx>
                <c:rich>
                  <a:bodyPr/>
                  <a:lstStyle/>
                  <a:p>
                    <a:r>
                      <a:rPr lang="en-US"/>
                      <a:t>1 615</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E61-4DFD-92A4-5F3AD2BF9D38}"/>
                </c:ext>
              </c:extLst>
            </c:dLbl>
            <c:dLbl>
              <c:idx val="6"/>
              <c:layout>
                <c:manualLayout>
                  <c:x val="-1.9037258634756603E-2"/>
                  <c:y val="-4.0767386091127122E-2"/>
                </c:manualLayout>
              </c:layout>
              <c:tx>
                <c:rich>
                  <a:bodyPr/>
                  <a:lstStyle/>
                  <a:p>
                    <a:r>
                      <a:rPr lang="en-US"/>
                      <a:t>2 277</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1E61-4DFD-92A4-5F3AD2BF9D38}"/>
                </c:ext>
              </c:extLst>
            </c:dLbl>
            <c:dLbl>
              <c:idx val="7"/>
              <c:layout>
                <c:manualLayout>
                  <c:x val="-1.9037258634756603E-2"/>
                  <c:y val="-4.0767386091127122E-2"/>
                </c:manualLayout>
              </c:layout>
              <c:tx>
                <c:rich>
                  <a:bodyPr/>
                  <a:lstStyle/>
                  <a:p>
                    <a:r>
                      <a:rPr lang="en-US"/>
                      <a:t>2 962</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E61-4DFD-92A4-5F3AD2BF9D38}"/>
                </c:ext>
              </c:extLst>
            </c:dLbl>
            <c:dLbl>
              <c:idx val="8"/>
              <c:layout>
                <c:manualLayout>
                  <c:x val="-2.1756867011150406E-2"/>
                  <c:y val="-4.0767386091127122E-2"/>
                </c:manualLayout>
              </c:layout>
              <c:tx>
                <c:rich>
                  <a:bodyPr/>
                  <a:lstStyle/>
                  <a:p>
                    <a:r>
                      <a:rPr lang="en-US"/>
                      <a:t>3 530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1E61-4DFD-92A4-5F3AD2BF9D38}"/>
                </c:ext>
              </c:extLst>
            </c:dLbl>
            <c:dLbl>
              <c:idx val="9"/>
              <c:layout>
                <c:manualLayout>
                  <c:x val="-1.9037258634756603E-2"/>
                  <c:y val="-4.0767386091127122E-2"/>
                </c:manualLayout>
              </c:layout>
              <c:tx>
                <c:rich>
                  <a:bodyPr/>
                  <a:lstStyle/>
                  <a:p>
                    <a:r>
                      <a:rPr lang="en-US"/>
                      <a:t>4 002</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1E61-4DFD-92A4-5F3AD2BF9D38}"/>
                </c:ext>
              </c:extLst>
            </c:dLbl>
            <c:dLbl>
              <c:idx val="10"/>
              <c:layout>
                <c:manualLayout>
                  <c:x val="-1.6317650258363021E-2"/>
                  <c:y val="-4.5563549160671457E-2"/>
                </c:manualLayout>
              </c:layout>
              <c:tx>
                <c:rich>
                  <a:bodyPr/>
                  <a:lstStyle/>
                  <a:p>
                    <a:r>
                      <a:rPr lang="en-US"/>
                      <a:t>4 333</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1E61-4DFD-92A4-5F3AD2BF9D38}"/>
                </c:ext>
              </c:extLst>
            </c:dLbl>
            <c:dLbl>
              <c:idx val="11"/>
              <c:layout>
                <c:manualLayout>
                  <c:x val="-1.9037258634756603E-2"/>
                  <c:y val="-4.3165467625899283E-2"/>
                </c:manualLayout>
              </c:layout>
              <c:tx>
                <c:rich>
                  <a:bodyPr/>
                  <a:lstStyle/>
                  <a:p>
                    <a:r>
                      <a:rPr lang="en-US"/>
                      <a:t>4 621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1E61-4DFD-92A4-5F3AD2BF9D38}"/>
                </c:ext>
              </c:extLst>
            </c:dLbl>
            <c:dLbl>
              <c:idx val="12"/>
              <c:layout>
                <c:manualLayout>
                  <c:x val="-1.6317650258363021E-2"/>
                  <c:y val="-4.0767386091127122E-2"/>
                </c:manualLayout>
              </c:layout>
              <c:tx>
                <c:rich>
                  <a:bodyPr/>
                  <a:lstStyle/>
                  <a:p>
                    <a:r>
                      <a:rPr lang="en-US"/>
                      <a:t>4 869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1E61-4DFD-92A4-5F3AD2BF9D38}"/>
                </c:ext>
              </c:extLst>
            </c:dLbl>
            <c:dLbl>
              <c:idx val="13"/>
              <c:layout>
                <c:manualLayout>
                  <c:x val="-1.6317650258363021E-2"/>
                  <c:y val="-4.0767386091127122E-2"/>
                </c:manualLayout>
              </c:layout>
              <c:tx>
                <c:rich>
                  <a:bodyPr/>
                  <a:lstStyle/>
                  <a:p>
                    <a:r>
                      <a:rPr lang="en-US"/>
                      <a:t>4 964</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1E61-4DFD-92A4-5F3AD2BF9D38}"/>
                </c:ext>
              </c:extLst>
            </c:dLbl>
            <c:dLbl>
              <c:idx val="14"/>
              <c:layout>
                <c:manualLayout>
                  <c:x val="-1.3598041881969E-2"/>
                  <c:y val="-4.0767386091127122E-2"/>
                </c:manualLayout>
              </c:layout>
              <c:tx>
                <c:rich>
                  <a:bodyPr/>
                  <a:lstStyle/>
                  <a:p>
                    <a:r>
                      <a:rPr lang="en-US"/>
                      <a:t>4 996</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1E61-4DFD-92A4-5F3AD2BF9D38}"/>
                </c:ext>
              </c:extLst>
            </c:dLbl>
            <c:dLbl>
              <c:idx val="15"/>
              <c:layout>
                <c:manualLayout>
                  <c:x val="-1.4957846070165896E-2"/>
                  <c:y val="-4.0767386091127122E-2"/>
                </c:manualLayout>
              </c:layout>
              <c:tx>
                <c:rich>
                  <a:bodyPr/>
                  <a:lstStyle/>
                  <a:p>
                    <a:r>
                      <a:rPr lang="en-US"/>
                      <a:t>5 043</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1E61-4DFD-92A4-5F3AD2BF9D38}"/>
                </c:ext>
              </c:extLst>
            </c:dLbl>
            <c:dLbl>
              <c:idx val="16"/>
              <c:layout>
                <c:manualLayout>
                  <c:x val="-1.3598041881968897E-2"/>
                  <c:y val="-4.0767386091127122E-2"/>
                </c:manualLayout>
              </c:layout>
              <c:tx>
                <c:rich>
                  <a:bodyPr/>
                  <a:lstStyle/>
                  <a:p>
                    <a:r>
                      <a:rPr lang="en-US"/>
                      <a:t>5 073</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1E61-4DFD-92A4-5F3AD2BF9D38}"/>
                </c:ext>
              </c:extLst>
            </c:dLbl>
            <c:dLbl>
              <c:idx val="17"/>
              <c:layout>
                <c:manualLayout>
                  <c:x val="-1.35980418819691E-2"/>
                  <c:y val="-4.5563549160671443E-2"/>
                </c:manualLayout>
              </c:layout>
              <c:tx>
                <c:rich>
                  <a:bodyPr/>
                  <a:lstStyle/>
                  <a:p>
                    <a:r>
                      <a:rPr lang="en-US"/>
                      <a:t>5 109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1E61-4DFD-92A4-5F3AD2BF9D38}"/>
                </c:ext>
              </c:extLst>
            </c:dLbl>
            <c:dLbl>
              <c:idx val="18"/>
              <c:layout>
                <c:manualLayout>
                  <c:x val="-1.3598041881969E-2"/>
                  <c:y val="-4.5563549160671457E-2"/>
                </c:manualLayout>
              </c:layout>
              <c:tx>
                <c:rich>
                  <a:bodyPr/>
                  <a:lstStyle/>
                  <a:p>
                    <a:r>
                      <a:rPr lang="en-US"/>
                      <a:t>5 139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1E61-4DFD-92A4-5F3AD2BF9D38}"/>
                </c:ext>
              </c:extLst>
            </c:dLbl>
            <c:dLbl>
              <c:idx val="19"/>
              <c:layout>
                <c:manualLayout>
                  <c:x val="-1.3598041881969E-2"/>
                  <c:y val="-4.5563549160671457E-2"/>
                </c:manualLayout>
              </c:layout>
              <c:tx>
                <c:rich>
                  <a:bodyPr/>
                  <a:lstStyle/>
                  <a:p>
                    <a:r>
                      <a:rPr lang="en-US"/>
                      <a:t>5 159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1E61-4DFD-92A4-5F3AD2BF9D38}"/>
                </c:ext>
              </c:extLst>
            </c:dLbl>
            <c:dLbl>
              <c:idx val="20"/>
              <c:layout>
                <c:manualLayout>
                  <c:x val="-1.22382376937721E-2"/>
                  <c:y val="-4.5563549160671485E-2"/>
                </c:manualLayout>
              </c:layout>
              <c:tx>
                <c:rich>
                  <a:bodyPr/>
                  <a:lstStyle/>
                  <a:p>
                    <a:r>
                      <a:rPr lang="en-US"/>
                      <a:t>5 170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1E61-4DFD-92A4-5F3AD2BF9D38}"/>
                </c:ext>
              </c:extLst>
            </c:dLbl>
            <c:dLbl>
              <c:idx val="21"/>
              <c:layout>
                <c:manualLayout>
                  <c:x val="-1.22382376937721E-2"/>
                  <c:y val="-4.3165467625899283E-2"/>
                </c:manualLayout>
              </c:layout>
              <c:tx>
                <c:rich>
                  <a:bodyPr/>
                  <a:lstStyle/>
                  <a:p>
                    <a:r>
                      <a:rPr lang="en-US"/>
                      <a:t>5 192</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1E61-4DFD-92A4-5F3AD2BF9D38}"/>
                </c:ext>
              </c:extLst>
            </c:dLbl>
            <c:dLbl>
              <c:idx val="22"/>
              <c:layout>
                <c:manualLayout>
                  <c:x val="-1.6317650258363021E-2"/>
                  <c:y val="-4.3165467625899283E-2"/>
                </c:manualLayout>
              </c:layout>
              <c:tx>
                <c:rich>
                  <a:bodyPr/>
                  <a:lstStyle/>
                  <a:p>
                    <a:r>
                      <a:rPr lang="en-US"/>
                      <a:t>5 213</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1E61-4DFD-92A4-5F3AD2BF9D38}"/>
                </c:ext>
              </c:extLst>
            </c:dLbl>
            <c:spPr>
              <a:noFill/>
              <a:ln>
                <a:noFill/>
              </a:ln>
              <a:effectLst/>
            </c:spPr>
            <c:txPr>
              <a:bodyPr rot="-5400000" vert="horz" anchor="b" anchorCtr="0"/>
              <a:lstStyle/>
              <a:p>
                <a:pPr>
                  <a:defRPr>
                    <a:latin typeface="Times New Roman" panose="02020603050405020304" pitchFamily="18" charset="0"/>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0"/>
              </c:ext>
            </c:extLst>
          </c:dLbls>
          <c:cat>
            <c:numRef>
              <c:f>Лист1!$A$2:$A$24</c:f>
              <c:numCache>
                <c:formatCode>General</c:formatCode>
                <c:ptCount val="23"/>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numCache>
            </c:numRef>
          </c:cat>
          <c:val>
            <c:numRef>
              <c:f>Лист1!$B$2:$B$24</c:f>
              <c:numCache>
                <c:formatCode>General</c:formatCode>
                <c:ptCount val="23"/>
                <c:pt idx="0">
                  <c:v>72</c:v>
                </c:pt>
                <c:pt idx="1">
                  <c:v>122</c:v>
                </c:pt>
                <c:pt idx="2">
                  <c:v>429</c:v>
                </c:pt>
                <c:pt idx="3">
                  <c:v>813</c:v>
                </c:pt>
                <c:pt idx="4">
                  <c:v>1162</c:v>
                </c:pt>
                <c:pt idx="5">
                  <c:v>1615</c:v>
                </c:pt>
                <c:pt idx="6">
                  <c:v>2277</c:v>
                </c:pt>
                <c:pt idx="7">
                  <c:v>2962</c:v>
                </c:pt>
                <c:pt idx="8">
                  <c:v>3530</c:v>
                </c:pt>
                <c:pt idx="9">
                  <c:v>4002</c:v>
                </c:pt>
                <c:pt idx="10">
                  <c:v>4333</c:v>
                </c:pt>
                <c:pt idx="11">
                  <c:v>4621</c:v>
                </c:pt>
                <c:pt idx="12">
                  <c:v>4869</c:v>
                </c:pt>
                <c:pt idx="13">
                  <c:v>4964</c:v>
                </c:pt>
                <c:pt idx="14">
                  <c:v>4996</c:v>
                </c:pt>
                <c:pt idx="15">
                  <c:v>5043</c:v>
                </c:pt>
                <c:pt idx="16">
                  <c:v>5073</c:v>
                </c:pt>
                <c:pt idx="17">
                  <c:v>5109</c:v>
                </c:pt>
                <c:pt idx="18">
                  <c:v>5139</c:v>
                </c:pt>
                <c:pt idx="19">
                  <c:v>5159</c:v>
                </c:pt>
                <c:pt idx="20">
                  <c:v>5170</c:v>
                </c:pt>
                <c:pt idx="21">
                  <c:v>5192</c:v>
                </c:pt>
                <c:pt idx="22">
                  <c:v>5213</c:v>
                </c:pt>
              </c:numCache>
            </c:numRef>
          </c:val>
          <c:extLst xmlns:c16r2="http://schemas.microsoft.com/office/drawing/2015/06/chart">
            <c:ext xmlns:c16="http://schemas.microsoft.com/office/drawing/2014/chart" uri="{C3380CC4-5D6E-409C-BE32-E72D297353CC}">
              <c16:uniqueId val="{00000017-1E61-4DFD-92A4-5F3AD2BF9D38}"/>
            </c:ext>
          </c:extLst>
        </c:ser>
        <c:marker val="1"/>
        <c:axId val="67910272"/>
        <c:axId val="67506560"/>
      </c:lineChart>
      <c:catAx>
        <c:axId val="6791027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uk-UA"/>
          </a:p>
        </c:txPr>
        <c:crossAx val="67506560"/>
        <c:crosses val="autoZero"/>
        <c:auto val="1"/>
        <c:lblAlgn val="ctr"/>
        <c:lblOffset val="100"/>
      </c:catAx>
      <c:valAx>
        <c:axId val="67506560"/>
        <c:scaling>
          <c:orientation val="minMax"/>
        </c:scaling>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67910272"/>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lineChart>
        <c:grouping val="standard"/>
        <c:ser>
          <c:idx val="0"/>
          <c:order val="0"/>
          <c:tx>
            <c:strRef>
              <c:f>Лист1!$B$1</c:f>
              <c:strCache>
                <c:ptCount val="1"/>
                <c:pt idx="0">
                  <c:v>Кількість створених акціонерних товариств накопичувальним підсумком, од.</c:v>
                </c:pt>
              </c:strCache>
            </c:strRef>
          </c:tx>
          <c:spPr>
            <a:ln w="19050" cap="rnd">
              <a:solidFill>
                <a:schemeClr val="accent1"/>
              </a:solidFill>
              <a:round/>
            </a:ln>
            <a:effectLst/>
          </c:spPr>
          <c:marker>
            <c:symbol val="circle"/>
            <c:size val="4"/>
          </c:marker>
          <c:dLbls>
            <c:dLbl>
              <c:idx val="0"/>
              <c:layout>
                <c:manualLayout>
                  <c:x val="-2.5836279575742003E-2"/>
                  <c:y val="-5.515587529975924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000-4C38-979A-D3D749E2DCF6}"/>
                </c:ext>
              </c:extLst>
            </c:dLbl>
            <c:dLbl>
              <c:idx val="1"/>
              <c:layout>
                <c:manualLayout>
                  <c:x val="-2.1906306148568679E-2"/>
                  <c:y val="-4.3367767268439113E-2"/>
                </c:manualLayout>
              </c:layout>
              <c:tx>
                <c:rich>
                  <a:bodyPr/>
                  <a:lstStyle/>
                  <a:p>
                    <a:r>
                      <a:rPr lang="en-US"/>
                      <a:t>1 141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000-4C38-979A-D3D749E2DCF6}"/>
                </c:ext>
              </c:extLst>
            </c:dLbl>
            <c:dLbl>
              <c:idx val="2"/>
              <c:layout>
                <c:manualLayout>
                  <c:x val="-2.8735186830811683E-2"/>
                  <c:y val="-3.8874685857790234E-2"/>
                </c:manualLayout>
              </c:layout>
              <c:tx>
                <c:rich>
                  <a:bodyPr/>
                  <a:lstStyle/>
                  <a:p>
                    <a:r>
                      <a:rPr lang="en-US"/>
                      <a:t>2 969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000-4C38-979A-D3D749E2DCF6}"/>
                </c:ext>
              </c:extLst>
            </c:dLbl>
            <c:dLbl>
              <c:idx val="3"/>
              <c:layout>
                <c:manualLayout>
                  <c:x val="-2.9915692140331789E-2"/>
                  <c:y val="-4.0767386091127122E-2"/>
                </c:manualLayout>
              </c:layout>
              <c:tx>
                <c:rich>
                  <a:bodyPr/>
                  <a:lstStyle/>
                  <a:p>
                    <a:r>
                      <a:rPr lang="en-US"/>
                      <a:t>6 090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000-4C38-979A-D3D749E2DCF6}"/>
                </c:ext>
              </c:extLst>
            </c:dLbl>
            <c:dLbl>
              <c:idx val="4"/>
              <c:layout>
                <c:manualLayout>
                  <c:x val="-2.4625941494801486E-2"/>
                  <c:y val="-4.3165377843332034E-2"/>
                </c:manualLayout>
              </c:layout>
              <c:tx>
                <c:rich>
                  <a:bodyPr/>
                  <a:lstStyle/>
                  <a:p>
                    <a:r>
                      <a:rPr lang="en-US"/>
                      <a:t>9 099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000-4C38-979A-D3D749E2DCF6}"/>
                </c:ext>
              </c:extLst>
            </c:dLbl>
            <c:dLbl>
              <c:idx val="5"/>
              <c:layout>
                <c:manualLayout>
                  <c:x val="-1.9306258941621929E-2"/>
                  <c:y val="-5.2960013167068963E-2"/>
                </c:manualLayout>
              </c:layout>
              <c:tx>
                <c:rich>
                  <a:bodyPr/>
                  <a:lstStyle/>
                  <a:p>
                    <a:r>
                      <a:rPr lang="en-US"/>
                      <a:t>10 278</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000-4C38-979A-D3D749E2DCF6}"/>
                </c:ext>
              </c:extLst>
            </c:dLbl>
            <c:dLbl>
              <c:idx val="6"/>
              <c:layout>
                <c:manualLayout>
                  <c:x val="-1.7946388909425282E-2"/>
                  <c:y val="-5.1168351285823976E-2"/>
                </c:manualLayout>
              </c:layout>
              <c:tx>
                <c:rich>
                  <a:bodyPr/>
                  <a:lstStyle/>
                  <a:p>
                    <a:r>
                      <a:rPr lang="en-US"/>
                      <a:t>11 062</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8000-4C38-979A-D3D749E2DCF6}"/>
                </c:ext>
              </c:extLst>
            </c:dLbl>
            <c:dLbl>
              <c:idx val="7"/>
              <c:layout>
                <c:manualLayout>
                  <c:x val="-1.3986576388442839E-2"/>
                  <c:y val="-5.0561906475828582E-2"/>
                </c:manualLayout>
              </c:layout>
              <c:tx>
                <c:rich>
                  <a:bodyPr/>
                  <a:lstStyle/>
                  <a:p>
                    <a:r>
                      <a:rPr lang="en-US"/>
                      <a:t>11 305</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8000-4C38-979A-D3D749E2DCF6}"/>
                </c:ext>
              </c:extLst>
            </c:dLbl>
            <c:dLbl>
              <c:idx val="8"/>
              <c:layout>
                <c:manualLayout>
                  <c:x val="-1.7916648951844198E-2"/>
                  <c:y val="-4.8062695505200932E-2"/>
                </c:manualLayout>
              </c:layout>
              <c:tx>
                <c:rich>
                  <a:bodyPr/>
                  <a:lstStyle/>
                  <a:p>
                    <a:r>
                      <a:rPr lang="en-US"/>
                      <a:t>11 436</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8000-4C38-979A-D3D749E2DCF6}"/>
                </c:ext>
              </c:extLst>
            </c:dLbl>
            <c:dLbl>
              <c:idx val="9"/>
              <c:layout>
                <c:manualLayout>
                  <c:x val="-1.9276309547720263E-2"/>
                  <c:y val="-5.0561906475828582E-2"/>
                </c:manualLayout>
              </c:layout>
              <c:tx>
                <c:rich>
                  <a:bodyPr/>
                  <a:lstStyle/>
                  <a:p>
                    <a:r>
                      <a:rPr lang="en-US"/>
                      <a:t>11 468</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8000-4C38-979A-D3D749E2DCF6}"/>
                </c:ext>
              </c:extLst>
            </c:dLbl>
            <c:dLbl>
              <c:idx val="10"/>
              <c:layout>
                <c:manualLayout>
                  <c:x val="-1.9425742362747481E-2"/>
                  <c:y val="-5.0865038447660472E-2"/>
                </c:manualLayout>
              </c:layout>
              <c:tx>
                <c:rich>
                  <a:bodyPr/>
                  <a:lstStyle/>
                  <a:p>
                    <a:r>
                      <a:rPr lang="en-US"/>
                      <a:t>11 475</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8000-4C38-979A-D3D749E2DCF6}"/>
                </c:ext>
              </c:extLst>
            </c:dLbl>
            <c:dLbl>
              <c:idx val="11"/>
              <c:layout>
                <c:manualLayout>
                  <c:x val="-1.7946388909425282E-2"/>
                  <c:y val="-5.0460802196440731E-2"/>
                </c:manualLayout>
              </c:layout>
              <c:tx>
                <c:rich>
                  <a:bodyPr/>
                  <a:lstStyle/>
                  <a:p>
                    <a:r>
                      <a:rPr lang="en-US"/>
                      <a:t>11 484</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8000-4C38-979A-D3D749E2DCF6}"/>
                </c:ext>
              </c:extLst>
            </c:dLbl>
            <c:dLbl>
              <c:idx val="12"/>
              <c:layout>
                <c:manualLayout>
                  <c:x val="-1.7856750164040997E-2"/>
                  <c:y val="-5.0157489358277324E-2"/>
                </c:manualLayout>
              </c:layout>
              <c:tx>
                <c:rich>
                  <a:bodyPr/>
                  <a:lstStyle/>
                  <a:p>
                    <a:r>
                      <a:rPr lang="en-US"/>
                      <a:t>11 488</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8000-4C38-979A-D3D749E2DCF6}"/>
                </c:ext>
              </c:extLst>
            </c:dLbl>
            <c:dLbl>
              <c:idx val="13"/>
              <c:layout>
                <c:manualLayout>
                  <c:x val="-1.5256702957093891E-2"/>
                  <c:y val="-4.5563484534572193E-2"/>
                </c:manualLayout>
              </c:layout>
              <c:tx>
                <c:rich>
                  <a:bodyPr/>
                  <a:lstStyle/>
                  <a:p>
                    <a:r>
                      <a:rPr lang="en-US"/>
                      <a:t>11 500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8000-4C38-979A-D3D749E2DCF6}"/>
                </c:ext>
              </c:extLst>
            </c:dLbl>
            <c:dLbl>
              <c:idx val="14"/>
              <c:layout>
                <c:manualLayout>
                  <c:x val="-1.5376186378219799E-2"/>
                  <c:y val="-5.2757804608293414E-2"/>
                </c:manualLayout>
              </c:layout>
              <c:tx>
                <c:rich>
                  <a:bodyPr/>
                  <a:lstStyle/>
                  <a:p>
                    <a:r>
                      <a:rPr lang="en-US"/>
                      <a:t>11 507</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8000-4C38-979A-D3D749E2DCF6}"/>
                </c:ext>
              </c:extLst>
            </c:dLbl>
            <c:dLbl>
              <c:idx val="15"/>
              <c:layout>
                <c:manualLayout>
                  <c:x val="-1.8006182979068211E-2"/>
                  <c:y val="-4.5563484534572193E-2"/>
                </c:manualLayout>
              </c:layout>
              <c:tx>
                <c:rich>
                  <a:bodyPr/>
                  <a:lstStyle/>
                  <a:p>
                    <a:r>
                      <a:rPr lang="en-US"/>
                      <a:t>11 513</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8000-4C38-979A-D3D749E2DCF6}"/>
                </c:ext>
              </c:extLst>
            </c:dLbl>
            <c:dLbl>
              <c:idx val="16"/>
              <c:layout>
                <c:manualLayout>
                  <c:x val="-1.6736056410416443E-2"/>
                  <c:y val="-4.8062695505200932E-2"/>
                </c:manualLayout>
              </c:layout>
              <c:tx>
                <c:rich>
                  <a:bodyPr/>
                  <a:lstStyle/>
                  <a:p>
                    <a:r>
                      <a:rPr lang="en-US"/>
                      <a:t>11 518</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8000-4C38-979A-D3D749E2DCF6}"/>
                </c:ext>
              </c:extLst>
            </c:dLbl>
            <c:dLbl>
              <c:idx val="17"/>
              <c:layout>
                <c:manualLayout>
                  <c:x val="-1.4016421064183561E-2"/>
                  <c:y val="-4.7961591225812533E-2"/>
                </c:manualLayout>
              </c:layout>
              <c:tx>
                <c:rich>
                  <a:bodyPr/>
                  <a:lstStyle/>
                  <a:p>
                    <a:r>
                      <a:rPr lang="en-US"/>
                      <a:t>11 535</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8000-4C38-979A-D3D749E2DCF6}"/>
                </c:ext>
              </c:extLst>
            </c:dLbl>
            <c:dLbl>
              <c:idx val="18"/>
              <c:layout>
                <c:manualLayout>
                  <c:x val="-1.9336208335523689E-2"/>
                  <c:y val="-4.6372137903344594E-2"/>
                </c:manualLayout>
              </c:layout>
              <c:tx>
                <c:rich>
                  <a:bodyPr/>
                  <a:lstStyle/>
                  <a:p>
                    <a:r>
                      <a:rPr lang="en-US"/>
                      <a:t>11 543</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8000-4C38-979A-D3D749E2DCF6}"/>
                </c:ext>
              </c:extLst>
            </c:dLbl>
            <c:dLbl>
              <c:idx val="19"/>
              <c:layout>
                <c:manualLayout>
                  <c:x val="-1.6706107016515287E-2"/>
                  <c:y val="-4.5260352562740247E-2"/>
                </c:manualLayout>
              </c:layout>
              <c:tx>
                <c:rich>
                  <a:bodyPr/>
                  <a:lstStyle/>
                  <a:p>
                    <a:r>
                      <a:rPr lang="en-US"/>
                      <a:t>11 545</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8000-4C38-979A-D3D749E2DCF6}"/>
                </c:ext>
              </c:extLst>
            </c:dLbl>
            <c:dLbl>
              <c:idx val="20"/>
              <c:layout>
                <c:manualLayout>
                  <c:x val="-1.2727948656735507E-2"/>
                  <c:y val="-4.7961591008022129E-2"/>
                </c:manualLayout>
              </c:layout>
              <c:tx>
                <c:rich>
                  <a:bodyPr/>
                  <a:lstStyle/>
                  <a:p>
                    <a:r>
                      <a:rPr lang="en-US"/>
                      <a:t>11 556</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8000-4C38-979A-D3D749E2DCF6}"/>
                </c:ext>
              </c:extLst>
            </c:dLbl>
            <c:dLbl>
              <c:idx val="21"/>
              <c:layout>
                <c:manualLayout>
                  <c:x val="-1.5509299959730169E-2"/>
                  <c:y val="-4.5563614892967626E-2"/>
                </c:manualLayout>
              </c:layout>
              <c:tx>
                <c:rich>
                  <a:bodyPr/>
                  <a:lstStyle/>
                  <a:p>
                    <a:r>
                      <a:rPr lang="en-US"/>
                      <a:t>11 559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8000-4C38-979A-D3D749E2DCF6}"/>
                </c:ext>
              </c:extLst>
            </c:dLbl>
            <c:dLbl>
              <c:idx val="22"/>
              <c:layout>
                <c:manualLayout>
                  <c:x val="-3.3995104704922494E-2"/>
                  <c:y val="-3.597122302158274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8000-4C38-979A-D3D749E2DCF6}"/>
                </c:ext>
              </c:extLst>
            </c:dLbl>
            <c:spPr>
              <a:noFill/>
              <a:ln>
                <a:noFill/>
              </a:ln>
              <a:effectLst/>
            </c:spPr>
            <c:txPr>
              <a:bodyPr rot="-540000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Лист1!$A$2:$A$23</c:f>
              <c:strCache>
                <c:ptCount val="22"/>
                <c:pt idx="0">
                  <c:v>1992-1995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strCache>
            </c:strRef>
          </c:cat>
          <c:val>
            <c:numRef>
              <c:f>Лист1!$B$2:$B$23</c:f>
              <c:numCache>
                <c:formatCode>General</c:formatCode>
                <c:ptCount val="22"/>
                <c:pt idx="0">
                  <c:v>340</c:v>
                </c:pt>
                <c:pt idx="1">
                  <c:v>1141</c:v>
                </c:pt>
                <c:pt idx="2">
                  <c:v>2969</c:v>
                </c:pt>
                <c:pt idx="3">
                  <c:v>6090</c:v>
                </c:pt>
                <c:pt idx="4">
                  <c:v>9099</c:v>
                </c:pt>
                <c:pt idx="5">
                  <c:v>10278</c:v>
                </c:pt>
                <c:pt idx="6">
                  <c:v>11062</c:v>
                </c:pt>
                <c:pt idx="7">
                  <c:v>11305</c:v>
                </c:pt>
                <c:pt idx="8">
                  <c:v>11436</c:v>
                </c:pt>
                <c:pt idx="9">
                  <c:v>11468</c:v>
                </c:pt>
                <c:pt idx="10">
                  <c:v>11475</c:v>
                </c:pt>
                <c:pt idx="11">
                  <c:v>11484</c:v>
                </c:pt>
                <c:pt idx="12">
                  <c:v>11488</c:v>
                </c:pt>
                <c:pt idx="13">
                  <c:v>11500</c:v>
                </c:pt>
                <c:pt idx="14">
                  <c:v>11507</c:v>
                </c:pt>
                <c:pt idx="15">
                  <c:v>11513</c:v>
                </c:pt>
                <c:pt idx="16">
                  <c:v>11518</c:v>
                </c:pt>
                <c:pt idx="17">
                  <c:v>11535</c:v>
                </c:pt>
                <c:pt idx="18">
                  <c:v>11543</c:v>
                </c:pt>
                <c:pt idx="19">
                  <c:v>11545</c:v>
                </c:pt>
                <c:pt idx="20">
                  <c:v>11556</c:v>
                </c:pt>
                <c:pt idx="21">
                  <c:v>11559</c:v>
                </c:pt>
              </c:numCache>
            </c:numRef>
          </c:val>
          <c:extLst xmlns:c16r2="http://schemas.microsoft.com/office/drawing/2015/06/chart">
            <c:ext xmlns:c16="http://schemas.microsoft.com/office/drawing/2014/chart" uri="{C3380CC4-5D6E-409C-BE32-E72D297353CC}">
              <c16:uniqueId val="{00000017-8000-4C38-979A-D3D749E2DCF6}"/>
            </c:ext>
          </c:extLst>
        </c:ser>
        <c:marker val="1"/>
        <c:axId val="68212224"/>
        <c:axId val="68213760"/>
      </c:lineChart>
      <c:catAx>
        <c:axId val="6821222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uk-UA"/>
          </a:p>
        </c:txPr>
        <c:crossAx val="68213760"/>
        <c:crosses val="autoZero"/>
        <c:auto val="1"/>
        <c:lblAlgn val="ctr"/>
        <c:lblOffset val="100"/>
      </c:catAx>
      <c:valAx>
        <c:axId val="68213760"/>
        <c:scaling>
          <c:orientation val="minMax"/>
        </c:scaling>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68212224"/>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lineChart>
        <c:grouping val="standard"/>
        <c:ser>
          <c:idx val="0"/>
          <c:order val="0"/>
          <c:tx>
            <c:strRef>
              <c:f>Лист1!$B$1</c:f>
              <c:strCache>
                <c:ptCount val="1"/>
                <c:pt idx="0">
                  <c:v>Кількість створених акціонерних товариств накопичувальним підсумком, од.</c:v>
                </c:pt>
              </c:strCache>
            </c:strRef>
          </c:tx>
          <c:spPr>
            <a:ln w="19050" cap="rnd">
              <a:solidFill>
                <a:schemeClr val="accent1"/>
              </a:solidFill>
              <a:round/>
            </a:ln>
            <a:effectLst/>
          </c:spPr>
          <c:marker>
            <c:symbol val="circle"/>
            <c:size val="4"/>
          </c:marker>
          <c:dLbls>
            <c:dLbl>
              <c:idx val="0"/>
              <c:layout>
                <c:manualLayout>
                  <c:x val="-1.5157546006208611E-2"/>
                  <c:y val="-5.5155795635394966E-2"/>
                </c:manualLayout>
              </c:layout>
              <c:tx>
                <c:rich>
                  <a:bodyPr/>
                  <a:lstStyle/>
                  <a:p>
                    <a:r>
                      <a:rPr lang="en-US"/>
                      <a:t>1 202,6</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6EF-4368-B4B9-2DC2BA86452C}"/>
                </c:ext>
              </c:extLst>
            </c:dLbl>
            <c:dLbl>
              <c:idx val="1"/>
              <c:layout>
                <c:manualLayout>
                  <c:x val="-1.6542317513654582E-2"/>
                  <c:y val="-5.0267003804693122E-2"/>
                </c:manualLayout>
              </c:layout>
              <c:tx>
                <c:rich>
                  <a:bodyPr/>
                  <a:lstStyle/>
                  <a:p>
                    <a:r>
                      <a:rPr lang="en-US"/>
                      <a:t>3 278,1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6EF-4368-B4B9-2DC2BA86452C}"/>
                </c:ext>
              </c:extLst>
            </c:dLbl>
            <c:dLbl>
              <c:idx val="2"/>
              <c:layout>
                <c:manualLayout>
                  <c:x val="-1.535714229407502E-2"/>
                  <c:y val="-5.4970816285371399E-2"/>
                </c:manualLayout>
              </c:layout>
              <c:tx>
                <c:rich>
                  <a:bodyPr/>
                  <a:lstStyle/>
                  <a:p>
                    <a:r>
                      <a:rPr lang="en-US"/>
                      <a:t>5 410,1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6EF-4368-B4B9-2DC2BA86452C}"/>
                </c:ext>
              </c:extLst>
            </c:dLbl>
            <c:dLbl>
              <c:idx val="3"/>
              <c:layout>
                <c:manualLayout>
                  <c:x val="-1.523238147590892E-2"/>
                  <c:y val="-4.9989080953972413E-2"/>
                </c:manualLayout>
              </c:layout>
              <c:tx>
                <c:rich>
                  <a:bodyPr/>
                  <a:lstStyle/>
                  <a:p>
                    <a:r>
                      <a:rPr lang="en-US"/>
                      <a:t>5 986,2</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6EF-4368-B4B9-2DC2BA86452C}"/>
                </c:ext>
              </c:extLst>
            </c:dLbl>
            <c:dLbl>
              <c:idx val="4"/>
              <c:layout>
                <c:manualLayout>
                  <c:x val="-2.1931522392044316E-2"/>
                  <c:y val="-5.4691078131900994E-2"/>
                </c:manualLayout>
              </c:layout>
              <c:tx>
                <c:rich>
                  <a:bodyPr/>
                  <a:lstStyle/>
                  <a:p>
                    <a:r>
                      <a:rPr lang="en-US"/>
                      <a:t>8 001,9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6EF-4368-B4B9-2DC2BA86452C}"/>
                </c:ext>
              </c:extLst>
            </c:dLbl>
            <c:dLbl>
              <c:idx val="5"/>
              <c:layout>
                <c:manualLayout>
                  <c:x val="-2.860575318694521E-2"/>
                  <c:y val="-5.2942941585554397E-2"/>
                </c:manualLayout>
              </c:layout>
              <c:tx>
                <c:rich>
                  <a:bodyPr/>
                  <a:lstStyle/>
                  <a:p>
                    <a:r>
                      <a:rPr lang="en-US"/>
                      <a:t>17 416,8</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6EF-4368-B4B9-2DC2BA86452C}"/>
                </c:ext>
              </c:extLst>
            </c:dLbl>
            <c:dLbl>
              <c:idx val="6"/>
              <c:layout>
                <c:manualLayout>
                  <c:x val="-1.7902073793869787E-2"/>
                  <c:y val="-5.5711822867114583E-2"/>
                </c:manualLayout>
              </c:layout>
              <c:tx>
                <c:rich>
                  <a:bodyPr/>
                  <a:lstStyle/>
                  <a:p>
                    <a:r>
                      <a:rPr lang="en-US"/>
                      <a:t>38 116</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86EF-4368-B4B9-2DC2BA86452C}"/>
                </c:ext>
              </c:extLst>
            </c:dLbl>
            <c:dLbl>
              <c:idx val="7"/>
              <c:layout>
                <c:manualLayout>
                  <c:x val="-1.7927089021100562E-2"/>
                  <c:y val="-6.4377533595354086E-2"/>
                </c:manualLayout>
              </c:layout>
              <c:tx>
                <c:rich>
                  <a:bodyPr/>
                  <a:lstStyle/>
                  <a:p>
                    <a:r>
                      <a:rPr lang="en-US"/>
                      <a:t>38 638,9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86EF-4368-B4B9-2DC2BA86452C}"/>
                </c:ext>
              </c:extLst>
            </c:dLbl>
            <c:dLbl>
              <c:idx val="8"/>
              <c:layout>
                <c:manualLayout>
                  <c:x val="-1.6542317513654582E-2"/>
                  <c:y val="-5.2665200265106814E-2"/>
                </c:manualLayout>
              </c:layout>
              <c:tx>
                <c:rich>
                  <a:bodyPr/>
                  <a:lstStyle/>
                  <a:p>
                    <a:r>
                      <a:rPr lang="en-US"/>
                      <a:t>41 097,2</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86EF-4368-B4B9-2DC2BA86452C}"/>
                </c:ext>
              </c:extLst>
            </c:dLbl>
            <c:dLbl>
              <c:idx val="9"/>
              <c:layout>
                <c:manualLayout>
                  <c:x val="-1.3897535316929199E-2"/>
                  <c:y val="-5.7461230125384934E-2"/>
                </c:manualLayout>
              </c:layout>
              <c:tx>
                <c:rich>
                  <a:bodyPr/>
                  <a:lstStyle/>
                  <a:p>
                    <a:r>
                      <a:rPr lang="en-US"/>
                      <a:t>41 577,9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86EF-4368-B4B9-2DC2BA86452C}"/>
                </c:ext>
              </c:extLst>
            </c:dLbl>
            <c:dLbl>
              <c:idx val="10"/>
              <c:layout>
                <c:manualLayout>
                  <c:x val="-1.535714229407502E-2"/>
                  <c:y val="-6.0044768996371754E-2"/>
                </c:manualLayout>
              </c:layout>
              <c:tx>
                <c:rich>
                  <a:bodyPr/>
                  <a:lstStyle/>
                  <a:p>
                    <a:r>
                      <a:rPr lang="en-US"/>
                      <a:t>42 385,1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86EF-4368-B4B9-2DC2BA86452C}"/>
                </c:ext>
              </c:extLst>
            </c:dLbl>
            <c:dLbl>
              <c:idx val="11"/>
              <c:layout>
                <c:manualLayout>
                  <c:x val="-2.1906612270810012E-2"/>
                  <c:y val="-5.7367378973312032E-2"/>
                </c:manualLayout>
              </c:layout>
              <c:tx>
                <c:rich>
                  <a:bodyPr/>
                  <a:lstStyle/>
                  <a:p>
                    <a:r>
                      <a:rPr lang="en-US"/>
                      <a:t>43 478,6</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86EF-4368-B4B9-2DC2BA86452C}"/>
                </c:ext>
              </c:extLst>
            </c:dLbl>
            <c:dLbl>
              <c:idx val="12"/>
              <c:layout>
                <c:manualLayout>
                  <c:x val="-2.0496930642130005E-2"/>
                  <c:y val="-5.0174423364543863E-2"/>
                </c:manualLayout>
              </c:layout>
              <c:tx>
                <c:rich>
                  <a:bodyPr/>
                  <a:lstStyle/>
                  <a:p>
                    <a:r>
                      <a:rPr lang="en-US"/>
                      <a:t>54 959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86EF-4368-B4B9-2DC2BA86452C}"/>
                </c:ext>
              </c:extLst>
            </c:dLbl>
            <c:dLbl>
              <c:idx val="13"/>
              <c:layout>
                <c:manualLayout>
                  <c:x val="-1.6542317513654582E-2"/>
                  <c:y val="-5.9396342854779891E-2"/>
                </c:manualLayout>
              </c:layout>
              <c:tx>
                <c:rich>
                  <a:bodyPr/>
                  <a:lstStyle/>
                  <a:p>
                    <a:r>
                      <a:rPr lang="en-US"/>
                      <a:t>61 722,3</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86EF-4368-B4B9-2DC2BA86452C}"/>
                </c:ext>
              </c:extLst>
            </c:dLbl>
            <c:dLbl>
              <c:idx val="14"/>
              <c:layout>
                <c:manualLayout>
                  <c:x val="-1.6642168210586835E-2"/>
                  <c:y val="-5.5063215195247123E-2"/>
                </c:manualLayout>
              </c:layout>
              <c:tx>
                <c:rich>
                  <a:bodyPr/>
                  <a:lstStyle/>
                  <a:p>
                    <a:r>
                      <a:rPr lang="en-US"/>
                      <a:t>63 202,2</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86EF-4368-B4B9-2DC2BA86452C}"/>
                </c:ext>
              </c:extLst>
            </c:dLbl>
            <c:dLbl>
              <c:idx val="15"/>
              <c:layout>
                <c:manualLayout>
                  <c:x val="-1.661715298335489E-2"/>
                  <c:y val="-4.7868988874554062E-2"/>
                </c:manualLayout>
              </c:layout>
              <c:tx>
                <c:rich>
                  <a:bodyPr/>
                  <a:lstStyle/>
                  <a:p>
                    <a:r>
                      <a:rPr lang="en-US"/>
                      <a:t>63 669,1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86EF-4368-B4B9-2DC2BA86452C}"/>
                </c:ext>
              </c:extLst>
            </c:dLbl>
            <c:dLbl>
              <c:idx val="16"/>
              <c:layout>
                <c:manualLayout>
                  <c:x val="-1.5332232172840089E-2"/>
                  <c:y val="-5.0359765775116985E-2"/>
                </c:manualLayout>
              </c:layout>
              <c:tx>
                <c:rich>
                  <a:bodyPr/>
                  <a:lstStyle/>
                  <a:p>
                    <a:r>
                      <a:rPr lang="en-US"/>
                      <a:t>63 820,6</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86EF-4368-B4B9-2DC2BA86452C}"/>
                </c:ext>
              </c:extLst>
            </c:dLbl>
            <c:dLbl>
              <c:idx val="17"/>
              <c:layout>
                <c:manualLayout>
                  <c:x val="-1.661715298335489E-2"/>
                  <c:y val="-4.7961569314703294E-2"/>
                </c:manualLayout>
              </c:layout>
              <c:tx>
                <c:rich>
                  <a:bodyPr/>
                  <a:lstStyle/>
                  <a:p>
                    <a:r>
                      <a:rPr lang="en-US"/>
                      <a:t>64 009,5</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86EF-4368-B4B9-2DC2BA86452C}"/>
                </c:ext>
              </c:extLst>
            </c:dLbl>
            <c:dLbl>
              <c:idx val="18"/>
              <c:layout>
                <c:manualLayout>
                  <c:x val="-3.2635300516727687E-2"/>
                  <c:y val="-6.474820143884943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86EF-4368-B4B9-2DC2BA86452C}"/>
                </c:ext>
              </c:extLst>
            </c:dLbl>
            <c:dLbl>
              <c:idx val="19"/>
              <c:layout>
                <c:manualLayout>
                  <c:x val="-3.3995104704922591E-2"/>
                  <c:y val="-3.836930455635490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86EF-4368-B4B9-2DC2BA86452C}"/>
                </c:ext>
              </c:extLst>
            </c:dLbl>
            <c:dLbl>
              <c:idx val="20"/>
              <c:layout>
                <c:manualLayout>
                  <c:x val="-2.9915692140331993E-2"/>
                  <c:y val="-4.796163069544403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86EF-4368-B4B9-2DC2BA86452C}"/>
                </c:ext>
              </c:extLst>
            </c:dLbl>
            <c:dLbl>
              <c:idx val="21"/>
              <c:layout>
                <c:manualLayout>
                  <c:x val="-2.9915692140331789E-2"/>
                  <c:y val="-4.556354916067148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86EF-4368-B4B9-2DC2BA86452C}"/>
                </c:ext>
              </c:extLst>
            </c:dLbl>
            <c:dLbl>
              <c:idx val="22"/>
              <c:layout>
                <c:manualLayout>
                  <c:x val="-3.3995104704922494E-2"/>
                  <c:y val="-3.597122302158274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86EF-4368-B4B9-2DC2BA86452C}"/>
                </c:ext>
              </c:extLst>
            </c:dLbl>
            <c:spPr>
              <a:noFill/>
              <a:ln>
                <a:noFill/>
              </a:ln>
              <a:effectLst/>
            </c:spPr>
            <c:txPr>
              <a:bodyPr rot="-540000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Лист1!$A$2:$A$19</c:f>
              <c:strCache>
                <c:ptCount val="18"/>
                <c:pt idx="0">
                  <c:v>1992-1999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strCache>
            </c:strRef>
          </c:cat>
          <c:val>
            <c:numRef>
              <c:f>Лист1!$B$2:$B$19</c:f>
              <c:numCache>
                <c:formatCode>General</c:formatCode>
                <c:ptCount val="18"/>
                <c:pt idx="0">
                  <c:v>1202.5999999999999</c:v>
                </c:pt>
                <c:pt idx="1">
                  <c:v>3278.1</c:v>
                </c:pt>
                <c:pt idx="2">
                  <c:v>5410.1</c:v>
                </c:pt>
                <c:pt idx="3">
                  <c:v>5986.2</c:v>
                </c:pt>
                <c:pt idx="4">
                  <c:v>8001.9</c:v>
                </c:pt>
                <c:pt idx="5">
                  <c:v>17416.8</c:v>
                </c:pt>
                <c:pt idx="6">
                  <c:v>38116</c:v>
                </c:pt>
                <c:pt idx="7">
                  <c:v>38638.9</c:v>
                </c:pt>
                <c:pt idx="8">
                  <c:v>41097.199999999997</c:v>
                </c:pt>
                <c:pt idx="9">
                  <c:v>41577.9</c:v>
                </c:pt>
                <c:pt idx="10">
                  <c:v>42385.1</c:v>
                </c:pt>
                <c:pt idx="11">
                  <c:v>43478.6</c:v>
                </c:pt>
                <c:pt idx="12">
                  <c:v>54959</c:v>
                </c:pt>
                <c:pt idx="13">
                  <c:v>61722.3</c:v>
                </c:pt>
                <c:pt idx="14">
                  <c:v>63202.2</c:v>
                </c:pt>
                <c:pt idx="15">
                  <c:v>63669.1</c:v>
                </c:pt>
                <c:pt idx="16">
                  <c:v>63820.6</c:v>
                </c:pt>
                <c:pt idx="17">
                  <c:v>64009.5</c:v>
                </c:pt>
              </c:numCache>
            </c:numRef>
          </c:val>
          <c:extLst xmlns:c16r2="http://schemas.microsoft.com/office/drawing/2015/06/chart">
            <c:ext xmlns:c16="http://schemas.microsoft.com/office/drawing/2014/chart" uri="{C3380CC4-5D6E-409C-BE32-E72D297353CC}">
              <c16:uniqueId val="{00000017-86EF-4368-B4B9-2DC2BA86452C}"/>
            </c:ext>
          </c:extLst>
        </c:ser>
        <c:marker val="1"/>
        <c:axId val="68186496"/>
        <c:axId val="68188032"/>
      </c:lineChart>
      <c:catAx>
        <c:axId val="6818649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uk-UA"/>
          </a:p>
        </c:txPr>
        <c:crossAx val="68188032"/>
        <c:crosses val="autoZero"/>
        <c:auto val="1"/>
        <c:lblAlgn val="ctr"/>
        <c:lblOffset val="100"/>
      </c:catAx>
      <c:valAx>
        <c:axId val="68188032"/>
        <c:scaling>
          <c:orientation val="minMax"/>
        </c:scaling>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6818649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barChart>
        <c:barDir val="col"/>
        <c:grouping val="clustered"/>
        <c:ser>
          <c:idx val="0"/>
          <c:order val="0"/>
          <c:tx>
            <c:strRef>
              <c:f>Лист1!$B$1</c:f>
              <c:strCache>
                <c:ptCount val="1"/>
                <c:pt idx="0">
                  <c:v>Планові надходження коштів від оренди державного майна, млн грн</c:v>
                </c:pt>
              </c:strCache>
            </c:strRef>
          </c:tx>
          <c:spPr>
            <a:solidFill>
              <a:schemeClr val="accent2">
                <a:lumMod val="60000"/>
                <a:lumOff val="40000"/>
              </a:schemeClr>
            </a:solidFill>
            <a:ln>
              <a:noFill/>
            </a:ln>
            <a:effectLst/>
            <a:scene3d>
              <a:camera prst="orthographicFront"/>
              <a:lightRig rig="threePt" dir="t"/>
            </a:scene3d>
            <a:sp3d>
              <a:bevelT/>
            </a:sp3d>
          </c:spPr>
          <c:dLbls>
            <c:spPr>
              <a:noFill/>
              <a:ln>
                <a:noFill/>
              </a:ln>
              <a:effectLst/>
              <a:scene3d>
                <a:camera prst="orthographicFront"/>
                <a:lightRig rig="threePt" dir="t"/>
              </a:scene3d>
              <a:sp3d>
                <a:bevelT w="6350"/>
              </a:sp3d>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Лист1!$A$2:$A$18</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Лист1!$B$2:$B$18</c:f>
              <c:numCache>
                <c:formatCode>General</c:formatCode>
                <c:ptCount val="17"/>
                <c:pt idx="0">
                  <c:v>19.2</c:v>
                </c:pt>
                <c:pt idx="1">
                  <c:v>52</c:v>
                </c:pt>
                <c:pt idx="2">
                  <c:v>100</c:v>
                </c:pt>
                <c:pt idx="3">
                  <c:v>147.5</c:v>
                </c:pt>
                <c:pt idx="4">
                  <c:v>165</c:v>
                </c:pt>
                <c:pt idx="5">
                  <c:v>158</c:v>
                </c:pt>
                <c:pt idx="6">
                  <c:v>280</c:v>
                </c:pt>
                <c:pt idx="7">
                  <c:v>310</c:v>
                </c:pt>
                <c:pt idx="8">
                  <c:v>550</c:v>
                </c:pt>
                <c:pt idx="9">
                  <c:v>555.5</c:v>
                </c:pt>
                <c:pt idx="10">
                  <c:v>650</c:v>
                </c:pt>
                <c:pt idx="11">
                  <c:v>655</c:v>
                </c:pt>
                <c:pt idx="12">
                  <c:v>830</c:v>
                </c:pt>
                <c:pt idx="13">
                  <c:v>835</c:v>
                </c:pt>
                <c:pt idx="14">
                  <c:v>794.2</c:v>
                </c:pt>
                <c:pt idx="15">
                  <c:v>544</c:v>
                </c:pt>
                <c:pt idx="16">
                  <c:v>615</c:v>
                </c:pt>
              </c:numCache>
            </c:numRef>
          </c:val>
          <c:extLst xmlns:c16r2="http://schemas.microsoft.com/office/drawing/2015/06/chart">
            <c:ext xmlns:c16="http://schemas.microsoft.com/office/drawing/2014/chart" uri="{C3380CC4-5D6E-409C-BE32-E72D297353CC}">
              <c16:uniqueId val="{00000000-23BE-40DE-B73F-83E5BC30915E}"/>
            </c:ext>
          </c:extLst>
        </c:ser>
        <c:ser>
          <c:idx val="1"/>
          <c:order val="1"/>
          <c:tx>
            <c:strRef>
              <c:f>Лист1!$C$1</c:f>
              <c:strCache>
                <c:ptCount val="1"/>
                <c:pt idx="0">
                  <c:v>Фактичні надходження коштів від оренди державного майна, млн грн</c:v>
                </c:pt>
              </c:strCache>
            </c:strRef>
          </c:tx>
          <c:spPr>
            <a:solidFill>
              <a:schemeClr val="accent1">
                <a:lumMod val="60000"/>
                <a:lumOff val="40000"/>
              </a:schemeClr>
            </a:solidFill>
            <a:ln>
              <a:noFill/>
            </a:ln>
            <a:effectLst>
              <a:softEdge rad="63500"/>
            </a:effectLst>
            <a:scene3d>
              <a:camera prst="orthographicFront"/>
              <a:lightRig rig="threePt" dir="t"/>
            </a:scene3d>
            <a:sp3d>
              <a:bevelT/>
            </a:sp3d>
          </c:spPr>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Лист1!$A$2:$A$18</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Лист1!$C$2:$C$18</c:f>
              <c:numCache>
                <c:formatCode>General</c:formatCode>
                <c:ptCount val="17"/>
                <c:pt idx="0">
                  <c:v>47.8</c:v>
                </c:pt>
                <c:pt idx="1">
                  <c:v>80</c:v>
                </c:pt>
                <c:pt idx="2">
                  <c:v>118</c:v>
                </c:pt>
                <c:pt idx="3">
                  <c:v>161.69999999999999</c:v>
                </c:pt>
                <c:pt idx="4">
                  <c:v>179.5</c:v>
                </c:pt>
                <c:pt idx="5">
                  <c:v>274.89999999999969</c:v>
                </c:pt>
                <c:pt idx="6">
                  <c:v>328.4</c:v>
                </c:pt>
                <c:pt idx="7">
                  <c:v>504.1</c:v>
                </c:pt>
                <c:pt idx="8">
                  <c:v>682.6</c:v>
                </c:pt>
                <c:pt idx="9">
                  <c:v>655.20000000000005</c:v>
                </c:pt>
                <c:pt idx="10">
                  <c:v>606.29999999999995</c:v>
                </c:pt>
                <c:pt idx="11">
                  <c:v>854.8</c:v>
                </c:pt>
                <c:pt idx="12">
                  <c:v>1060.3</c:v>
                </c:pt>
                <c:pt idx="13">
                  <c:v>1054.3</c:v>
                </c:pt>
                <c:pt idx="14">
                  <c:v>983.9</c:v>
                </c:pt>
                <c:pt idx="15">
                  <c:v>1214.9000000000001</c:v>
                </c:pt>
                <c:pt idx="16">
                  <c:v>1028.558</c:v>
                </c:pt>
              </c:numCache>
            </c:numRef>
          </c:val>
          <c:extLst xmlns:c16r2="http://schemas.microsoft.com/office/drawing/2015/06/chart">
            <c:ext xmlns:c16="http://schemas.microsoft.com/office/drawing/2014/chart" uri="{C3380CC4-5D6E-409C-BE32-E72D297353CC}">
              <c16:uniqueId val="{00000001-23BE-40DE-B73F-83E5BC30915E}"/>
            </c:ext>
          </c:extLst>
        </c:ser>
        <c:gapWidth val="199"/>
        <c:axId val="68500864"/>
        <c:axId val="68502656"/>
      </c:barChart>
      <c:catAx>
        <c:axId val="6850086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uk-UA"/>
          </a:p>
        </c:txPr>
        <c:crossAx val="68502656"/>
        <c:crosses val="autoZero"/>
        <c:auto val="1"/>
        <c:lblAlgn val="ctr"/>
        <c:lblOffset val="100"/>
      </c:catAx>
      <c:valAx>
        <c:axId val="68502656"/>
        <c:scaling>
          <c:orientation val="minMax"/>
        </c:scaling>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68500864"/>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barChart>
        <c:barDir val="col"/>
        <c:grouping val="clustered"/>
        <c:ser>
          <c:idx val="0"/>
          <c:order val="0"/>
          <c:tx>
            <c:strRef>
              <c:f>Лист1!$B$1</c:f>
              <c:strCache>
                <c:ptCount val="1"/>
                <c:pt idx="0">
                  <c:v>Планові надходження дивідендів, млн грн</c:v>
                </c:pt>
              </c:strCache>
            </c:strRef>
          </c:tx>
          <c:spPr>
            <a:solidFill>
              <a:schemeClr val="accent1"/>
            </a:solidFill>
            <a:ln>
              <a:noFill/>
            </a:ln>
            <a:effectLst/>
            <a:scene3d>
              <a:camera prst="orthographicFront"/>
              <a:lightRig rig="threePt" dir="t"/>
            </a:scene3d>
            <a:sp3d>
              <a:bevelT w="190500" h="38100"/>
            </a:sp3d>
          </c:spPr>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Лист1!$A$2:$A$18</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Лист1!$B$2:$B$18</c:f>
              <c:numCache>
                <c:formatCode>General</c:formatCode>
                <c:ptCount val="17"/>
                <c:pt idx="0">
                  <c:v>275</c:v>
                </c:pt>
                <c:pt idx="1">
                  <c:v>200</c:v>
                </c:pt>
                <c:pt idx="2">
                  <c:v>438.9</c:v>
                </c:pt>
                <c:pt idx="3">
                  <c:v>310</c:v>
                </c:pt>
                <c:pt idx="4">
                  <c:v>448.9</c:v>
                </c:pt>
                <c:pt idx="5">
                  <c:v>533.20000000000005</c:v>
                </c:pt>
                <c:pt idx="6">
                  <c:v>434.12</c:v>
                </c:pt>
                <c:pt idx="7">
                  <c:v>250</c:v>
                </c:pt>
                <c:pt idx="8">
                  <c:v>251.60999999999999</c:v>
                </c:pt>
                <c:pt idx="9">
                  <c:v>297.8</c:v>
                </c:pt>
                <c:pt idx="10">
                  <c:v>111.4</c:v>
                </c:pt>
                <c:pt idx="11">
                  <c:v>149.1</c:v>
                </c:pt>
                <c:pt idx="12">
                  <c:v>276.04000000000002</c:v>
                </c:pt>
              </c:numCache>
            </c:numRef>
          </c:val>
          <c:extLst xmlns:c16r2="http://schemas.microsoft.com/office/drawing/2015/06/chart">
            <c:ext xmlns:c16="http://schemas.microsoft.com/office/drawing/2014/chart" uri="{C3380CC4-5D6E-409C-BE32-E72D297353CC}">
              <c16:uniqueId val="{00000000-8C0A-4BE2-AD90-72AF434DAFF6}"/>
            </c:ext>
          </c:extLst>
        </c:ser>
        <c:ser>
          <c:idx val="1"/>
          <c:order val="1"/>
          <c:tx>
            <c:strRef>
              <c:f>Лист1!$C$1</c:f>
              <c:strCache>
                <c:ptCount val="1"/>
                <c:pt idx="0">
                  <c:v>Фактичні надходження дивідендів, млн грн</c:v>
                </c:pt>
              </c:strCache>
            </c:strRef>
          </c:tx>
          <c:spPr>
            <a:solidFill>
              <a:schemeClr val="accent6">
                <a:lumMod val="60000"/>
                <a:lumOff val="40000"/>
              </a:schemeClr>
            </a:solidFill>
            <a:ln>
              <a:noFill/>
            </a:ln>
            <a:effectLst/>
            <a:scene3d>
              <a:camera prst="orthographicFront"/>
              <a:lightRig rig="threePt" dir="t"/>
            </a:scene3d>
            <a:sp3d>
              <a:bevelT w="190500" h="38100"/>
            </a:sp3d>
          </c:spPr>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Лист1!$A$2:$A$18</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Лист1!$C$2:$C$18</c:f>
              <c:numCache>
                <c:formatCode>General</c:formatCode>
                <c:ptCount val="17"/>
                <c:pt idx="0">
                  <c:v>136.9</c:v>
                </c:pt>
                <c:pt idx="1">
                  <c:v>74.599999999999994</c:v>
                </c:pt>
                <c:pt idx="2">
                  <c:v>230</c:v>
                </c:pt>
                <c:pt idx="3">
                  <c:v>224</c:v>
                </c:pt>
                <c:pt idx="4">
                  <c:v>319.10000000000002</c:v>
                </c:pt>
                <c:pt idx="5">
                  <c:v>1795.11</c:v>
                </c:pt>
                <c:pt idx="6">
                  <c:v>938.7</c:v>
                </c:pt>
                <c:pt idx="7">
                  <c:v>263.87</c:v>
                </c:pt>
                <c:pt idx="8">
                  <c:v>273.82</c:v>
                </c:pt>
                <c:pt idx="9">
                  <c:v>401.36</c:v>
                </c:pt>
                <c:pt idx="10">
                  <c:v>251.78</c:v>
                </c:pt>
                <c:pt idx="11">
                  <c:v>594.04</c:v>
                </c:pt>
                <c:pt idx="12">
                  <c:v>575.30999999999949</c:v>
                </c:pt>
                <c:pt idx="13">
                  <c:v>125.16</c:v>
                </c:pt>
                <c:pt idx="14">
                  <c:v>403.01</c:v>
                </c:pt>
                <c:pt idx="15">
                  <c:v>384.46999999999969</c:v>
                </c:pt>
                <c:pt idx="16">
                  <c:v>1249.4839999999999</c:v>
                </c:pt>
              </c:numCache>
            </c:numRef>
          </c:val>
          <c:extLst xmlns:c16r2="http://schemas.microsoft.com/office/drawing/2015/06/chart">
            <c:ext xmlns:c16="http://schemas.microsoft.com/office/drawing/2014/chart" uri="{C3380CC4-5D6E-409C-BE32-E72D297353CC}">
              <c16:uniqueId val="{00000001-8C0A-4BE2-AD90-72AF434DAFF6}"/>
            </c:ext>
          </c:extLst>
        </c:ser>
        <c:gapWidth val="199"/>
        <c:axId val="68168704"/>
        <c:axId val="68395776"/>
      </c:barChart>
      <c:catAx>
        <c:axId val="6816870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uk-UA"/>
          </a:p>
        </c:txPr>
        <c:crossAx val="68395776"/>
        <c:crosses val="autoZero"/>
        <c:auto val="1"/>
        <c:lblAlgn val="ctr"/>
        <c:lblOffset val="100"/>
      </c:catAx>
      <c:valAx>
        <c:axId val="68395776"/>
        <c:scaling>
          <c:orientation val="minMax"/>
        </c:scaling>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68168704"/>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64A6C-DD94-4F70-80F7-457312AAF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1290</TotalTime>
  <Pages>115</Pages>
  <Words>165769</Words>
  <Characters>94489</Characters>
  <Application>Microsoft Office Word</Application>
  <DocSecurity>0</DocSecurity>
  <Lines>787</Lines>
  <Paragraphs>519</Paragraphs>
  <ScaleCrop>false</ScaleCrop>
  <HeadingPairs>
    <vt:vector size="2" baseType="variant">
      <vt:variant>
        <vt:lpstr>Название</vt:lpstr>
      </vt:variant>
      <vt:variant>
        <vt:i4>1</vt:i4>
      </vt:variant>
    </vt:vector>
  </HeadingPairs>
  <TitlesOfParts>
    <vt:vector size="1" baseType="lpstr">
      <vt:lpstr>Звіт про роботу Фонду державного майна України, </vt:lpstr>
    </vt:vector>
  </TitlesOfParts>
  <Company>SPecialiST RePack</Company>
  <LinksUpToDate>false</LinksUpToDate>
  <CharactersWithSpaces>259739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 про роботу Фонду державного майна України, </dc:title>
  <dc:subject/>
  <dc:creator>Vl</dc:creator>
  <cp:keywords/>
  <dc:description/>
  <cp:lastModifiedBy>vlk</cp:lastModifiedBy>
  <cp:revision>127</cp:revision>
  <cp:lastPrinted>2017-03-31T09:24:00Z</cp:lastPrinted>
  <dcterms:created xsi:type="dcterms:W3CDTF">2017-03-01T12:47:00Z</dcterms:created>
  <dcterms:modified xsi:type="dcterms:W3CDTF">2017-03-31T10:29:00Z</dcterms:modified>
</cp:coreProperties>
</file>