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73" w:rsidRPr="00266F73" w:rsidRDefault="00266F73" w:rsidP="00266F73">
      <w:pPr>
        <w:jc w:val="center"/>
        <w:rPr>
          <w:b/>
          <w:bCs/>
        </w:rPr>
      </w:pPr>
      <w:r w:rsidRPr="00266F73">
        <w:rPr>
          <w:b/>
          <w:bCs/>
        </w:rPr>
        <w:t>ІНФОРМАЦІЙНЕ ПОВІДОМЛЕННЯ</w:t>
      </w:r>
    </w:p>
    <w:p w:rsidR="00266F73" w:rsidRPr="00266F73" w:rsidRDefault="00266F73" w:rsidP="00266F73">
      <w:pPr>
        <w:jc w:val="center"/>
        <w:rPr>
          <w:b/>
          <w:bCs/>
          <w:color w:val="000000"/>
        </w:rPr>
      </w:pPr>
      <w:r w:rsidRPr="00266F73">
        <w:rPr>
          <w:b/>
          <w:bCs/>
          <w:color w:val="000000"/>
        </w:rPr>
        <w:t>про приватизацію об’єкта державної власності соціально – культурного призначення - палац культури «Металург», що перебуває на балансі АТ «Інтерпайп Новомосковський трубний завод» (код за ЄДРПОУ 05393139) та розташований за адресою: Дніпропетровська обл., м. Новомосковськ, вул. Паланочна, 6А.</w:t>
      </w:r>
    </w:p>
    <w:p w:rsidR="00266F73" w:rsidRPr="00266F73" w:rsidRDefault="00266F73" w:rsidP="00266F73">
      <w:pPr>
        <w:ind w:firstLine="720"/>
        <w:jc w:val="center"/>
        <w:rPr>
          <w:sz w:val="22"/>
          <w:szCs w:val="22"/>
        </w:rPr>
      </w:pPr>
    </w:p>
    <w:p w:rsidR="00266F73" w:rsidRPr="00266F73" w:rsidRDefault="00266F73" w:rsidP="00266F73">
      <w:pPr>
        <w:ind w:right="28"/>
        <w:jc w:val="both"/>
        <w:rPr>
          <w:b/>
          <w:bCs/>
        </w:rPr>
      </w:pPr>
      <w:r w:rsidRPr="00266F73">
        <w:rPr>
          <w:b/>
          <w:bCs/>
        </w:rPr>
        <w:t>1. Інформація про об’єкт приватизації:</w:t>
      </w:r>
    </w:p>
    <w:p w:rsidR="00266F73" w:rsidRPr="00266F73" w:rsidRDefault="00266F73" w:rsidP="00266F73">
      <w:pPr>
        <w:ind w:right="28"/>
        <w:jc w:val="both"/>
        <w:rPr>
          <w:b/>
          <w:bCs/>
          <w:sz w:val="18"/>
          <w:szCs w:val="18"/>
        </w:rPr>
      </w:pPr>
    </w:p>
    <w:p w:rsidR="00266F73" w:rsidRPr="00266F73" w:rsidRDefault="00266F73" w:rsidP="00266F73">
      <w:pPr>
        <w:jc w:val="both"/>
        <w:rPr>
          <w:bCs/>
          <w:color w:val="000000"/>
        </w:rPr>
      </w:pPr>
      <w:r w:rsidRPr="00266F73">
        <w:rPr>
          <w:b/>
          <w:bCs/>
        </w:rPr>
        <w:t xml:space="preserve">Найменування об’єкта приватизації: </w:t>
      </w:r>
      <w:r w:rsidRPr="00266F73">
        <w:rPr>
          <w:bCs/>
          <w:color w:val="000000"/>
        </w:rPr>
        <w:t>палац культури «Металург».</w:t>
      </w:r>
    </w:p>
    <w:p w:rsidR="00266F73" w:rsidRPr="00266F73" w:rsidRDefault="00266F73" w:rsidP="00266F73">
      <w:pPr>
        <w:spacing w:before="120"/>
        <w:jc w:val="both"/>
        <w:rPr>
          <w:bCs/>
          <w:color w:val="000000"/>
        </w:rPr>
      </w:pPr>
      <w:r w:rsidRPr="00266F73">
        <w:rPr>
          <w:b/>
          <w:bCs/>
        </w:rPr>
        <w:t xml:space="preserve">Місцезнаходження: </w:t>
      </w:r>
      <w:r w:rsidRPr="00266F73">
        <w:rPr>
          <w:bCs/>
          <w:color w:val="000000"/>
        </w:rPr>
        <w:t>Дніпропетровська обл., м. Новомосковськ, вул. Паланочна, 6А.</w:t>
      </w:r>
    </w:p>
    <w:p w:rsidR="00266F73" w:rsidRPr="00266F73" w:rsidRDefault="00266F73" w:rsidP="00266F73">
      <w:pPr>
        <w:spacing w:before="120"/>
        <w:jc w:val="both"/>
        <w:rPr>
          <w:bCs/>
          <w:color w:val="000000"/>
        </w:rPr>
      </w:pPr>
      <w:r w:rsidRPr="00266F73">
        <w:rPr>
          <w:b/>
          <w:bCs/>
        </w:rPr>
        <w:t xml:space="preserve">Інформація про об’єкт: </w:t>
      </w:r>
      <w:r w:rsidRPr="00266F73">
        <w:rPr>
          <w:bCs/>
          <w:color w:val="000000"/>
        </w:rPr>
        <w:t>Об’єкт являє собою триповерхову будівлю Палацу культури (будівля цегляна з залізобетонними перекриттями, підлога бетонна, покрівля – рубероїдна)  літ. А- 3Н площею 5 930,8 кв. м, прибудови літ. а, а1, навіс літ. а2, ганки літ. а3-а11, котельня літ. Б-1Н площею 99,4 кв. м, будівля газорозподільного пункту літ. В-1Н площею 6,6 кв. м, металевий газорозподільний пункт літ. ГРП, огорожа з металевої сітки №1-4, асфальтобетонне замощення літ. І та 314 інвентарних одиниць рухомого майна.</w:t>
      </w:r>
    </w:p>
    <w:p w:rsidR="00266F73" w:rsidRPr="00266F73" w:rsidRDefault="00266F73" w:rsidP="00266F73">
      <w:pPr>
        <w:jc w:val="both"/>
        <w:rPr>
          <w:bCs/>
          <w:color w:val="000000"/>
        </w:rPr>
      </w:pPr>
      <w:r w:rsidRPr="00266F73">
        <w:rPr>
          <w:bCs/>
          <w:color w:val="000000"/>
        </w:rPr>
        <w:t xml:space="preserve">Електропостачання, водопостачання, газопостачання та опалення підключені. </w:t>
      </w:r>
    </w:p>
    <w:p w:rsidR="00266F73" w:rsidRPr="00266F73" w:rsidRDefault="00266F73" w:rsidP="00266F73">
      <w:pPr>
        <w:jc w:val="both"/>
        <w:rPr>
          <w:bCs/>
          <w:color w:val="000000"/>
        </w:rPr>
      </w:pPr>
      <w:r w:rsidRPr="00266F73">
        <w:rPr>
          <w:bCs/>
          <w:color w:val="000000"/>
        </w:rPr>
        <w:t>Державна реєстрація права власності від 22.10.2018, реєстраційний номер об’єкта нерухомого майна – 1676978612119.</w:t>
      </w:r>
    </w:p>
    <w:p w:rsidR="00266F73" w:rsidRPr="00266F73" w:rsidRDefault="00266F73" w:rsidP="00266F73">
      <w:pPr>
        <w:spacing w:before="120"/>
        <w:jc w:val="both"/>
        <w:rPr>
          <w:bCs/>
          <w:color w:val="000000"/>
        </w:rPr>
      </w:pPr>
      <w:r w:rsidRPr="00266F73">
        <w:rPr>
          <w:b/>
        </w:rPr>
        <w:t>Інформація про земельну ділянку: з</w:t>
      </w:r>
      <w:r w:rsidRPr="00266F73">
        <w:rPr>
          <w:bCs/>
          <w:color w:val="000000"/>
        </w:rPr>
        <w:t>емельна ділянка (кадастровий номер 1211900000:03:010:0101) площею  0,5076 га, на якій розміщена будівля палацу знаходиться в оренді АТ «Інтерпайп Новомосковський трубний завод» на підставі договору оренди земельної ділянки від 07.09.2010 (зі змінами) з орендодавцем - Новомосковська міська рада.</w:t>
      </w:r>
    </w:p>
    <w:p w:rsidR="00266F73" w:rsidRPr="00266F73" w:rsidRDefault="00266F73" w:rsidP="00266F73">
      <w:pPr>
        <w:spacing w:before="120"/>
        <w:jc w:val="both"/>
        <w:rPr>
          <w:bCs/>
          <w:color w:val="000000"/>
        </w:rPr>
      </w:pPr>
      <w:r w:rsidRPr="00266F73">
        <w:rPr>
          <w:b/>
          <w:bCs/>
          <w:color w:val="000000"/>
        </w:rPr>
        <w:t>Інформація</w:t>
      </w:r>
      <w:r w:rsidRPr="00266F73">
        <w:rPr>
          <w:b/>
          <w:bCs/>
        </w:rPr>
        <w:t xml:space="preserve"> про договори оренди, укладені щодо об’єкта: з</w:t>
      </w:r>
      <w:r w:rsidRPr="00266F73">
        <w:rPr>
          <w:bCs/>
          <w:color w:val="000000"/>
        </w:rPr>
        <w:t>гідно договору оренди від 18.09.2017 №12/02-6386-ОД (зі змінами та доповненнями, внесеними договором від 13.09.2019) орендарем – Управління культури, молоді, національностей і релігій виконавчого комітету Новомосковської міської ради, орендовано нежитлові вбудовані приміщення площею 146,16 кв. м, орендна плата за березень 2 565,81 грн., строк дії договору – до 17.09.2021.</w:t>
      </w:r>
    </w:p>
    <w:p w:rsidR="00266F73" w:rsidRPr="00266F73" w:rsidRDefault="00266F73" w:rsidP="00266F73">
      <w:pPr>
        <w:spacing w:before="120"/>
        <w:jc w:val="both"/>
        <w:rPr>
          <w:bCs/>
          <w:color w:val="000000"/>
        </w:rPr>
      </w:pPr>
      <w:r w:rsidRPr="00266F73">
        <w:rPr>
          <w:b/>
          <w:bCs/>
        </w:rPr>
        <w:t>Інформація про балансоутримувача</w:t>
      </w:r>
      <w:r w:rsidRPr="00266F73">
        <w:t xml:space="preserve">: </w:t>
      </w:r>
      <w:r w:rsidRPr="00266F73">
        <w:rPr>
          <w:bCs/>
          <w:color w:val="000000"/>
        </w:rPr>
        <w:t xml:space="preserve">АТ «Інтерпайп Новомосковський трубний завод», адреса балансоутримувача: 51200, Дніпропетровська обл., м. Новомосковськ, </w:t>
      </w:r>
      <w:r>
        <w:rPr>
          <w:bCs/>
          <w:color w:val="000000"/>
        </w:rPr>
        <w:t xml:space="preserve">                                        </w:t>
      </w:r>
      <w:r w:rsidRPr="00266F73">
        <w:rPr>
          <w:bCs/>
          <w:color w:val="000000"/>
        </w:rPr>
        <w:t>вул. Сучкова, 115.</w:t>
      </w:r>
    </w:p>
    <w:p w:rsidR="00266F73" w:rsidRPr="00266F73" w:rsidRDefault="00266F73" w:rsidP="00266F73">
      <w:pPr>
        <w:pStyle w:val="a7"/>
        <w:tabs>
          <w:tab w:val="left" w:pos="567"/>
        </w:tabs>
        <w:spacing w:before="120" w:after="0"/>
        <w:jc w:val="both"/>
      </w:pPr>
      <w:r w:rsidRPr="00266F73">
        <w:rPr>
          <w:b/>
        </w:rPr>
        <w:t>2. Інформація про аукціон:</w:t>
      </w:r>
      <w:r w:rsidRPr="00266F73">
        <w:t xml:space="preserve"> електронний аукціон проводиться відповідно до вимог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w:t>
      </w:r>
      <w:r>
        <w:t xml:space="preserve">             </w:t>
      </w:r>
      <w:bookmarkStart w:id="0" w:name="_GoBack"/>
      <w:bookmarkEnd w:id="0"/>
      <w:r w:rsidRPr="00266F73">
        <w:t xml:space="preserve">     10 травня 2018 року №432 (зі змінами).</w:t>
      </w:r>
    </w:p>
    <w:p w:rsidR="00266F73" w:rsidRPr="00266F73" w:rsidRDefault="00266F73" w:rsidP="00266F73">
      <w:pPr>
        <w:pStyle w:val="a7"/>
        <w:tabs>
          <w:tab w:val="left" w:pos="567"/>
        </w:tabs>
        <w:spacing w:before="120" w:after="0"/>
        <w:jc w:val="both"/>
      </w:pPr>
      <w:r w:rsidRPr="00266F73">
        <w:t>Покупець об’єкта приватизації має відповідати вимогам, передбаченим статтею 8 Закону України «Про приватизацію державного і комунального майна» та довести відсутність ознак, передбачених частиною 2 статті 8 цього закону.</w:t>
      </w:r>
    </w:p>
    <w:p w:rsidR="00266F73" w:rsidRPr="00266F73" w:rsidRDefault="00266F73" w:rsidP="00266F73">
      <w:pPr>
        <w:pStyle w:val="a7"/>
        <w:tabs>
          <w:tab w:val="left" w:pos="567"/>
        </w:tabs>
        <w:spacing w:before="120" w:after="0"/>
        <w:jc w:val="both"/>
      </w:pPr>
      <w:r w:rsidRPr="00266F73">
        <w:rPr>
          <w:b/>
          <w:bCs/>
        </w:rPr>
        <w:t xml:space="preserve">Спосіб проведення аукціону: </w:t>
      </w:r>
      <w:r w:rsidRPr="00266F73">
        <w:t>аукціон з умовами.</w:t>
      </w:r>
    </w:p>
    <w:p w:rsidR="00266F73" w:rsidRPr="00266F73" w:rsidRDefault="00266F73" w:rsidP="00266F73">
      <w:pPr>
        <w:pStyle w:val="a7"/>
        <w:tabs>
          <w:tab w:val="left" w:pos="567"/>
        </w:tabs>
        <w:spacing w:before="120" w:after="0"/>
        <w:jc w:val="both"/>
        <w:rPr>
          <w:b/>
          <w:bCs/>
        </w:rPr>
      </w:pPr>
      <w:r w:rsidRPr="00266F73">
        <w:rPr>
          <w:b/>
          <w:bCs/>
        </w:rPr>
        <w:t>Дата і час проведення аукціону:</w:t>
      </w:r>
      <w:r w:rsidRPr="00266F73">
        <w:t xml:space="preserve"> 27 травня 2020 року. Час проведення аукціону встановлюється електронною торговою системою відповідно до вимог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266F73" w:rsidRPr="00266F73" w:rsidRDefault="00266F73" w:rsidP="00266F73">
      <w:pPr>
        <w:jc w:val="both"/>
        <w:rPr>
          <w:color w:val="000000"/>
        </w:rPr>
      </w:pPr>
      <w:r w:rsidRPr="00266F73">
        <w:rPr>
          <w:b/>
          <w:bCs/>
          <w:color w:val="000000"/>
        </w:rPr>
        <w:t>Кінцевий строк подання заяви на участь в аукціоні з умовами, аукціоні із зниженням стартової ціни</w:t>
      </w:r>
      <w:r w:rsidRPr="00266F73">
        <w:rPr>
          <w:color w:val="000000"/>
        </w:rPr>
        <w:t xml:space="preserve">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p w:rsidR="00266F73" w:rsidRPr="00266F73" w:rsidRDefault="00266F73" w:rsidP="00266F73">
      <w:pPr>
        <w:spacing w:before="120"/>
        <w:jc w:val="both"/>
        <w:rPr>
          <w:color w:val="000000"/>
          <w:sz w:val="22"/>
          <w:szCs w:val="22"/>
        </w:rPr>
      </w:pPr>
      <w:r w:rsidRPr="00266F73">
        <w:rPr>
          <w:b/>
          <w:bCs/>
          <w:color w:val="000000"/>
        </w:rPr>
        <w:lastRenderedPageBreak/>
        <w:t xml:space="preserve">Кінцевий строк подання заяви на участь в аукціоні за методом покрокового зниження ціни та подальшого подання цінових пропозицій </w:t>
      </w:r>
      <w:r w:rsidRPr="00266F73">
        <w:rPr>
          <w:color w:val="000000"/>
        </w:rPr>
        <w:t>встановлюється електронною торговою системою для кожного електронного аукціону окремо в проміжку часу з 16-15 до 16-45 години дня проведення електронного аукціону.</w:t>
      </w:r>
    </w:p>
    <w:p w:rsidR="00266F73" w:rsidRPr="00266F73" w:rsidRDefault="00266F73" w:rsidP="00266F73">
      <w:pPr>
        <w:pStyle w:val="a7"/>
        <w:tabs>
          <w:tab w:val="left" w:pos="567"/>
        </w:tabs>
        <w:spacing w:before="120" w:after="0"/>
        <w:jc w:val="both"/>
        <w:rPr>
          <w:b/>
          <w:bCs/>
        </w:rPr>
      </w:pPr>
      <w:r w:rsidRPr="00266F73">
        <w:rPr>
          <w:b/>
          <w:bCs/>
        </w:rPr>
        <w:t>3. Інформація про умови, на яких здійснюється приватизація об’єкта:</w:t>
      </w:r>
    </w:p>
    <w:p w:rsidR="00266F73" w:rsidRPr="00266F73" w:rsidRDefault="00266F73" w:rsidP="00266F73">
      <w:pPr>
        <w:pStyle w:val="a7"/>
        <w:tabs>
          <w:tab w:val="left" w:pos="567"/>
        </w:tabs>
        <w:ind w:right="28"/>
        <w:jc w:val="both"/>
      </w:pPr>
      <w:r w:rsidRPr="00266F73">
        <w:rPr>
          <w:b/>
          <w:bCs/>
        </w:rPr>
        <w:t xml:space="preserve">Стартова ціна об’єкта для кожного із способів </w:t>
      </w:r>
      <w:r w:rsidRPr="00266F73">
        <w:t>продажу (без урахування ПДВ):</w:t>
      </w:r>
    </w:p>
    <w:p w:rsidR="00266F73" w:rsidRPr="00266F73" w:rsidRDefault="00266F73" w:rsidP="00266F73">
      <w:pPr>
        <w:pStyle w:val="a7"/>
        <w:tabs>
          <w:tab w:val="left" w:pos="567"/>
        </w:tabs>
        <w:ind w:right="28"/>
        <w:jc w:val="both"/>
      </w:pPr>
      <w:r w:rsidRPr="00266F73">
        <w:t>продаж на аукціоні з умовами – 8 361 840,72 грн.;</w:t>
      </w:r>
    </w:p>
    <w:p w:rsidR="00266F73" w:rsidRPr="00266F73" w:rsidRDefault="00266F73" w:rsidP="00266F73">
      <w:pPr>
        <w:pStyle w:val="a7"/>
        <w:tabs>
          <w:tab w:val="left" w:pos="567"/>
        </w:tabs>
        <w:ind w:right="28"/>
        <w:jc w:val="both"/>
      </w:pPr>
      <w:r w:rsidRPr="00266F73">
        <w:t>продаж на аукціоні зі зниженням стартової ціни – 4 180 920,36 грн.;</w:t>
      </w:r>
    </w:p>
    <w:p w:rsidR="00266F73" w:rsidRPr="00266F73" w:rsidRDefault="00266F73" w:rsidP="00266F73">
      <w:pPr>
        <w:pStyle w:val="a7"/>
        <w:tabs>
          <w:tab w:val="left" w:pos="567"/>
        </w:tabs>
        <w:ind w:right="28"/>
        <w:jc w:val="both"/>
      </w:pPr>
      <w:r w:rsidRPr="00266F73">
        <w:t>продаж на аукціоні за методом покрокового зниження стартової ціни та подальшого подання цінових пропозицій – 4 180 920,36 грн.</w:t>
      </w:r>
    </w:p>
    <w:p w:rsidR="00266F73" w:rsidRPr="00266F73" w:rsidRDefault="00266F73" w:rsidP="00266F73">
      <w:pPr>
        <w:pStyle w:val="a7"/>
        <w:tabs>
          <w:tab w:val="left" w:pos="567"/>
        </w:tabs>
        <w:ind w:right="28"/>
        <w:jc w:val="both"/>
      </w:pPr>
      <w:r w:rsidRPr="00266F73">
        <w:t>На ціну продажу об’єкта приватизації, що складеться за результатами аукціону нараховується податок на додану вартість.</w:t>
      </w:r>
    </w:p>
    <w:p w:rsidR="00266F73" w:rsidRPr="00266F73" w:rsidRDefault="00266F73" w:rsidP="00266F73">
      <w:pPr>
        <w:pStyle w:val="a7"/>
        <w:tabs>
          <w:tab w:val="left" w:pos="567"/>
        </w:tabs>
        <w:ind w:right="28"/>
        <w:jc w:val="both"/>
        <w:rPr>
          <w:b/>
          <w:bCs/>
        </w:rPr>
      </w:pPr>
      <w:r w:rsidRPr="00266F73">
        <w:rPr>
          <w:b/>
          <w:bCs/>
        </w:rPr>
        <w:t xml:space="preserve">Розмір гарантійного внеску електронного аукціону </w:t>
      </w:r>
      <w:r w:rsidRPr="00266F73">
        <w:rPr>
          <w:b/>
        </w:rPr>
        <w:t xml:space="preserve">у розмірі 10% (десять відсотків) стартової ціни </w:t>
      </w:r>
      <w:r w:rsidRPr="00266F73">
        <w:rPr>
          <w:b/>
          <w:bCs/>
        </w:rPr>
        <w:t>для кожного із способів:</w:t>
      </w:r>
    </w:p>
    <w:p w:rsidR="00266F73" w:rsidRPr="00266F73" w:rsidRDefault="00266F73" w:rsidP="00266F73">
      <w:pPr>
        <w:pStyle w:val="a7"/>
        <w:tabs>
          <w:tab w:val="left" w:pos="567"/>
        </w:tabs>
        <w:ind w:right="28"/>
        <w:jc w:val="both"/>
      </w:pPr>
      <w:r w:rsidRPr="00266F73">
        <w:t>продаж на аукціоні з умовами – 836 184,07 грн.;</w:t>
      </w:r>
    </w:p>
    <w:p w:rsidR="00266F73" w:rsidRPr="00266F73" w:rsidRDefault="00266F73" w:rsidP="00266F73">
      <w:pPr>
        <w:pStyle w:val="a7"/>
        <w:tabs>
          <w:tab w:val="left" w:pos="567"/>
        </w:tabs>
        <w:ind w:right="28"/>
        <w:jc w:val="both"/>
      </w:pPr>
      <w:r w:rsidRPr="00266F73">
        <w:t>продаж на аукціоні зі зниженням стартової ціни – 418 092,04 грн.;</w:t>
      </w:r>
    </w:p>
    <w:p w:rsidR="00266F73" w:rsidRPr="00266F73" w:rsidRDefault="00266F73" w:rsidP="00266F73">
      <w:pPr>
        <w:pStyle w:val="a7"/>
        <w:tabs>
          <w:tab w:val="left" w:pos="567"/>
        </w:tabs>
        <w:ind w:right="28"/>
        <w:jc w:val="both"/>
      </w:pPr>
      <w:r w:rsidRPr="00266F73">
        <w:t>продаж на аукціоні за методом покрокового зниження стартової ціни та подальшого подання цінових пропозицій – 418 092,04 грн.</w:t>
      </w:r>
    </w:p>
    <w:p w:rsidR="00266F73" w:rsidRPr="00266F73" w:rsidRDefault="00266F73" w:rsidP="00266F73">
      <w:pPr>
        <w:pStyle w:val="a7"/>
        <w:tabs>
          <w:tab w:val="left" w:pos="567"/>
        </w:tabs>
        <w:ind w:right="28"/>
        <w:jc w:val="both"/>
      </w:pPr>
      <w:r w:rsidRPr="00266F73">
        <w:rPr>
          <w:b/>
          <w:bCs/>
        </w:rPr>
        <w:t xml:space="preserve">Розмір реєстраційного внеску: </w:t>
      </w:r>
      <w:r w:rsidRPr="00266F73">
        <w:t>944,60 грн.</w:t>
      </w:r>
    </w:p>
    <w:p w:rsidR="00266F73" w:rsidRPr="00266F73" w:rsidRDefault="00266F73" w:rsidP="00266F73">
      <w:pPr>
        <w:spacing w:before="120"/>
        <w:jc w:val="both"/>
      </w:pPr>
      <w:r w:rsidRPr="00266F73">
        <w:rPr>
          <w:b/>
        </w:rPr>
        <w:t xml:space="preserve">Умови продажу об’єкту приватизації: </w:t>
      </w:r>
      <w:r w:rsidRPr="00266F73">
        <w:t>збереження профілю діяльності.</w:t>
      </w:r>
    </w:p>
    <w:p w:rsidR="00266F73" w:rsidRPr="00266F73" w:rsidRDefault="00266F73" w:rsidP="00266F73">
      <w:pPr>
        <w:pStyle w:val="a7"/>
        <w:tabs>
          <w:tab w:val="left" w:pos="567"/>
        </w:tabs>
        <w:spacing w:before="120" w:after="0"/>
        <w:jc w:val="both"/>
        <w:rPr>
          <w:b/>
          <w:bCs/>
        </w:rPr>
      </w:pPr>
      <w:r w:rsidRPr="00266F73">
        <w:rPr>
          <w:b/>
          <w:bCs/>
        </w:rPr>
        <w:t>4. Додаткова інформація:</w:t>
      </w:r>
    </w:p>
    <w:p w:rsidR="00266F73" w:rsidRPr="00266F73" w:rsidRDefault="00266F73" w:rsidP="00266F73">
      <w:pPr>
        <w:pStyle w:val="3"/>
        <w:shd w:val="clear" w:color="auto" w:fill="auto"/>
        <w:tabs>
          <w:tab w:val="left" w:pos="720"/>
        </w:tabs>
        <w:spacing w:before="0" w:after="120" w:line="240" w:lineRule="auto"/>
        <w:rPr>
          <w:rFonts w:ascii="Times New Roman" w:hAnsi="Times New Roman" w:cs="Times New Roman"/>
          <w:b/>
          <w:bCs/>
          <w:sz w:val="24"/>
          <w:szCs w:val="24"/>
          <w:lang w:val="uk-UA"/>
        </w:rPr>
      </w:pPr>
      <w:r w:rsidRPr="00266F73">
        <w:rPr>
          <w:rFonts w:ascii="Times New Roman" w:hAnsi="Times New Roman" w:cs="Times New Roman"/>
          <w:b/>
          <w:bCs/>
          <w:sz w:val="24"/>
          <w:szCs w:val="24"/>
          <w:lang w:val="uk-UA"/>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 </w:t>
      </w:r>
    </w:p>
    <w:p w:rsidR="00266F73" w:rsidRPr="00266F73" w:rsidRDefault="00266F73" w:rsidP="00266F73">
      <w:pPr>
        <w:pStyle w:val="3"/>
        <w:shd w:val="clear" w:color="auto" w:fill="auto"/>
        <w:tabs>
          <w:tab w:val="left" w:pos="720"/>
        </w:tabs>
        <w:spacing w:before="0" w:after="120" w:line="240" w:lineRule="auto"/>
        <w:rPr>
          <w:rFonts w:ascii="Times New Roman" w:hAnsi="Times New Roman" w:cs="Times New Roman"/>
          <w:spacing w:val="0"/>
          <w:sz w:val="24"/>
          <w:szCs w:val="24"/>
          <w:lang w:val="uk-UA"/>
        </w:rPr>
      </w:pPr>
      <w:r w:rsidRPr="00266F73">
        <w:rPr>
          <w:rFonts w:ascii="Times New Roman" w:hAnsi="Times New Roman" w:cs="Times New Roman"/>
          <w:sz w:val="24"/>
          <w:szCs w:val="24"/>
          <w:lang w:val="uk-UA"/>
        </w:rPr>
        <w:t xml:space="preserve">Рахунок для </w:t>
      </w:r>
      <w:r w:rsidRPr="00266F73">
        <w:rPr>
          <w:rFonts w:ascii="Times New Roman" w:hAnsi="Times New Roman" w:cs="Times New Roman"/>
          <w:spacing w:val="0"/>
          <w:sz w:val="24"/>
          <w:szCs w:val="24"/>
          <w:lang w:val="uk-UA"/>
        </w:rPr>
        <w:t>внесення</w:t>
      </w:r>
      <w:r w:rsidRPr="00266F73">
        <w:rPr>
          <w:rFonts w:ascii="Times New Roman" w:hAnsi="Times New Roman" w:cs="Times New Roman"/>
          <w:b/>
          <w:bCs/>
          <w:sz w:val="24"/>
          <w:szCs w:val="24"/>
          <w:lang w:val="uk-UA"/>
        </w:rPr>
        <w:t xml:space="preserve"> </w:t>
      </w:r>
      <w:r w:rsidRPr="00266F73">
        <w:rPr>
          <w:rFonts w:ascii="Times New Roman" w:hAnsi="Times New Roman" w:cs="Times New Roman"/>
          <w:sz w:val="24"/>
          <w:szCs w:val="24"/>
          <w:lang w:val="uk-UA"/>
        </w:rPr>
        <w:t>операторами електронних майданчиків реєстраційних внесків потенційних покупців та проведення переможцями аукціонів розрахунків за придбані об’єкти:</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sz w:val="24"/>
          <w:szCs w:val="24"/>
          <w:lang w:val="uk-UA"/>
        </w:rPr>
      </w:pPr>
      <w:r w:rsidRPr="00266F73">
        <w:rPr>
          <w:rFonts w:ascii="Times New Roman" w:hAnsi="Times New Roman" w:cs="Times New Roman"/>
          <w:sz w:val="24"/>
          <w:szCs w:val="24"/>
          <w:lang w:val="uk-UA"/>
        </w:rPr>
        <w:t>Одержувач: Регіональне відділення Фонду державного майна України по Дніпропетровській, Запорізькій та Кіровоградській областях.</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iCs/>
          <w:sz w:val="24"/>
          <w:szCs w:val="24"/>
          <w:lang w:val="uk-UA"/>
        </w:rPr>
      </w:pPr>
      <w:r w:rsidRPr="00266F73">
        <w:rPr>
          <w:rFonts w:ascii="Times New Roman" w:hAnsi="Times New Roman" w:cs="Times New Roman"/>
          <w:iCs/>
          <w:sz w:val="24"/>
          <w:szCs w:val="24"/>
          <w:lang w:val="uk-UA"/>
        </w:rPr>
        <w:t>Код ЄДРПОУ 42767945.</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iCs/>
          <w:sz w:val="24"/>
          <w:szCs w:val="24"/>
          <w:lang w:val="uk-UA"/>
        </w:rPr>
      </w:pPr>
      <w:r w:rsidRPr="00266F73">
        <w:rPr>
          <w:rFonts w:ascii="Times New Roman" w:hAnsi="Times New Roman" w:cs="Times New Roman"/>
          <w:sz w:val="24"/>
          <w:szCs w:val="24"/>
          <w:lang w:val="uk-UA"/>
        </w:rPr>
        <w:t>Рахунок</w:t>
      </w:r>
      <w:r w:rsidRPr="00266F73">
        <w:rPr>
          <w:rFonts w:ascii="Times New Roman" w:hAnsi="Times New Roman" w:cs="Times New Roman"/>
          <w:iCs/>
          <w:sz w:val="24"/>
          <w:szCs w:val="24"/>
          <w:lang w:val="uk-UA"/>
        </w:rPr>
        <w:t xml:space="preserve"> </w:t>
      </w:r>
      <w:r w:rsidRPr="00266F73">
        <w:rPr>
          <w:rFonts w:ascii="Times New Roman" w:hAnsi="Times New Roman" w:cs="Times New Roman"/>
          <w:iCs/>
          <w:sz w:val="24"/>
          <w:szCs w:val="24"/>
        </w:rPr>
        <w:t>UA</w:t>
      </w:r>
      <w:r w:rsidRPr="00266F73">
        <w:rPr>
          <w:rFonts w:ascii="Times New Roman" w:hAnsi="Times New Roman" w:cs="Times New Roman"/>
          <w:iCs/>
          <w:sz w:val="24"/>
          <w:szCs w:val="24"/>
          <w:lang w:val="uk-UA"/>
        </w:rPr>
        <w:t>958201720355549003000055549.</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iCs/>
          <w:sz w:val="24"/>
          <w:szCs w:val="24"/>
          <w:lang w:val="uk-UA"/>
        </w:rPr>
      </w:pPr>
      <w:r w:rsidRPr="00266F73">
        <w:rPr>
          <w:rFonts w:ascii="Times New Roman" w:hAnsi="Times New Roman" w:cs="Times New Roman"/>
          <w:iCs/>
          <w:sz w:val="24"/>
          <w:szCs w:val="24"/>
          <w:lang w:val="uk-UA"/>
        </w:rPr>
        <w:t xml:space="preserve">Банк одержувача: </w:t>
      </w:r>
      <w:r w:rsidRPr="00266F73">
        <w:rPr>
          <w:rFonts w:ascii="Times New Roman" w:hAnsi="Times New Roman" w:cs="Times New Roman"/>
          <w:sz w:val="24"/>
          <w:szCs w:val="24"/>
          <w:lang w:val="uk-UA"/>
        </w:rPr>
        <w:t>Державна казначейська служба України м. Київ, ГУДКСУ у Дніпропетровській області, МФО 820172</w:t>
      </w:r>
      <w:r w:rsidRPr="00266F73">
        <w:rPr>
          <w:rFonts w:ascii="Times New Roman" w:hAnsi="Times New Roman" w:cs="Times New Roman"/>
          <w:iCs/>
          <w:sz w:val="24"/>
          <w:szCs w:val="24"/>
          <w:lang w:val="uk-UA"/>
        </w:rPr>
        <w:t>.</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sz w:val="24"/>
          <w:szCs w:val="24"/>
          <w:lang w:val="uk-UA"/>
        </w:rPr>
      </w:pPr>
      <w:proofErr w:type="spellStart"/>
      <w:r w:rsidRPr="00266F73">
        <w:rPr>
          <w:rFonts w:ascii="Times New Roman" w:hAnsi="Times New Roman" w:cs="Times New Roman"/>
          <w:iCs/>
          <w:sz w:val="24"/>
          <w:szCs w:val="24"/>
          <w:lang w:val="ru-RU"/>
        </w:rPr>
        <w:t>Призначення</w:t>
      </w:r>
      <w:proofErr w:type="spellEnd"/>
      <w:r w:rsidRPr="00266F73">
        <w:rPr>
          <w:rFonts w:ascii="Times New Roman" w:hAnsi="Times New Roman" w:cs="Times New Roman"/>
          <w:iCs/>
          <w:sz w:val="24"/>
          <w:szCs w:val="24"/>
          <w:lang w:val="ru-RU"/>
        </w:rPr>
        <w:t xml:space="preserve"> платежу: </w:t>
      </w:r>
      <w:r w:rsidRPr="00266F73">
        <w:rPr>
          <w:rFonts w:ascii="Times New Roman" w:hAnsi="Times New Roman" w:cs="Times New Roman"/>
          <w:sz w:val="24"/>
          <w:szCs w:val="24"/>
          <w:lang w:val="uk-UA"/>
        </w:rPr>
        <w:t>(обов’язково вказати за що та за який об’єкт надійшли кошти)</w:t>
      </w:r>
      <w:r w:rsidRPr="00266F73">
        <w:rPr>
          <w:rFonts w:ascii="Times New Roman" w:hAnsi="Times New Roman" w:cs="Times New Roman"/>
          <w:iCs/>
          <w:sz w:val="24"/>
          <w:szCs w:val="24"/>
          <w:lang w:val="ru-RU"/>
        </w:rPr>
        <w:t>.</w:t>
      </w:r>
    </w:p>
    <w:p w:rsidR="00266F73" w:rsidRPr="00266F73" w:rsidRDefault="00266F73" w:rsidP="00266F73">
      <w:pPr>
        <w:pStyle w:val="3"/>
        <w:shd w:val="clear" w:color="auto" w:fill="auto"/>
        <w:tabs>
          <w:tab w:val="left" w:pos="720"/>
        </w:tabs>
        <w:spacing w:before="120" w:after="0" w:line="240" w:lineRule="auto"/>
        <w:rPr>
          <w:rFonts w:ascii="Times New Roman" w:hAnsi="Times New Roman" w:cs="Times New Roman"/>
          <w:spacing w:val="0"/>
          <w:sz w:val="24"/>
          <w:szCs w:val="24"/>
          <w:lang w:val="uk-UA"/>
        </w:rPr>
      </w:pPr>
      <w:r w:rsidRPr="00266F73">
        <w:rPr>
          <w:rFonts w:ascii="Times New Roman" w:hAnsi="Times New Roman" w:cs="Times New Roman"/>
          <w:spacing w:val="0"/>
          <w:sz w:val="24"/>
          <w:szCs w:val="24"/>
          <w:lang w:val="uk-UA"/>
        </w:rPr>
        <w:t xml:space="preserve">Рахунок для внесення </w:t>
      </w:r>
      <w:r w:rsidRPr="00266F73">
        <w:rPr>
          <w:rFonts w:ascii="Times New Roman" w:hAnsi="Times New Roman" w:cs="Times New Roman"/>
          <w:sz w:val="24"/>
          <w:szCs w:val="24"/>
          <w:lang w:val="uk-UA"/>
        </w:rPr>
        <w:t xml:space="preserve">операторами електронних майданчиків </w:t>
      </w:r>
      <w:r w:rsidRPr="00266F73">
        <w:rPr>
          <w:rFonts w:ascii="Times New Roman" w:hAnsi="Times New Roman" w:cs="Times New Roman"/>
          <w:spacing w:val="0"/>
          <w:sz w:val="24"/>
          <w:szCs w:val="24"/>
          <w:lang w:val="uk-UA"/>
        </w:rPr>
        <w:t>гарантійних внесків:</w:t>
      </w:r>
    </w:p>
    <w:p w:rsidR="00266F73" w:rsidRPr="00266F73" w:rsidRDefault="00266F73" w:rsidP="00266F73">
      <w:pPr>
        <w:pStyle w:val="3"/>
        <w:shd w:val="clear" w:color="auto" w:fill="auto"/>
        <w:tabs>
          <w:tab w:val="left" w:pos="720"/>
        </w:tabs>
        <w:spacing w:before="120" w:after="0" w:line="240" w:lineRule="auto"/>
        <w:rPr>
          <w:rFonts w:ascii="Times New Roman" w:hAnsi="Times New Roman" w:cs="Times New Roman"/>
          <w:spacing w:val="0"/>
          <w:sz w:val="24"/>
          <w:szCs w:val="24"/>
          <w:lang w:val="uk-UA"/>
        </w:rPr>
      </w:pPr>
      <w:r w:rsidRPr="00266F73">
        <w:rPr>
          <w:rFonts w:ascii="Times New Roman" w:hAnsi="Times New Roman" w:cs="Times New Roman"/>
          <w:spacing w:val="0"/>
          <w:sz w:val="24"/>
          <w:szCs w:val="24"/>
          <w:lang w:val="uk-UA"/>
        </w:rPr>
        <w:t>Одержувач: Регіональне відділення Фонду державного майна України по Дніпропетровській, Запорізькій та Кіровоградській областях.</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spacing w:val="0"/>
          <w:sz w:val="24"/>
          <w:szCs w:val="24"/>
          <w:lang w:val="uk-UA"/>
        </w:rPr>
      </w:pPr>
      <w:r w:rsidRPr="00266F73">
        <w:rPr>
          <w:rFonts w:ascii="Times New Roman" w:hAnsi="Times New Roman" w:cs="Times New Roman"/>
          <w:spacing w:val="0"/>
          <w:sz w:val="24"/>
          <w:szCs w:val="24"/>
          <w:lang w:val="uk-UA"/>
        </w:rPr>
        <w:t xml:space="preserve">Код ЄДРПОУ </w:t>
      </w:r>
      <w:r w:rsidRPr="00266F73">
        <w:rPr>
          <w:rStyle w:val="FontStyle12"/>
          <w:sz w:val="24"/>
          <w:szCs w:val="24"/>
          <w:lang w:val="uk-UA" w:eastAsia="uk-UA"/>
        </w:rPr>
        <w:t>42767945</w:t>
      </w:r>
      <w:r w:rsidRPr="00266F73">
        <w:rPr>
          <w:rFonts w:ascii="Times New Roman" w:hAnsi="Times New Roman" w:cs="Times New Roman"/>
          <w:spacing w:val="0"/>
          <w:sz w:val="24"/>
          <w:szCs w:val="24"/>
          <w:lang w:val="uk-UA"/>
        </w:rPr>
        <w:t>.</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spacing w:val="0"/>
          <w:sz w:val="24"/>
          <w:szCs w:val="24"/>
          <w:lang w:val="uk-UA"/>
        </w:rPr>
      </w:pPr>
      <w:r w:rsidRPr="00266F73">
        <w:rPr>
          <w:rFonts w:ascii="Times New Roman" w:hAnsi="Times New Roman" w:cs="Times New Roman"/>
          <w:spacing w:val="0"/>
          <w:sz w:val="24"/>
          <w:szCs w:val="24"/>
          <w:lang w:val="uk-UA"/>
        </w:rPr>
        <w:t xml:space="preserve">Рахунок: </w:t>
      </w:r>
      <w:r w:rsidRPr="00266F73">
        <w:rPr>
          <w:rFonts w:ascii="Times New Roman" w:hAnsi="Times New Roman" w:cs="Times New Roman"/>
          <w:iCs/>
          <w:sz w:val="24"/>
          <w:szCs w:val="24"/>
        </w:rPr>
        <w:t>UA</w:t>
      </w:r>
      <w:r w:rsidRPr="00266F73">
        <w:rPr>
          <w:rFonts w:ascii="Times New Roman" w:hAnsi="Times New Roman" w:cs="Times New Roman"/>
          <w:iCs/>
          <w:sz w:val="24"/>
          <w:szCs w:val="24"/>
          <w:lang w:val="uk-UA"/>
        </w:rPr>
        <w:t>748201720355219003000055549</w:t>
      </w:r>
      <w:r w:rsidRPr="00266F73">
        <w:rPr>
          <w:rFonts w:ascii="Times New Roman" w:hAnsi="Times New Roman" w:cs="Times New Roman"/>
          <w:spacing w:val="0"/>
          <w:sz w:val="24"/>
          <w:szCs w:val="24"/>
          <w:lang w:val="uk-UA"/>
        </w:rPr>
        <w:t>.</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spacing w:val="0"/>
          <w:sz w:val="24"/>
          <w:szCs w:val="24"/>
          <w:lang w:val="uk-UA"/>
        </w:rPr>
      </w:pPr>
      <w:r w:rsidRPr="00266F73">
        <w:rPr>
          <w:rStyle w:val="FontStyle12"/>
          <w:sz w:val="24"/>
          <w:szCs w:val="24"/>
          <w:lang w:val="uk-UA" w:eastAsia="uk-UA"/>
        </w:rPr>
        <w:t xml:space="preserve">Банк одержувача: </w:t>
      </w:r>
      <w:r w:rsidRPr="00266F73">
        <w:rPr>
          <w:rFonts w:ascii="Times New Roman" w:hAnsi="Times New Roman" w:cs="Times New Roman"/>
          <w:spacing w:val="0"/>
          <w:sz w:val="24"/>
          <w:szCs w:val="24"/>
          <w:lang w:val="uk-UA"/>
        </w:rPr>
        <w:t xml:space="preserve">Державна казначейська служба України, м. Київ, </w:t>
      </w:r>
      <w:r w:rsidRPr="00266F73">
        <w:rPr>
          <w:rFonts w:ascii="Times New Roman" w:hAnsi="Times New Roman" w:cs="Times New Roman"/>
          <w:sz w:val="24"/>
          <w:szCs w:val="24"/>
          <w:lang w:val="uk-UA"/>
        </w:rPr>
        <w:t xml:space="preserve">ГУДКСУ у Дніпропетровській області, </w:t>
      </w:r>
      <w:r w:rsidRPr="00266F73">
        <w:rPr>
          <w:rFonts w:ascii="Times New Roman" w:hAnsi="Times New Roman" w:cs="Times New Roman"/>
          <w:spacing w:val="0"/>
          <w:sz w:val="24"/>
          <w:szCs w:val="24"/>
          <w:lang w:val="uk-UA"/>
        </w:rPr>
        <w:t>МФО 820172.</w:t>
      </w:r>
    </w:p>
    <w:p w:rsidR="00266F73" w:rsidRPr="00266F73" w:rsidRDefault="00266F73" w:rsidP="00266F73">
      <w:pPr>
        <w:pStyle w:val="3"/>
        <w:shd w:val="clear" w:color="auto" w:fill="auto"/>
        <w:tabs>
          <w:tab w:val="left" w:pos="720"/>
        </w:tabs>
        <w:spacing w:before="0" w:after="0" w:line="240" w:lineRule="auto"/>
        <w:rPr>
          <w:rFonts w:ascii="Times New Roman" w:hAnsi="Times New Roman" w:cs="Times New Roman"/>
          <w:spacing w:val="0"/>
          <w:sz w:val="24"/>
          <w:szCs w:val="24"/>
          <w:lang w:val="uk-UA"/>
        </w:rPr>
      </w:pPr>
      <w:r w:rsidRPr="00266F73">
        <w:rPr>
          <w:rStyle w:val="FontStyle12"/>
          <w:sz w:val="24"/>
          <w:szCs w:val="24"/>
          <w:lang w:val="uk-UA" w:eastAsia="uk-UA"/>
        </w:rPr>
        <w:t xml:space="preserve">Призначення платежу: </w:t>
      </w:r>
      <w:r w:rsidRPr="00266F73">
        <w:rPr>
          <w:rFonts w:ascii="Times New Roman" w:hAnsi="Times New Roman" w:cs="Times New Roman"/>
          <w:sz w:val="24"/>
          <w:szCs w:val="24"/>
          <w:lang w:val="ru-RU"/>
        </w:rPr>
        <w:t>(</w:t>
      </w:r>
      <w:r w:rsidRPr="00266F73">
        <w:rPr>
          <w:rFonts w:ascii="Times New Roman" w:hAnsi="Times New Roman" w:cs="Times New Roman"/>
          <w:sz w:val="24"/>
          <w:szCs w:val="24"/>
          <w:lang w:val="uk-UA"/>
        </w:rPr>
        <w:t>обов’язково вказати за що та за який об’єкт надійшли кошти</w:t>
      </w:r>
      <w:r w:rsidRPr="00266F73">
        <w:rPr>
          <w:rFonts w:ascii="Times New Roman" w:hAnsi="Times New Roman" w:cs="Times New Roman"/>
          <w:sz w:val="24"/>
          <w:szCs w:val="24"/>
          <w:lang w:val="ru-RU"/>
        </w:rPr>
        <w:t>)</w:t>
      </w:r>
      <w:r w:rsidRPr="00266F73">
        <w:rPr>
          <w:rStyle w:val="FontStyle12"/>
          <w:sz w:val="24"/>
          <w:szCs w:val="24"/>
          <w:lang w:val="uk-UA" w:eastAsia="uk-UA"/>
        </w:rPr>
        <w:t>.</w:t>
      </w:r>
    </w:p>
    <w:p w:rsidR="00266F73" w:rsidRPr="00266F73" w:rsidRDefault="00266F73" w:rsidP="00266F73">
      <w:pPr>
        <w:pStyle w:val="aa"/>
        <w:jc w:val="both"/>
        <w:rPr>
          <w:lang w:val="uk-UA"/>
        </w:rPr>
      </w:pPr>
      <w:r w:rsidRPr="00266F73">
        <w:rPr>
          <w:b/>
          <w:bCs/>
          <w:noProof/>
          <w:lang w:val="uk-UA"/>
        </w:rPr>
        <w:lastRenderedPageBreak/>
        <w:t xml:space="preserve">Реквізити рахунків операторів електронних майданчиків, відкритих для сплати покупцями гарантійних та реєстраційних внесків </w:t>
      </w:r>
      <w:r w:rsidRPr="00266F73">
        <w:rPr>
          <w:noProof/>
          <w:lang w:val="uk-UA"/>
        </w:rPr>
        <w:t xml:space="preserve">розміщені на сайті: </w:t>
      </w:r>
      <w:hyperlink r:id="rId4" w:history="1">
        <w:r w:rsidRPr="00266F73">
          <w:rPr>
            <w:rStyle w:val="a6"/>
            <w:sz w:val="23"/>
            <w:szCs w:val="23"/>
          </w:rPr>
          <w:t>https://prozorro.sale/info/elektronni-majdanchiki-ets-prozorroprodazhi-cbd2</w:t>
        </w:r>
      </w:hyperlink>
      <w:r w:rsidRPr="00266F73">
        <w:rPr>
          <w:color w:val="0563C1"/>
          <w:sz w:val="23"/>
          <w:szCs w:val="23"/>
          <w:u w:val="single"/>
          <w:lang w:val="uk-UA"/>
        </w:rPr>
        <w:t>.</w:t>
      </w:r>
    </w:p>
    <w:p w:rsidR="00266F73" w:rsidRPr="00266F73" w:rsidRDefault="00266F73" w:rsidP="00266F73">
      <w:pPr>
        <w:jc w:val="both"/>
      </w:pPr>
      <w:r w:rsidRPr="00266F73">
        <w:rPr>
          <w:b/>
          <w:bCs/>
        </w:rPr>
        <w:t xml:space="preserve">Час і місце проведення огляду об’єкта: </w:t>
      </w:r>
      <w:r w:rsidRPr="00266F73">
        <w:t>в робочі дні</w:t>
      </w:r>
      <w:r w:rsidRPr="00266F73">
        <w:rPr>
          <w:bCs/>
        </w:rPr>
        <w:t xml:space="preserve"> з 9-00 до 16-00 за попередньою домовленістю </w:t>
      </w:r>
      <w:r w:rsidRPr="00266F73">
        <w:t>за місцем розташування об’єкта.</w:t>
      </w:r>
    </w:p>
    <w:p w:rsidR="00266F73" w:rsidRPr="00266F73" w:rsidRDefault="00266F73" w:rsidP="00266F73">
      <w:pPr>
        <w:spacing w:after="120"/>
        <w:jc w:val="both"/>
        <w:rPr>
          <w:color w:val="000000"/>
        </w:rPr>
      </w:pPr>
      <w:r w:rsidRPr="00266F73">
        <w:rPr>
          <w:b/>
        </w:rPr>
        <w:t xml:space="preserve">Організатор аукціону: </w:t>
      </w:r>
      <w:r w:rsidRPr="00266F73">
        <w:t xml:space="preserve">Регіональне відділення ФДМУ по Дніпропетровській, Запорізькій та Кіровоградській областях адреса: м. Дніпро, вул. Центральна, 6, к. 36, з 9.00 до 18.00, п’ятниця – з 9.00 до 16.45, обідня перерва з 13.00 до 13.45, адреса веб-сайту: </w:t>
      </w:r>
      <w:hyperlink r:id="rId5" w:history="1">
        <w:r w:rsidRPr="00266F73">
          <w:rPr>
            <w:rStyle w:val="a6"/>
          </w:rPr>
          <w:t>www.spfu.gov.ua</w:t>
        </w:r>
      </w:hyperlink>
      <w:r w:rsidRPr="00266F73">
        <w:t xml:space="preserve">, (056) 744-11-41. Контактна особа організатора аукціону, яка є відповідальною за забезпечення можливості огляду об’єкта – Олійник Наталія Георгіївна, </w:t>
      </w:r>
      <w:proofErr w:type="spellStart"/>
      <w:r w:rsidRPr="00266F73">
        <w:t>тел</w:t>
      </w:r>
      <w:proofErr w:type="spellEnd"/>
      <w:r w:rsidRPr="00266F73">
        <w:t xml:space="preserve">. (056) 744-11-41, адреса електронної пошти: </w:t>
      </w:r>
      <w:r w:rsidRPr="00266F73">
        <w:rPr>
          <w:color w:val="000000"/>
          <w:lang w:val="en-US"/>
        </w:rPr>
        <w:t>reform</w:t>
      </w:r>
      <w:r w:rsidRPr="00266F73">
        <w:rPr>
          <w:color w:val="000000"/>
        </w:rPr>
        <w:t>_12@spfu.gov.ua.</w:t>
      </w:r>
    </w:p>
    <w:p w:rsidR="00266F73" w:rsidRPr="00266F73" w:rsidRDefault="00266F73" w:rsidP="00266F73">
      <w:pPr>
        <w:pStyle w:val="a7"/>
        <w:tabs>
          <w:tab w:val="left" w:pos="567"/>
        </w:tabs>
        <w:ind w:right="28"/>
        <w:jc w:val="both"/>
        <w:rPr>
          <w:b/>
          <w:bCs/>
        </w:rPr>
      </w:pPr>
      <w:r w:rsidRPr="00266F73">
        <w:rPr>
          <w:b/>
          <w:bCs/>
        </w:rPr>
        <w:t>5. Технічні реквізити інформаційного повідомлення</w:t>
      </w:r>
    </w:p>
    <w:p w:rsidR="00266F73" w:rsidRPr="00266F73" w:rsidRDefault="00266F73" w:rsidP="00266F73">
      <w:pPr>
        <w:pStyle w:val="a7"/>
        <w:tabs>
          <w:tab w:val="left" w:pos="567"/>
          <w:tab w:val="left" w:pos="993"/>
        </w:tabs>
        <w:ind w:right="-29"/>
        <w:jc w:val="both"/>
      </w:pPr>
      <w:r w:rsidRPr="00266F73">
        <w:rPr>
          <w:b/>
          <w:bCs/>
        </w:rPr>
        <w:t xml:space="preserve">Дата і номер рішення про затвердження умов продажу об’єкта: </w:t>
      </w:r>
      <w:r w:rsidRPr="00266F73">
        <w:t>наказ Регіонального відділення ФДМУ по Дніпропетровській, Запорізькій та Кіровоградській областях від 21.04.2020 №12/01-141-РП.</w:t>
      </w:r>
    </w:p>
    <w:p w:rsidR="00266F73" w:rsidRPr="00266F73" w:rsidRDefault="00266F73" w:rsidP="00266F73">
      <w:pPr>
        <w:pStyle w:val="a7"/>
        <w:tabs>
          <w:tab w:val="left" w:pos="567"/>
          <w:tab w:val="left" w:pos="993"/>
        </w:tabs>
        <w:ind w:right="-29"/>
        <w:jc w:val="both"/>
      </w:pPr>
      <w:r w:rsidRPr="00266F73">
        <w:rPr>
          <w:b/>
          <w:bCs/>
        </w:rPr>
        <w:t>Унікальний код в електронній торговій системі</w:t>
      </w:r>
      <w:r w:rsidRPr="00266F73">
        <w:t>: UA-AR-P-2020-03-12-000003-1.</w:t>
      </w:r>
    </w:p>
    <w:p w:rsidR="00266F73" w:rsidRPr="00266F73" w:rsidRDefault="00266F73" w:rsidP="00266F73">
      <w:pPr>
        <w:spacing w:after="120"/>
        <w:jc w:val="both"/>
        <w:rPr>
          <w:color w:val="000000"/>
        </w:rPr>
      </w:pPr>
      <w:r w:rsidRPr="00266F73">
        <w:rPr>
          <w:b/>
          <w:bCs/>
          <w:color w:val="000000"/>
        </w:rPr>
        <w:t>Період між аукціоном з умовами та аукціоном із зниженням стартової ціни, між аукціоном за методом покрокового зниження ціни та подальшого подання цінових пропозицій</w:t>
      </w:r>
      <w:r w:rsidRPr="00266F73">
        <w:rPr>
          <w:b/>
          <w:bCs/>
        </w:rPr>
        <w:t xml:space="preserve">: </w:t>
      </w:r>
      <w:r w:rsidRPr="00266F73">
        <w:rPr>
          <w:b/>
        </w:rPr>
        <w:t>25</w:t>
      </w:r>
      <w:r w:rsidRPr="00266F73">
        <w:rPr>
          <w:color w:val="000000"/>
        </w:rPr>
        <w:t xml:space="preserve"> календарних днів </w:t>
      </w:r>
      <w:r w:rsidRPr="00266F73">
        <w:t>від дати опублікування інформаційного повідомлення електронною торговою системою про приватизацію об’єкта малої приватизації</w:t>
      </w:r>
      <w:r w:rsidRPr="00266F73">
        <w:rPr>
          <w:color w:val="000000"/>
        </w:rPr>
        <w:t>.</w:t>
      </w:r>
    </w:p>
    <w:p w:rsidR="00266F73" w:rsidRPr="00266F73" w:rsidRDefault="00266F73" w:rsidP="00266F73">
      <w:pPr>
        <w:pStyle w:val="a7"/>
        <w:tabs>
          <w:tab w:val="left" w:pos="567"/>
          <w:tab w:val="left" w:pos="993"/>
        </w:tabs>
        <w:jc w:val="both"/>
        <w:rPr>
          <w:b/>
          <w:bCs/>
        </w:rPr>
      </w:pPr>
      <w:r w:rsidRPr="00266F73">
        <w:rPr>
          <w:b/>
          <w:bCs/>
        </w:rPr>
        <w:t>Мінімальний крок аукціону на рівні 1% стартової ціни для кожного із способів продажу:</w:t>
      </w:r>
    </w:p>
    <w:p w:rsidR="00266F73" w:rsidRPr="00266F73" w:rsidRDefault="00266F73" w:rsidP="00266F73">
      <w:pPr>
        <w:pStyle w:val="a7"/>
        <w:tabs>
          <w:tab w:val="left" w:pos="567"/>
        </w:tabs>
        <w:ind w:right="28"/>
        <w:jc w:val="both"/>
      </w:pPr>
      <w:r w:rsidRPr="00266F73">
        <w:t>продаж на аукціоні з умовами – 83 618,41 грн.;</w:t>
      </w:r>
    </w:p>
    <w:p w:rsidR="00266F73" w:rsidRPr="00266F73" w:rsidRDefault="00266F73" w:rsidP="00266F73">
      <w:pPr>
        <w:pStyle w:val="a7"/>
        <w:tabs>
          <w:tab w:val="left" w:pos="567"/>
        </w:tabs>
        <w:ind w:right="28"/>
        <w:jc w:val="both"/>
      </w:pPr>
      <w:r w:rsidRPr="00266F73">
        <w:t>продаж на аукціоні зі зниженням стартової ціни – 41 809,20 грн.;</w:t>
      </w:r>
    </w:p>
    <w:p w:rsidR="00266F73" w:rsidRPr="00266F73" w:rsidRDefault="00266F73" w:rsidP="00266F73">
      <w:pPr>
        <w:pStyle w:val="a7"/>
        <w:tabs>
          <w:tab w:val="left" w:pos="567"/>
        </w:tabs>
        <w:ind w:right="28"/>
        <w:jc w:val="both"/>
      </w:pPr>
      <w:r w:rsidRPr="00266F73">
        <w:t>продаж на аукціоні за методом покрокового зниження стартової ціни та подальшого подання цінових пропозицій – 41 809,20 грн.</w:t>
      </w:r>
    </w:p>
    <w:p w:rsidR="00266F73" w:rsidRPr="00266F73" w:rsidRDefault="00266F73" w:rsidP="00266F73">
      <w:pPr>
        <w:pStyle w:val="a7"/>
        <w:tabs>
          <w:tab w:val="left" w:pos="567"/>
          <w:tab w:val="left" w:pos="993"/>
        </w:tabs>
        <w:ind w:right="-29"/>
        <w:jc w:val="both"/>
        <w:rPr>
          <w:noProof/>
          <w:lang w:val="ru-RU"/>
        </w:rPr>
      </w:pPr>
      <w:r w:rsidRPr="00266F73">
        <w:rPr>
          <w:b/>
          <w:bCs/>
          <w:color w:val="000000"/>
        </w:rPr>
        <w:t>Єдине посилання на веб - сторінку адміністратора, на якій наводяться посилання на    веб - 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266F73">
        <w:rPr>
          <w:b/>
          <w:bCs/>
        </w:rPr>
        <w:t>:</w:t>
      </w:r>
      <w:r w:rsidRPr="00266F73">
        <w:rPr>
          <w:b/>
          <w:bCs/>
          <w:lang w:val="ru-RU"/>
        </w:rPr>
        <w:t xml:space="preserve"> </w:t>
      </w:r>
      <w:hyperlink r:id="rId6" w:history="1">
        <w:r w:rsidRPr="00266F73">
          <w:rPr>
            <w:rStyle w:val="a6"/>
            <w:noProof/>
            <w:lang w:val="ru-RU"/>
          </w:rPr>
          <w:t>https://prozorro.sale/</w:t>
        </w:r>
      </w:hyperlink>
      <w:r w:rsidRPr="00266F73">
        <w:rPr>
          <w:noProof/>
          <w:lang w:val="ru-RU"/>
        </w:rPr>
        <w:t>.</w:t>
      </w:r>
    </w:p>
    <w:p w:rsidR="00266F73" w:rsidRPr="00266F73" w:rsidRDefault="00266F73" w:rsidP="00266F73">
      <w:pPr>
        <w:pStyle w:val="3"/>
        <w:shd w:val="clear" w:color="auto" w:fill="auto"/>
        <w:tabs>
          <w:tab w:val="left" w:pos="720"/>
        </w:tabs>
        <w:spacing w:before="0" w:after="120" w:line="240" w:lineRule="auto"/>
        <w:rPr>
          <w:rFonts w:ascii="Times New Roman" w:hAnsi="Times New Roman" w:cs="Times New Roman"/>
          <w:noProof/>
          <w:lang w:val="ru-RU"/>
        </w:rPr>
      </w:pPr>
    </w:p>
    <w:p w:rsidR="00266F73" w:rsidRPr="00266F73" w:rsidRDefault="00266F73" w:rsidP="00266F73">
      <w:pPr>
        <w:jc w:val="center"/>
        <w:rPr>
          <w:noProof/>
          <w:lang w:val="ru-RU"/>
        </w:rPr>
      </w:pPr>
    </w:p>
    <w:p w:rsidR="005919B8" w:rsidRPr="00266F73" w:rsidRDefault="005919B8">
      <w:pPr>
        <w:rPr>
          <w:lang w:val="ru-RU"/>
        </w:rPr>
      </w:pPr>
    </w:p>
    <w:sectPr w:rsidR="005919B8" w:rsidRPr="00266F73" w:rsidSect="0016512C">
      <w:headerReference w:type="even" r:id="rId7"/>
      <w:headerReference w:type="default" r:id="rId8"/>
      <w:pgSz w:w="11906" w:h="16838"/>
      <w:pgMar w:top="1134" w:right="567" w:bottom="107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F8" w:rsidRDefault="00266F73" w:rsidP="002229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09F8" w:rsidRDefault="00266F7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F8" w:rsidRPr="0058055D" w:rsidRDefault="00266F73" w:rsidP="00222903">
    <w:pPr>
      <w:pStyle w:val="a3"/>
      <w:framePr w:wrap="around" w:vAnchor="text" w:hAnchor="margin" w:xAlign="center" w:y="1"/>
      <w:rPr>
        <w:rStyle w:val="a5"/>
        <w:sz w:val="20"/>
        <w:szCs w:val="20"/>
      </w:rPr>
    </w:pPr>
  </w:p>
  <w:p w:rsidR="00F009F8" w:rsidRDefault="00266F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73"/>
    <w:rsid w:val="00266F73"/>
    <w:rsid w:val="005919B8"/>
    <w:rsid w:val="00B7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A47D"/>
  <w15:chartTrackingRefBased/>
  <w15:docId w15:val="{5E9F59AF-4141-4E13-AF4C-B6555A84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7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6F73"/>
    <w:pPr>
      <w:tabs>
        <w:tab w:val="center" w:pos="4677"/>
        <w:tab w:val="right" w:pos="9355"/>
      </w:tabs>
    </w:pPr>
  </w:style>
  <w:style w:type="character" w:customStyle="1" w:styleId="a4">
    <w:name w:val="Верхний колонтитул Знак"/>
    <w:basedOn w:val="a0"/>
    <w:link w:val="a3"/>
    <w:rsid w:val="00266F73"/>
    <w:rPr>
      <w:rFonts w:ascii="Times New Roman" w:eastAsia="Times New Roman" w:hAnsi="Times New Roman" w:cs="Times New Roman"/>
      <w:sz w:val="24"/>
      <w:szCs w:val="24"/>
      <w:lang w:val="uk-UA" w:eastAsia="ru-RU"/>
    </w:rPr>
  </w:style>
  <w:style w:type="character" w:styleId="a5">
    <w:name w:val="page number"/>
    <w:basedOn w:val="a0"/>
    <w:rsid w:val="00266F73"/>
  </w:style>
  <w:style w:type="character" w:styleId="a6">
    <w:name w:val="Hyperlink"/>
    <w:rsid w:val="00266F73"/>
    <w:rPr>
      <w:color w:val="0000FF"/>
      <w:u w:val="single"/>
    </w:rPr>
  </w:style>
  <w:style w:type="paragraph" w:customStyle="1" w:styleId="1">
    <w:name w:val=" Знак1"/>
    <w:basedOn w:val="a"/>
    <w:rsid w:val="00266F73"/>
    <w:rPr>
      <w:rFonts w:ascii="Verdana" w:hAnsi="Verdana" w:cs="Verdana"/>
      <w:sz w:val="20"/>
      <w:szCs w:val="20"/>
      <w:lang w:val="en-US" w:eastAsia="en-US"/>
    </w:rPr>
  </w:style>
  <w:style w:type="paragraph" w:styleId="a7">
    <w:name w:val="Body Text"/>
    <w:basedOn w:val="a"/>
    <w:link w:val="a8"/>
    <w:rsid w:val="00266F73"/>
    <w:pPr>
      <w:spacing w:after="120"/>
    </w:pPr>
  </w:style>
  <w:style w:type="character" w:customStyle="1" w:styleId="a8">
    <w:name w:val="Основной текст Знак"/>
    <w:basedOn w:val="a0"/>
    <w:link w:val="a7"/>
    <w:rsid w:val="00266F73"/>
    <w:rPr>
      <w:rFonts w:ascii="Times New Roman" w:eastAsia="Times New Roman" w:hAnsi="Times New Roman" w:cs="Times New Roman"/>
      <w:sz w:val="24"/>
      <w:szCs w:val="24"/>
      <w:lang w:val="uk-UA" w:eastAsia="ru-RU"/>
    </w:rPr>
  </w:style>
  <w:style w:type="character" w:customStyle="1" w:styleId="a9">
    <w:name w:val="Основной текст_"/>
    <w:link w:val="3"/>
    <w:locked/>
    <w:rsid w:val="00266F73"/>
    <w:rPr>
      <w:spacing w:val="4"/>
      <w:sz w:val="25"/>
      <w:szCs w:val="25"/>
      <w:shd w:val="clear" w:color="auto" w:fill="FFFFFF"/>
    </w:rPr>
  </w:style>
  <w:style w:type="paragraph" w:customStyle="1" w:styleId="3">
    <w:name w:val="Основной текст3"/>
    <w:basedOn w:val="a"/>
    <w:link w:val="a9"/>
    <w:rsid w:val="00266F73"/>
    <w:pPr>
      <w:widowControl w:val="0"/>
      <w:shd w:val="clear" w:color="auto" w:fill="FFFFFF"/>
      <w:spacing w:before="360" w:after="240" w:line="317" w:lineRule="exact"/>
      <w:jc w:val="both"/>
    </w:pPr>
    <w:rPr>
      <w:rFonts w:asciiTheme="minorHAnsi" w:eastAsiaTheme="minorHAnsi" w:hAnsiTheme="minorHAnsi" w:cstheme="minorBidi"/>
      <w:spacing w:val="4"/>
      <w:sz w:val="25"/>
      <w:szCs w:val="25"/>
      <w:shd w:val="clear" w:color="auto" w:fill="FFFFFF"/>
      <w:lang w:val="en-US" w:eastAsia="en-US"/>
    </w:rPr>
  </w:style>
  <w:style w:type="character" w:customStyle="1" w:styleId="FontStyle12">
    <w:name w:val="Font Style12"/>
    <w:rsid w:val="00266F73"/>
    <w:rPr>
      <w:rFonts w:ascii="Times New Roman" w:hAnsi="Times New Roman" w:cs="Times New Roman"/>
      <w:sz w:val="20"/>
      <w:szCs w:val="20"/>
    </w:rPr>
  </w:style>
  <w:style w:type="paragraph" w:styleId="aa">
    <w:name w:val="Normal (Web)"/>
    <w:basedOn w:val="a"/>
    <w:semiHidden/>
    <w:rsid w:val="00266F7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zorro.sale/" TargetMode="External"/><Relationship Id="rId5" Type="http://schemas.openxmlformats.org/officeDocument/2006/relationships/hyperlink" Target="http://www.spfu.gov.ua" TargetMode="External"/><Relationship Id="rId10" Type="http://schemas.openxmlformats.org/officeDocument/2006/relationships/theme" Target="theme/theme1.xml"/><Relationship Id="rId4" Type="http://schemas.openxmlformats.org/officeDocument/2006/relationships/hyperlink" Target="https://prozorro.sale/info/elektronni-majdanchiki-ets-prozorroprodazhi-cbd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2020-04-29T12:05:00Z</dcterms:created>
  <dcterms:modified xsi:type="dcterms:W3CDTF">2020-04-29T12:08:00Z</dcterms:modified>
</cp:coreProperties>
</file>