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62" w:rsidRPr="00C32ABE" w:rsidRDefault="00F12562" w:rsidP="00250BDA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250BDA" w:rsidRPr="00C32ABE" w:rsidTr="00B7178F">
        <w:trPr>
          <w:trHeight w:val="699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BDA" w:rsidRDefault="00250BDA" w:rsidP="00B7178F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C32ABE">
              <w:rPr>
                <w:b/>
                <w:noProof/>
              </w:rPr>
              <w:t>ПУБЛІЧНЕ АКЦІОНЕРНЕ ТОВАРИСТВО</w:t>
            </w:r>
          </w:p>
          <w:p w:rsidR="00250BDA" w:rsidRPr="00C32ABE" w:rsidRDefault="00250BDA" w:rsidP="00B7178F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B203F0">
              <w:rPr>
                <w:b/>
                <w:noProof/>
              </w:rPr>
              <w:t>«МАШИНОБУДІВНЕ ВИРОБНИЧЕ ОБ'ЄДНАННЯ «ОРІОН»</w:t>
            </w:r>
          </w:p>
          <w:p w:rsidR="00250BDA" w:rsidRPr="00B203F0" w:rsidRDefault="00250BDA" w:rsidP="00B7178F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C32ABE">
              <w:rPr>
                <w:b/>
                <w:noProof/>
              </w:rPr>
              <w:t>(ідентифікаціний код юридичної особи –</w:t>
            </w:r>
            <w:r>
              <w:rPr>
                <w:b/>
                <w:noProof/>
                <w:lang w:val="en-US"/>
              </w:rPr>
              <w:t xml:space="preserve"> </w:t>
            </w:r>
            <w:r w:rsidRPr="00B203F0">
              <w:rPr>
                <w:b/>
                <w:noProof/>
              </w:rPr>
              <w:t>14309913)</w:t>
            </w:r>
          </w:p>
        </w:tc>
      </w:tr>
    </w:tbl>
    <w:p w:rsidR="008A2513" w:rsidRPr="00C32ABE" w:rsidRDefault="008A2513" w:rsidP="008A2513">
      <w:pPr>
        <w:widowControl w:val="0"/>
        <w:contextualSpacing/>
        <w:rPr>
          <w:b/>
          <w:sz w:val="20"/>
          <w:szCs w:val="20"/>
        </w:rPr>
      </w:pPr>
    </w:p>
    <w:p w:rsidR="008A2513" w:rsidRPr="00C32ABE" w:rsidRDefault="008A2513" w:rsidP="008A2513">
      <w:pPr>
        <w:widowControl w:val="0"/>
        <w:contextualSpacing/>
        <w:jc w:val="center"/>
        <w:rPr>
          <w:b/>
          <w:sz w:val="20"/>
          <w:szCs w:val="20"/>
        </w:rPr>
      </w:pPr>
      <w:r w:rsidRPr="00C32ABE">
        <w:rPr>
          <w:b/>
          <w:sz w:val="20"/>
          <w:szCs w:val="20"/>
        </w:rPr>
        <w:t>БЮЛЕТЕНЬ</w:t>
      </w:r>
    </w:p>
    <w:p w:rsidR="008A2513" w:rsidRPr="00C32ABE" w:rsidRDefault="008A2513" w:rsidP="008A2513">
      <w:pPr>
        <w:widowControl w:val="0"/>
        <w:contextualSpacing/>
        <w:jc w:val="center"/>
        <w:rPr>
          <w:b/>
          <w:sz w:val="20"/>
          <w:szCs w:val="20"/>
        </w:rPr>
      </w:pPr>
      <w:r w:rsidRPr="00C32ABE">
        <w:rPr>
          <w:b/>
          <w:sz w:val="20"/>
          <w:szCs w:val="20"/>
        </w:rPr>
        <w:t xml:space="preserve">для голосування </w:t>
      </w:r>
      <w:r>
        <w:rPr>
          <w:b/>
          <w:sz w:val="20"/>
          <w:szCs w:val="20"/>
        </w:rPr>
        <w:t xml:space="preserve">з питань обрання органів товариства </w:t>
      </w:r>
      <w:r w:rsidRPr="00C32ABE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крім кумулятивного голосування)</w:t>
      </w:r>
      <w:r w:rsidRPr="00C32ABE">
        <w:rPr>
          <w:b/>
          <w:sz w:val="20"/>
          <w:szCs w:val="20"/>
        </w:rPr>
        <w:t xml:space="preserve"> на позачергових загальних зборах акціонерів,</w:t>
      </w:r>
    </w:p>
    <w:p w:rsidR="008A2513" w:rsidRPr="00C32ABE" w:rsidRDefault="008A2513" w:rsidP="008A2513">
      <w:pPr>
        <w:widowControl w:val="0"/>
        <w:contextualSpacing/>
        <w:jc w:val="center"/>
        <w:rPr>
          <w:b/>
          <w:sz w:val="20"/>
          <w:szCs w:val="20"/>
        </w:rPr>
      </w:pPr>
      <w:r w:rsidRPr="00C32ABE">
        <w:rPr>
          <w:b/>
          <w:sz w:val="20"/>
          <w:szCs w:val="20"/>
        </w:rPr>
        <w:t xml:space="preserve">які проводяться дистанційно </w:t>
      </w:r>
      <w:r w:rsidRPr="00B203F0">
        <w:rPr>
          <w:b/>
          <w:sz w:val="20"/>
          <w:szCs w:val="20"/>
          <w:lang w:val="ru-RU"/>
        </w:rPr>
        <w:t>24</w:t>
      </w:r>
      <w:r w:rsidRPr="00C32A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листопада</w:t>
      </w:r>
      <w:r w:rsidRPr="00C32ABE">
        <w:rPr>
          <w:b/>
          <w:sz w:val="20"/>
          <w:szCs w:val="20"/>
        </w:rPr>
        <w:t xml:space="preserve"> 2023 року</w:t>
      </w:r>
    </w:p>
    <w:p w:rsidR="008A2513" w:rsidRPr="00C32ABE" w:rsidRDefault="008A2513" w:rsidP="008A2513">
      <w:pPr>
        <w:widowControl w:val="0"/>
        <w:contextualSpacing/>
        <w:jc w:val="center"/>
        <w:rPr>
          <w:b/>
          <w:sz w:val="16"/>
          <w:szCs w:val="16"/>
        </w:rPr>
      </w:pPr>
    </w:p>
    <w:p w:rsidR="008A2513" w:rsidRPr="00C32ABE" w:rsidRDefault="008A2513" w:rsidP="008A2513">
      <w:pPr>
        <w:widowControl w:val="0"/>
        <w:contextualSpacing/>
        <w:jc w:val="center"/>
        <w:rPr>
          <w:b/>
          <w:sz w:val="16"/>
          <w:szCs w:val="16"/>
        </w:rPr>
      </w:pPr>
    </w:p>
    <w:p w:rsidR="008A2513" w:rsidRPr="00C32ABE" w:rsidRDefault="008A2513" w:rsidP="008A2513">
      <w:pPr>
        <w:widowControl w:val="0"/>
        <w:contextualSpacing/>
        <w:jc w:val="center"/>
        <w:rPr>
          <w:color w:val="000000"/>
          <w:sz w:val="20"/>
          <w:szCs w:val="20"/>
        </w:rPr>
      </w:pPr>
      <w:r w:rsidRPr="00C32ABE">
        <w:rPr>
          <w:color w:val="000000"/>
          <w:sz w:val="20"/>
          <w:szCs w:val="20"/>
        </w:rPr>
        <w:t>(голосування на позачергових</w:t>
      </w:r>
      <w:r w:rsidRPr="00C32ABE">
        <w:rPr>
          <w:sz w:val="20"/>
          <w:szCs w:val="20"/>
        </w:rPr>
        <w:t xml:space="preserve"> загальних зборах акціонерів Публічного акціонерного товариства «</w:t>
      </w:r>
      <w:r w:rsidRPr="00B203F0">
        <w:rPr>
          <w:sz w:val="20"/>
          <w:szCs w:val="20"/>
        </w:rPr>
        <w:t>Машинобудівне виробниче об’єднання «Оріон»</w:t>
      </w:r>
      <w:r w:rsidRPr="00C32ABE">
        <w:rPr>
          <w:sz w:val="20"/>
          <w:szCs w:val="20"/>
        </w:rPr>
        <w:t>»</w:t>
      </w:r>
    </w:p>
    <w:p w:rsidR="008A2513" w:rsidRDefault="008A2513" w:rsidP="008A2513">
      <w:pPr>
        <w:widowControl w:val="0"/>
        <w:contextualSpacing/>
        <w:jc w:val="center"/>
        <w:rPr>
          <w:color w:val="000000"/>
          <w:sz w:val="20"/>
          <w:szCs w:val="20"/>
        </w:rPr>
      </w:pPr>
      <w:r w:rsidRPr="00C32ABE">
        <w:rPr>
          <w:color w:val="000000"/>
          <w:sz w:val="20"/>
          <w:szCs w:val="20"/>
        </w:rPr>
        <w:t xml:space="preserve">починається </w:t>
      </w:r>
      <w:r>
        <w:rPr>
          <w:color w:val="000000"/>
          <w:sz w:val="20"/>
          <w:szCs w:val="20"/>
        </w:rPr>
        <w:t>14</w:t>
      </w:r>
      <w:r w:rsidRPr="00C32ABE">
        <w:rPr>
          <w:color w:val="000000"/>
          <w:sz w:val="20"/>
          <w:szCs w:val="20"/>
        </w:rPr>
        <w:t xml:space="preserve"> ли</w:t>
      </w:r>
      <w:r>
        <w:rPr>
          <w:color w:val="000000"/>
          <w:sz w:val="20"/>
          <w:szCs w:val="20"/>
        </w:rPr>
        <w:t>стопада</w:t>
      </w:r>
      <w:r w:rsidRPr="00C32ABE">
        <w:rPr>
          <w:color w:val="000000"/>
          <w:sz w:val="20"/>
          <w:szCs w:val="20"/>
        </w:rPr>
        <w:t xml:space="preserve"> 2023 року о 09 годині 00 хв. та завершується </w:t>
      </w:r>
      <w:r>
        <w:rPr>
          <w:color w:val="000000"/>
          <w:sz w:val="20"/>
          <w:szCs w:val="20"/>
        </w:rPr>
        <w:t>24</w:t>
      </w:r>
      <w:r w:rsidRPr="00C32AB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листопада</w:t>
      </w:r>
      <w:r w:rsidRPr="00C32ABE">
        <w:rPr>
          <w:color w:val="000000"/>
          <w:sz w:val="20"/>
          <w:szCs w:val="20"/>
        </w:rPr>
        <w:t xml:space="preserve"> 2023 року о 18 годині 00 хв.)</w:t>
      </w:r>
    </w:p>
    <w:p w:rsidR="005A2093" w:rsidRPr="00C32ABE" w:rsidRDefault="005A2093" w:rsidP="008A2513">
      <w:pPr>
        <w:widowControl w:val="0"/>
        <w:contextualSpacing/>
        <w:jc w:val="center"/>
        <w:rPr>
          <w:color w:val="000000"/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5A2093" w:rsidRPr="00C32ABE" w:rsidTr="00B7178F">
        <w:tc>
          <w:tcPr>
            <w:tcW w:w="4928" w:type="dxa"/>
            <w:vAlign w:val="center"/>
          </w:tcPr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>Дата проведення позачергових загальних зборів акціонерів:</w:t>
            </w:r>
          </w:p>
        </w:tc>
        <w:tc>
          <w:tcPr>
            <w:tcW w:w="5044" w:type="dxa"/>
            <w:vAlign w:val="center"/>
          </w:tcPr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</w:p>
        </w:tc>
      </w:tr>
      <w:tr w:rsidR="005A2093" w:rsidRPr="00C32ABE" w:rsidTr="00B7178F">
        <w:tc>
          <w:tcPr>
            <w:tcW w:w="4928" w:type="dxa"/>
            <w:vAlign w:val="center"/>
          </w:tcPr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</w:p>
        </w:tc>
      </w:tr>
    </w:tbl>
    <w:p w:rsidR="005A2093" w:rsidRPr="00C32ABE" w:rsidRDefault="005A2093" w:rsidP="005A2093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5A2093" w:rsidRPr="00C32ABE" w:rsidTr="00B7178F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5A2093" w:rsidRPr="00C32ABE" w:rsidRDefault="005A2093" w:rsidP="00B7178F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C32ABE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5A2093" w:rsidRPr="00C32ABE" w:rsidTr="00B7178F">
        <w:trPr>
          <w:trHeight w:val="830"/>
        </w:trPr>
        <w:tc>
          <w:tcPr>
            <w:tcW w:w="4928" w:type="dxa"/>
            <w:vAlign w:val="center"/>
          </w:tcPr>
          <w:p w:rsidR="005A2093" w:rsidRPr="00C32ABE" w:rsidRDefault="005A2093" w:rsidP="00B7178F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C32ABE">
              <w:rPr>
                <w:bCs/>
                <w:color w:val="000000"/>
                <w:sz w:val="20"/>
                <w:szCs w:val="20"/>
              </w:rPr>
              <w:t>Прізвище, ім'я та по батькові/Найменування акціонера</w:t>
            </w:r>
          </w:p>
        </w:tc>
        <w:tc>
          <w:tcPr>
            <w:tcW w:w="504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A2093" w:rsidRPr="00C32ABE" w:rsidTr="00B7178F">
        <w:trPr>
          <w:trHeight w:val="580"/>
        </w:trPr>
        <w:tc>
          <w:tcPr>
            <w:tcW w:w="4928" w:type="dxa"/>
            <w:vAlign w:val="center"/>
          </w:tcPr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C32ABE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A2093" w:rsidRPr="00C32ABE" w:rsidTr="00B7178F">
        <w:trPr>
          <w:trHeight w:val="1900"/>
        </w:trPr>
        <w:tc>
          <w:tcPr>
            <w:tcW w:w="4928" w:type="dxa"/>
            <w:vAlign w:val="center"/>
          </w:tcPr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C32ABE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>або</w:t>
            </w:r>
          </w:p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C32ABE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C32ABE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2ABE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C32A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A2093" w:rsidRPr="00C32ABE" w:rsidRDefault="005A2093" w:rsidP="005A2093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5A2093" w:rsidRPr="00C32ABE" w:rsidTr="00B7178F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5A2093" w:rsidRPr="00C32ABE" w:rsidRDefault="005A2093" w:rsidP="00B7178F">
            <w:pPr>
              <w:contextualSpacing/>
              <w:rPr>
                <w:b/>
                <w:sz w:val="20"/>
                <w:szCs w:val="20"/>
              </w:rPr>
            </w:pPr>
            <w:r w:rsidRPr="00C32ABE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5A2093" w:rsidRPr="00C32ABE" w:rsidTr="00B7178F">
        <w:trPr>
          <w:trHeight w:val="1202"/>
        </w:trPr>
        <w:tc>
          <w:tcPr>
            <w:tcW w:w="4928" w:type="dxa"/>
            <w:vAlign w:val="center"/>
          </w:tcPr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>Прізвище, ім’я та по батькові</w:t>
            </w:r>
            <w:r w:rsidRPr="00C32ABE">
              <w:rPr>
                <w:bCs/>
                <w:color w:val="000000"/>
                <w:sz w:val="20"/>
                <w:szCs w:val="20"/>
              </w:rPr>
              <w:t>/ Найменування</w:t>
            </w:r>
            <w:r w:rsidRPr="00C32ABE">
              <w:rPr>
                <w:sz w:val="20"/>
                <w:szCs w:val="20"/>
              </w:rPr>
              <w:t xml:space="preserve"> представника акціонера</w:t>
            </w:r>
          </w:p>
          <w:p w:rsidR="005A2093" w:rsidRPr="00C32ABE" w:rsidRDefault="005A2093" w:rsidP="00B7178F">
            <w:pPr>
              <w:contextualSpacing/>
              <w:rPr>
                <w:i/>
                <w:sz w:val="20"/>
                <w:szCs w:val="20"/>
              </w:rPr>
            </w:pPr>
            <w:r w:rsidRPr="00C32ABE">
              <w:rPr>
                <w:i/>
                <w:sz w:val="20"/>
                <w:szCs w:val="20"/>
              </w:rPr>
              <w:t>(а також прізвище, ім’я та по батькові фізичної особи – представника юридичної особи – представника акціонера (за наявності))</w:t>
            </w:r>
          </w:p>
          <w:p w:rsidR="005A2093" w:rsidRPr="00C32ABE" w:rsidRDefault="005A2093" w:rsidP="00B7178F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A2093" w:rsidRPr="00C32ABE" w:rsidTr="00B7178F">
        <w:trPr>
          <w:trHeight w:val="1174"/>
        </w:trPr>
        <w:tc>
          <w:tcPr>
            <w:tcW w:w="4928" w:type="dxa"/>
          </w:tcPr>
          <w:p w:rsidR="005A2093" w:rsidRPr="00C32ABE" w:rsidRDefault="005A2093" w:rsidP="00B7178F">
            <w:pPr>
              <w:contextualSpacing/>
              <w:jc w:val="both"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C32ABE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5A2093" w:rsidRPr="00C32ABE" w:rsidRDefault="005A2093" w:rsidP="00B7178F">
            <w:pPr>
              <w:rPr>
                <w:sz w:val="22"/>
                <w:szCs w:val="22"/>
              </w:rPr>
            </w:pPr>
          </w:p>
        </w:tc>
      </w:tr>
      <w:tr w:rsidR="005A2093" w:rsidRPr="00C32ABE" w:rsidTr="00B7178F">
        <w:trPr>
          <w:trHeight w:val="692"/>
        </w:trPr>
        <w:tc>
          <w:tcPr>
            <w:tcW w:w="4928" w:type="dxa"/>
          </w:tcPr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C32ABE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5A2093" w:rsidRPr="00C32ABE" w:rsidRDefault="005A209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C32ABE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C32ABE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2ABE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5A2093" w:rsidRPr="00C32ABE" w:rsidTr="00B7178F">
        <w:trPr>
          <w:trHeight w:val="1040"/>
        </w:trPr>
        <w:tc>
          <w:tcPr>
            <w:tcW w:w="4928" w:type="dxa"/>
          </w:tcPr>
          <w:p w:rsidR="005A2093" w:rsidRPr="00C32ABE" w:rsidRDefault="005A2093" w:rsidP="00B7178F">
            <w:pPr>
              <w:contextualSpacing/>
              <w:jc w:val="both"/>
              <w:rPr>
                <w:sz w:val="20"/>
                <w:szCs w:val="20"/>
              </w:rPr>
            </w:pPr>
          </w:p>
          <w:p w:rsidR="005A2093" w:rsidRPr="00C32ABE" w:rsidRDefault="005A2093" w:rsidP="00B7178F">
            <w:pPr>
              <w:contextualSpacing/>
              <w:jc w:val="both"/>
              <w:rPr>
                <w:sz w:val="20"/>
                <w:szCs w:val="20"/>
              </w:rPr>
            </w:pPr>
            <w:r w:rsidRPr="00C32ABE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C32ABE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A2093" w:rsidRPr="00C32ABE" w:rsidRDefault="005A2093" w:rsidP="005A2093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5A2093" w:rsidRPr="00C32ABE" w:rsidTr="00B7178F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5A2093" w:rsidRPr="00C32ABE" w:rsidRDefault="005A2093" w:rsidP="00B7178F">
            <w:pPr>
              <w:contextualSpacing/>
              <w:rPr>
                <w:b/>
                <w:bCs/>
                <w:sz w:val="20"/>
                <w:szCs w:val="20"/>
              </w:rPr>
            </w:pPr>
            <w:r w:rsidRPr="00C32ABE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5A2093" w:rsidRPr="00C32ABE" w:rsidTr="00B7178F">
        <w:trPr>
          <w:trHeight w:val="115"/>
        </w:trPr>
        <w:tc>
          <w:tcPr>
            <w:tcW w:w="312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320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</w:rPr>
            </w:pPr>
          </w:p>
        </w:tc>
        <w:tc>
          <w:tcPr>
            <w:tcW w:w="7145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5A2093" w:rsidRPr="00C32ABE" w:rsidTr="00B7178F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5A2093" w:rsidRPr="00C32ABE" w:rsidRDefault="005A2093" w:rsidP="00B7178F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C32ABE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5A2093" w:rsidRPr="00C32ABE" w:rsidRDefault="005A2093" w:rsidP="00B7178F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A2093" w:rsidRPr="00C32ABE" w:rsidTr="00B7178F">
        <w:trPr>
          <w:trHeight w:val="115"/>
        </w:trPr>
        <w:tc>
          <w:tcPr>
            <w:tcW w:w="2827" w:type="dxa"/>
            <w:gridSpan w:val="9"/>
            <w:vMerge/>
          </w:tcPr>
          <w:p w:rsidR="005A2093" w:rsidRPr="00C32ABE" w:rsidRDefault="005A2093" w:rsidP="00B7178F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5A2093" w:rsidRPr="00C32ABE" w:rsidRDefault="005A2093" w:rsidP="00B7178F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5A2093" w:rsidRPr="00C32ABE" w:rsidTr="00B7178F">
        <w:trPr>
          <w:trHeight w:val="115"/>
        </w:trPr>
        <w:tc>
          <w:tcPr>
            <w:tcW w:w="2827" w:type="dxa"/>
            <w:gridSpan w:val="9"/>
            <w:vMerge/>
          </w:tcPr>
          <w:p w:rsidR="005A2093" w:rsidRPr="00C32ABE" w:rsidRDefault="005A2093" w:rsidP="00B7178F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5A2093" w:rsidRPr="00C32ABE" w:rsidRDefault="005A2093" w:rsidP="00B7178F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C32ABE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5A2093" w:rsidRPr="00C32ABE" w:rsidRDefault="005A2093" w:rsidP="005A2093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5A2093" w:rsidRPr="00C32ABE" w:rsidTr="00B7178F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5A2093" w:rsidRPr="00C32ABE" w:rsidRDefault="005A2093" w:rsidP="00B7178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32ABE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5A2093" w:rsidRPr="00C32ABE" w:rsidRDefault="005A2093" w:rsidP="005A2093">
      <w:pPr>
        <w:rPr>
          <w:sz w:val="6"/>
        </w:rPr>
      </w:pPr>
    </w:p>
    <w:p w:rsidR="008A2513" w:rsidRPr="00C32ABE" w:rsidRDefault="008A2513" w:rsidP="008A2513">
      <w:pPr>
        <w:widowControl w:val="0"/>
        <w:contextualSpacing/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A2513" w:rsidRPr="00C32ABE" w:rsidTr="00B7178F">
        <w:trPr>
          <w:trHeight w:val="717"/>
        </w:trPr>
        <w:tc>
          <w:tcPr>
            <w:tcW w:w="3119" w:type="dxa"/>
            <w:vAlign w:val="center"/>
          </w:tcPr>
          <w:p w:rsidR="008A2513" w:rsidRPr="00C32ABE" w:rsidRDefault="008A2513" w:rsidP="00B7178F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C32ABE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C32ABE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A2513" w:rsidRPr="00405CA8" w:rsidRDefault="008A2513" w:rsidP="00B7178F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05CA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Прийняття рішення про обрання Голови правління Товариства.</w:t>
            </w:r>
          </w:p>
        </w:tc>
      </w:tr>
      <w:tr w:rsidR="008A2513" w:rsidRPr="00C32ABE" w:rsidTr="00B7178F">
        <w:trPr>
          <w:trHeight w:val="717"/>
        </w:trPr>
        <w:tc>
          <w:tcPr>
            <w:tcW w:w="3119" w:type="dxa"/>
            <w:vAlign w:val="center"/>
          </w:tcPr>
          <w:p w:rsidR="008A2513" w:rsidRPr="00C32ABE" w:rsidDel="005364B8" w:rsidRDefault="008A2513" w:rsidP="00B7178F">
            <w:pPr>
              <w:contextualSpacing/>
              <w:rPr>
                <w:sz w:val="20"/>
                <w:szCs w:val="20"/>
              </w:rPr>
            </w:pPr>
            <w:r w:rsidRPr="00C32ABE">
              <w:rPr>
                <w:bCs/>
                <w:iCs/>
                <w:color w:val="000000"/>
                <w:sz w:val="20"/>
                <w:szCs w:val="20"/>
              </w:rPr>
              <w:t>Проект рішення №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C32ABE">
              <w:rPr>
                <w:bCs/>
                <w:iCs/>
                <w:color w:val="000000"/>
                <w:sz w:val="20"/>
                <w:szCs w:val="20"/>
              </w:rPr>
              <w:t xml:space="preserve">1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C32ABE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8A2513" w:rsidRPr="00C32ABE" w:rsidRDefault="008A2513" w:rsidP="00B7178F">
            <w:pPr>
              <w:ind w:left="14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05CA8">
              <w:rPr>
                <w:color w:val="000000"/>
                <w:sz w:val="20"/>
                <w:szCs w:val="20"/>
              </w:rPr>
              <w:t>Прийняти рішення про обрання (призначення) КУШНЕРУКА Володимира Івановича Головою Правління Товариства з дати наступної після прийняття цього рішення.</w:t>
            </w:r>
          </w:p>
        </w:tc>
      </w:tr>
      <w:tr w:rsidR="008A2513" w:rsidRPr="00C32ABE" w:rsidTr="00B7178F">
        <w:trPr>
          <w:trHeight w:val="593"/>
        </w:trPr>
        <w:tc>
          <w:tcPr>
            <w:tcW w:w="3119" w:type="dxa"/>
            <w:vAlign w:val="center"/>
          </w:tcPr>
          <w:p w:rsidR="008A2513" w:rsidRPr="00C32ABE" w:rsidRDefault="008A2513" w:rsidP="00B7178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32ABE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8A2513" w:rsidRPr="00C32ABE" w:rsidRDefault="008A2513" w:rsidP="00B7178F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8A2513" w:rsidRPr="00C32ABE" w:rsidTr="00B7178F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513" w:rsidRPr="00C32ABE" w:rsidRDefault="008A2513" w:rsidP="00B7178F">
                  <w:pPr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2513" w:rsidRPr="00C32ABE" w:rsidRDefault="008A2513" w:rsidP="00B7178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32ABE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513" w:rsidRPr="00C32ABE" w:rsidRDefault="008A2513" w:rsidP="00B7178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8A2513" w:rsidRPr="00C32ABE" w:rsidRDefault="008A2513" w:rsidP="00B7178F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32ABE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</w:tr>
          </w:tbl>
          <w:p w:rsidR="008A2513" w:rsidRPr="00C32ABE" w:rsidRDefault="008A2513" w:rsidP="00B7178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8A2513" w:rsidRPr="00C32ABE" w:rsidRDefault="008A2513" w:rsidP="00637134">
      <w:pPr>
        <w:rPr>
          <w:sz w:val="10"/>
          <w:szCs w:val="10"/>
        </w:rPr>
      </w:pPr>
      <w:bookmarkStart w:id="0" w:name="_GoBack"/>
      <w:bookmarkEnd w:id="0"/>
    </w:p>
    <w:sectPr w:rsidR="008A2513" w:rsidRPr="00C32ABE" w:rsidSect="001875A7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6B" w:rsidRDefault="0089456B" w:rsidP="00C1614F">
      <w:r>
        <w:separator/>
      </w:r>
    </w:p>
  </w:endnote>
  <w:endnote w:type="continuationSeparator" w:id="0">
    <w:p w:rsidR="0089456B" w:rsidRDefault="0089456B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:rsidTr="005F386D">
      <w:trPr>
        <w:trHeight w:val="1547"/>
      </w:trPr>
      <w:tc>
        <w:tcPr>
          <w:tcW w:w="9911" w:type="dxa"/>
          <w:gridSpan w:val="6"/>
        </w:tcPr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:rsidTr="005F386D">
      <w:trPr>
        <w:trHeight w:val="47"/>
      </w:trPr>
      <w:tc>
        <w:tcPr>
          <w:tcW w:w="9911" w:type="dxa"/>
          <w:gridSpan w:val="6"/>
        </w:tcPr>
        <w:p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:rsidTr="005F386D">
      <w:tc>
        <w:tcPr>
          <w:tcW w:w="2002" w:type="dxa"/>
          <w:vMerge w:val="restart"/>
          <w:vAlign w:val="center"/>
        </w:tcPr>
        <w:p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5A2093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A9383D" w:rsidRPr="002423F4" w:rsidRDefault="00A9383D" w:rsidP="006C6024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6B" w:rsidRDefault="0089456B" w:rsidP="00C1614F">
      <w:r>
        <w:separator/>
      </w:r>
    </w:p>
  </w:footnote>
  <w:footnote w:type="continuationSeparator" w:id="0">
    <w:p w:rsidR="0089456B" w:rsidRDefault="0089456B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C0E4A"/>
    <w:multiLevelType w:val="hybridMultilevel"/>
    <w:tmpl w:val="7AA0A892"/>
    <w:lvl w:ilvl="0" w:tplc="C53C417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"/>
  </w:num>
  <w:num w:numId="5">
    <w:abstractNumId w:val="20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0278"/>
    <w:rsid w:val="0000336C"/>
    <w:rsid w:val="00005FC3"/>
    <w:rsid w:val="000110C9"/>
    <w:rsid w:val="00011425"/>
    <w:rsid w:val="0001217D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306"/>
    <w:rsid w:val="00061772"/>
    <w:rsid w:val="00076CE7"/>
    <w:rsid w:val="000A5CB3"/>
    <w:rsid w:val="000B2C30"/>
    <w:rsid w:val="000C4ECB"/>
    <w:rsid w:val="000E24FD"/>
    <w:rsid w:val="000E52DD"/>
    <w:rsid w:val="000E79AD"/>
    <w:rsid w:val="000F1E47"/>
    <w:rsid w:val="001210B9"/>
    <w:rsid w:val="0012237D"/>
    <w:rsid w:val="0014259A"/>
    <w:rsid w:val="00145738"/>
    <w:rsid w:val="0015347E"/>
    <w:rsid w:val="0015383C"/>
    <w:rsid w:val="00156870"/>
    <w:rsid w:val="001608C1"/>
    <w:rsid w:val="001665F1"/>
    <w:rsid w:val="0016789B"/>
    <w:rsid w:val="00170373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46DE5"/>
    <w:rsid w:val="00250BDA"/>
    <w:rsid w:val="00252C88"/>
    <w:rsid w:val="0025701A"/>
    <w:rsid w:val="002572B4"/>
    <w:rsid w:val="00263F98"/>
    <w:rsid w:val="002650FC"/>
    <w:rsid w:val="00272BAF"/>
    <w:rsid w:val="002738FE"/>
    <w:rsid w:val="00281C79"/>
    <w:rsid w:val="00290E9D"/>
    <w:rsid w:val="00291DE9"/>
    <w:rsid w:val="00295391"/>
    <w:rsid w:val="002A6293"/>
    <w:rsid w:val="002A6473"/>
    <w:rsid w:val="002B0F89"/>
    <w:rsid w:val="002B2ADF"/>
    <w:rsid w:val="002B2C11"/>
    <w:rsid w:val="002B4EE3"/>
    <w:rsid w:val="002B6A3E"/>
    <w:rsid w:val="002B7A50"/>
    <w:rsid w:val="002D5286"/>
    <w:rsid w:val="002D605C"/>
    <w:rsid w:val="002D7D38"/>
    <w:rsid w:val="002E4443"/>
    <w:rsid w:val="002E5CC8"/>
    <w:rsid w:val="002E6A9E"/>
    <w:rsid w:val="002F3009"/>
    <w:rsid w:val="003006DE"/>
    <w:rsid w:val="00303E45"/>
    <w:rsid w:val="003076A9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3436"/>
    <w:rsid w:val="00374DA9"/>
    <w:rsid w:val="00376D0D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E22AE"/>
    <w:rsid w:val="003E57CF"/>
    <w:rsid w:val="003F22D4"/>
    <w:rsid w:val="003F2C75"/>
    <w:rsid w:val="00405CA8"/>
    <w:rsid w:val="004108D3"/>
    <w:rsid w:val="00410C6F"/>
    <w:rsid w:val="004111E2"/>
    <w:rsid w:val="00411C93"/>
    <w:rsid w:val="00413F28"/>
    <w:rsid w:val="00417D13"/>
    <w:rsid w:val="00424B44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774AF"/>
    <w:rsid w:val="00484F4B"/>
    <w:rsid w:val="0049108E"/>
    <w:rsid w:val="0049576C"/>
    <w:rsid w:val="004A1DAA"/>
    <w:rsid w:val="004A37F8"/>
    <w:rsid w:val="004B7B09"/>
    <w:rsid w:val="004C404E"/>
    <w:rsid w:val="004C69A4"/>
    <w:rsid w:val="004E65F1"/>
    <w:rsid w:val="004E7E6C"/>
    <w:rsid w:val="005174C3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A0F7B"/>
    <w:rsid w:val="005A2093"/>
    <w:rsid w:val="005A7BA4"/>
    <w:rsid w:val="005B2510"/>
    <w:rsid w:val="005C0AA2"/>
    <w:rsid w:val="005C1809"/>
    <w:rsid w:val="005C54A4"/>
    <w:rsid w:val="005D22AA"/>
    <w:rsid w:val="005D3F97"/>
    <w:rsid w:val="005D666A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0547C"/>
    <w:rsid w:val="00614B33"/>
    <w:rsid w:val="00631127"/>
    <w:rsid w:val="00634FAC"/>
    <w:rsid w:val="00636EE7"/>
    <w:rsid w:val="00637134"/>
    <w:rsid w:val="006433D7"/>
    <w:rsid w:val="0064392E"/>
    <w:rsid w:val="00646944"/>
    <w:rsid w:val="00651C61"/>
    <w:rsid w:val="00652BE2"/>
    <w:rsid w:val="00660C4A"/>
    <w:rsid w:val="00663623"/>
    <w:rsid w:val="00664D5C"/>
    <w:rsid w:val="00670CD2"/>
    <w:rsid w:val="00671635"/>
    <w:rsid w:val="006722B3"/>
    <w:rsid w:val="006771F7"/>
    <w:rsid w:val="00687663"/>
    <w:rsid w:val="006954FF"/>
    <w:rsid w:val="00696801"/>
    <w:rsid w:val="00697D80"/>
    <w:rsid w:val="006A3694"/>
    <w:rsid w:val="006A7241"/>
    <w:rsid w:val="006B3E45"/>
    <w:rsid w:val="006B72FA"/>
    <w:rsid w:val="006C17C1"/>
    <w:rsid w:val="006C2718"/>
    <w:rsid w:val="006C41AC"/>
    <w:rsid w:val="006C437C"/>
    <w:rsid w:val="006C4F61"/>
    <w:rsid w:val="006C5731"/>
    <w:rsid w:val="006C6024"/>
    <w:rsid w:val="006E0C10"/>
    <w:rsid w:val="006E3C86"/>
    <w:rsid w:val="006F0854"/>
    <w:rsid w:val="006F2DC1"/>
    <w:rsid w:val="0070117E"/>
    <w:rsid w:val="00701AE3"/>
    <w:rsid w:val="0070669F"/>
    <w:rsid w:val="00710EF6"/>
    <w:rsid w:val="007165D1"/>
    <w:rsid w:val="007225D7"/>
    <w:rsid w:val="007240C8"/>
    <w:rsid w:val="007250D0"/>
    <w:rsid w:val="00725D2E"/>
    <w:rsid w:val="007270E5"/>
    <w:rsid w:val="00733B34"/>
    <w:rsid w:val="00734298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A7C57"/>
    <w:rsid w:val="007B4FB8"/>
    <w:rsid w:val="007C286C"/>
    <w:rsid w:val="007C57AB"/>
    <w:rsid w:val="007C78B3"/>
    <w:rsid w:val="007D3840"/>
    <w:rsid w:val="007D4525"/>
    <w:rsid w:val="007E0B2A"/>
    <w:rsid w:val="007E3C95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0C64"/>
    <w:rsid w:val="008228CF"/>
    <w:rsid w:val="0082359A"/>
    <w:rsid w:val="00823FA6"/>
    <w:rsid w:val="00831D9B"/>
    <w:rsid w:val="00832B39"/>
    <w:rsid w:val="00847641"/>
    <w:rsid w:val="008522BC"/>
    <w:rsid w:val="00853C58"/>
    <w:rsid w:val="008614B5"/>
    <w:rsid w:val="00863F3E"/>
    <w:rsid w:val="00867369"/>
    <w:rsid w:val="00873C1B"/>
    <w:rsid w:val="00876219"/>
    <w:rsid w:val="008807FE"/>
    <w:rsid w:val="0088140C"/>
    <w:rsid w:val="008838C3"/>
    <w:rsid w:val="0089456B"/>
    <w:rsid w:val="00894C34"/>
    <w:rsid w:val="008A1074"/>
    <w:rsid w:val="008A2513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E07F6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4651C"/>
    <w:rsid w:val="009519BF"/>
    <w:rsid w:val="009521CB"/>
    <w:rsid w:val="00953166"/>
    <w:rsid w:val="00954E2B"/>
    <w:rsid w:val="00954ECD"/>
    <w:rsid w:val="009638B7"/>
    <w:rsid w:val="009659AC"/>
    <w:rsid w:val="00967F25"/>
    <w:rsid w:val="00972665"/>
    <w:rsid w:val="0098562C"/>
    <w:rsid w:val="00995316"/>
    <w:rsid w:val="00996347"/>
    <w:rsid w:val="009A1BAA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30210"/>
    <w:rsid w:val="00A40054"/>
    <w:rsid w:val="00A4203A"/>
    <w:rsid w:val="00A4759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38D"/>
    <w:rsid w:val="00A93563"/>
    <w:rsid w:val="00A9383D"/>
    <w:rsid w:val="00A948B7"/>
    <w:rsid w:val="00A955EE"/>
    <w:rsid w:val="00AA1B8B"/>
    <w:rsid w:val="00AB2BA4"/>
    <w:rsid w:val="00AB6A8F"/>
    <w:rsid w:val="00AB6BB7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B11299"/>
    <w:rsid w:val="00B12CCE"/>
    <w:rsid w:val="00B16B19"/>
    <w:rsid w:val="00B203F0"/>
    <w:rsid w:val="00B2649F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28FF"/>
    <w:rsid w:val="00BE427D"/>
    <w:rsid w:val="00BE5E02"/>
    <w:rsid w:val="00BF4EF1"/>
    <w:rsid w:val="00BF5530"/>
    <w:rsid w:val="00C01DE5"/>
    <w:rsid w:val="00C138E5"/>
    <w:rsid w:val="00C1614F"/>
    <w:rsid w:val="00C16E48"/>
    <w:rsid w:val="00C226B6"/>
    <w:rsid w:val="00C2394A"/>
    <w:rsid w:val="00C26C65"/>
    <w:rsid w:val="00C321E8"/>
    <w:rsid w:val="00C32ABE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937D3"/>
    <w:rsid w:val="00CA0D09"/>
    <w:rsid w:val="00CA62A3"/>
    <w:rsid w:val="00CA7BFF"/>
    <w:rsid w:val="00CB1EC8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170"/>
    <w:rsid w:val="00CE1A63"/>
    <w:rsid w:val="00CE568B"/>
    <w:rsid w:val="00CE5B32"/>
    <w:rsid w:val="00CF2269"/>
    <w:rsid w:val="00CF5878"/>
    <w:rsid w:val="00CF724A"/>
    <w:rsid w:val="00D05E69"/>
    <w:rsid w:val="00D160A8"/>
    <w:rsid w:val="00D1798F"/>
    <w:rsid w:val="00D37B20"/>
    <w:rsid w:val="00D436C6"/>
    <w:rsid w:val="00D46493"/>
    <w:rsid w:val="00D54063"/>
    <w:rsid w:val="00D608BC"/>
    <w:rsid w:val="00D613DE"/>
    <w:rsid w:val="00D70067"/>
    <w:rsid w:val="00D7160A"/>
    <w:rsid w:val="00D72452"/>
    <w:rsid w:val="00D7392C"/>
    <w:rsid w:val="00D7513F"/>
    <w:rsid w:val="00D90B8E"/>
    <w:rsid w:val="00D91E45"/>
    <w:rsid w:val="00D946D9"/>
    <w:rsid w:val="00D95406"/>
    <w:rsid w:val="00D955A3"/>
    <w:rsid w:val="00DA0E80"/>
    <w:rsid w:val="00DA29B3"/>
    <w:rsid w:val="00DD1A69"/>
    <w:rsid w:val="00DD36C3"/>
    <w:rsid w:val="00DD4EC4"/>
    <w:rsid w:val="00DD6C5F"/>
    <w:rsid w:val="00DD757E"/>
    <w:rsid w:val="00DF2ECE"/>
    <w:rsid w:val="00DF7EDC"/>
    <w:rsid w:val="00E06615"/>
    <w:rsid w:val="00E14101"/>
    <w:rsid w:val="00E3540D"/>
    <w:rsid w:val="00E46B4E"/>
    <w:rsid w:val="00E53DD6"/>
    <w:rsid w:val="00E54FDE"/>
    <w:rsid w:val="00E56C6F"/>
    <w:rsid w:val="00E56CF3"/>
    <w:rsid w:val="00E71B25"/>
    <w:rsid w:val="00E81C4F"/>
    <w:rsid w:val="00E85B63"/>
    <w:rsid w:val="00E85F4F"/>
    <w:rsid w:val="00E921FC"/>
    <w:rsid w:val="00E938C9"/>
    <w:rsid w:val="00E958AD"/>
    <w:rsid w:val="00EA0723"/>
    <w:rsid w:val="00EA09A5"/>
    <w:rsid w:val="00EA1CF6"/>
    <w:rsid w:val="00EA2068"/>
    <w:rsid w:val="00EA39BE"/>
    <w:rsid w:val="00EA4721"/>
    <w:rsid w:val="00EC5C14"/>
    <w:rsid w:val="00ED73E5"/>
    <w:rsid w:val="00EE0440"/>
    <w:rsid w:val="00EE15C0"/>
    <w:rsid w:val="00EE2C7E"/>
    <w:rsid w:val="00EE54D1"/>
    <w:rsid w:val="00F00D83"/>
    <w:rsid w:val="00F07084"/>
    <w:rsid w:val="00F11842"/>
    <w:rsid w:val="00F121D7"/>
    <w:rsid w:val="00F12562"/>
    <w:rsid w:val="00F24E07"/>
    <w:rsid w:val="00F33069"/>
    <w:rsid w:val="00F41A48"/>
    <w:rsid w:val="00F47F2B"/>
    <w:rsid w:val="00F51E39"/>
    <w:rsid w:val="00F52D2C"/>
    <w:rsid w:val="00F553F0"/>
    <w:rsid w:val="00F61C65"/>
    <w:rsid w:val="00F700C7"/>
    <w:rsid w:val="00F7365D"/>
    <w:rsid w:val="00F77B5A"/>
    <w:rsid w:val="00F77D03"/>
    <w:rsid w:val="00F82D5C"/>
    <w:rsid w:val="00F87F6A"/>
    <w:rsid w:val="00F95CD1"/>
    <w:rsid w:val="00F9622D"/>
    <w:rsid w:val="00F97567"/>
    <w:rsid w:val="00F97E48"/>
    <w:rsid w:val="00FA3A62"/>
    <w:rsid w:val="00FA731D"/>
    <w:rsid w:val="00FA7CB5"/>
    <w:rsid w:val="00FC0652"/>
    <w:rsid w:val="00FC0C06"/>
    <w:rsid w:val="00FC73CC"/>
    <w:rsid w:val="00FD0E27"/>
    <w:rsid w:val="00FD4F8B"/>
    <w:rsid w:val="00FE1439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E8891"/>
  <w15:chartTrackingRefBased/>
  <w15:docId w15:val="{FEF38D67-90E5-4294-B8B6-95D4D56E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1217D"/>
    <w:rPr>
      <w:color w:val="0563C1"/>
      <w:u w:val="single"/>
    </w:rPr>
  </w:style>
  <w:style w:type="character" w:customStyle="1" w:styleId="af5">
    <w:name w:val="Незакрита згадка"/>
    <w:uiPriority w:val="99"/>
    <w:semiHidden/>
    <w:unhideWhenUsed/>
    <w:rsid w:val="0001217D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00336C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945C-8009-420D-A0FF-21FC1B83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subject/>
  <dc:creator>Goncharuk Natalia</dc:creator>
  <cp:keywords/>
  <cp:lastModifiedBy>ГЛУЩЕНКО Володимир Леонідович</cp:lastModifiedBy>
  <cp:revision>4</cp:revision>
  <cp:lastPrinted>2023-11-10T13:40:00Z</cp:lastPrinted>
  <dcterms:created xsi:type="dcterms:W3CDTF">2023-11-13T16:26:00Z</dcterms:created>
  <dcterms:modified xsi:type="dcterms:W3CDTF">2023-11-14T08:43:00Z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