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C1" w:rsidRPr="0078125B" w:rsidRDefault="003D00C1" w:rsidP="003D00C1">
      <w:pPr>
        <w:spacing w:after="160" w:line="259" w:lineRule="auto"/>
        <w:rPr>
          <w:lang w:val="uk-UA"/>
        </w:rPr>
      </w:pPr>
      <w:bookmarkStart w:id="0" w:name="_GoBack"/>
      <w:bookmarkEnd w:id="0"/>
    </w:p>
    <w:tbl>
      <w:tblPr>
        <w:tblW w:w="935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8"/>
        <w:gridCol w:w="4556"/>
      </w:tblGrid>
      <w:tr w:rsidR="009E54D7" w:rsidRPr="009E54D7" w:rsidTr="0078125B">
        <w:trPr>
          <w:trHeight w:val="315"/>
          <w:tblCellSpacing w:w="0" w:type="dxa"/>
        </w:trPr>
        <w:tc>
          <w:tcPr>
            <w:tcW w:w="0" w:type="auto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E54D7">
              <w:rPr>
                <w:b/>
                <w:bCs/>
                <w:color w:val="000000"/>
                <w:lang w:val="uk-UA"/>
              </w:rPr>
              <w:t>ОГОЛОШЕННЯ про передачу в оренду єдиного майнового комплексу державного підприємства, або його структурного підрозділу (далі - ЄМК), щодо якого орендодавцем прийнято рішення про продовження терміну дії чинного договору оренди на аукціоні</w:t>
            </w: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b/>
                <w:bCs/>
                <w:color w:val="000000"/>
                <w:sz w:val="20"/>
                <w:szCs w:val="20"/>
                <w:lang w:val="uk-UA"/>
              </w:rPr>
              <w:t>Ключ (номер) ЄМК, щодо якого прийнято рішення про передачу в оренду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b/>
                <w:bCs/>
                <w:color w:val="000000"/>
                <w:sz w:val="20"/>
                <w:szCs w:val="20"/>
                <w:lang w:val="uk-UA"/>
              </w:rPr>
              <w:t>Примітки щодо заповнення</w:t>
            </w: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Назва аукціону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Повне найменування орендодавця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Адреса орендодавця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Найменування об’єкта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Тип об’єкта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Види діяльності за КВЕД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Ринкова вартість об'єкта, грн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Фотографічне зображення майна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Адреса юридичної особи орендаря</w:t>
            </w:r>
          </w:p>
        </w:tc>
        <w:tc>
          <w:tcPr>
            <w:tcW w:w="4109" w:type="dxa"/>
            <w:vMerge w:val="restart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Заповнюється за такою логікою: якщо адреса розміщення основних виробничих потужностей співпадає з адресою юридичної особи орендаря, то поле "адреса розміщення основних виробничих потужностей" видаляється</w:t>
            </w:r>
          </w:p>
        </w:tc>
      </w:tr>
      <w:tr w:rsidR="009E54D7" w:rsidRPr="009E54D7" w:rsidTr="0078125B">
        <w:trPr>
          <w:trHeight w:val="690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Адреса/адреси розміщення основних виробничих потужностей</w:t>
            </w:r>
          </w:p>
        </w:tc>
        <w:tc>
          <w:tcPr>
            <w:tcW w:w="4109" w:type="dxa"/>
            <w:vMerge/>
            <w:tcBorders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Обсяг та основна номенклатура продукції/робіт, послуг (у т.ч. експортної)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Кількість та склад робочих місць (штатний розклад орендаря, що діяв на підприємстві станом на дату прийняття рішення орендодавцем про продовження договору оренди)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Відомості про будівлі (споруди, приміщення) ЄМК підприємства чи його структурного підрозділу в обсязі, передбаченому для інформації про нерухоме майно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Кожен об'єкт нерухомості повинен розкриватися окремо з полями за формую нижче</w:t>
            </w: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Чи є у складі ЄМК пам'ятка культурної спадщини, щойно виявлений об'єкт культурної спадщини чи його частина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Якщо об’єктом оренди є пам’ятка, до додаткових умов оренди включається забезпечення орендарем вимог законодавства про охорону культурної спадщини та умов охоронного договору, укладеного власником, уповноваженим ним органом (особою) або балансоутримувачем з відповідним органом охорони культурної спадщини. А також додається копія охоронного договору.</w:t>
            </w: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 xml:space="preserve">Відомості про земельну ділянку /ділянки у складі єдиного майнового </w:t>
            </w:r>
            <w:proofErr w:type="spellStart"/>
            <w:r w:rsidRPr="009E54D7">
              <w:rPr>
                <w:color w:val="000000"/>
                <w:sz w:val="20"/>
                <w:szCs w:val="20"/>
                <w:lang w:val="uk-UA"/>
              </w:rPr>
              <w:t>комлексу</w:t>
            </w:r>
            <w:proofErr w:type="spellEnd"/>
            <w:r w:rsidRPr="009E54D7">
              <w:rPr>
                <w:color w:val="000000"/>
                <w:sz w:val="20"/>
                <w:szCs w:val="20"/>
                <w:lang w:val="uk-UA"/>
              </w:rPr>
              <w:t>, а також ділянки під об'єктами нерухомого майна, що входять до складу ЄМК (зазначити кадастрові номери земельної(</w:t>
            </w:r>
            <w:proofErr w:type="spellStart"/>
            <w:r w:rsidRPr="009E54D7">
              <w:rPr>
                <w:color w:val="000000"/>
                <w:sz w:val="20"/>
                <w:szCs w:val="20"/>
                <w:lang w:val="uk-UA"/>
              </w:rPr>
              <w:t>их</w:t>
            </w:r>
            <w:proofErr w:type="spellEnd"/>
            <w:r w:rsidRPr="009E54D7">
              <w:rPr>
                <w:color w:val="000000"/>
                <w:sz w:val="20"/>
                <w:szCs w:val="20"/>
                <w:lang w:val="uk-UA"/>
              </w:rPr>
              <w:t>) ділянки(</w:t>
            </w:r>
            <w:proofErr w:type="spellStart"/>
            <w:r w:rsidRPr="009E54D7">
              <w:rPr>
                <w:color w:val="000000"/>
                <w:sz w:val="20"/>
                <w:szCs w:val="20"/>
                <w:lang w:val="uk-UA"/>
              </w:rPr>
              <w:t>ок</w:t>
            </w:r>
            <w:proofErr w:type="spellEnd"/>
            <w:r w:rsidRPr="009E54D7">
              <w:rPr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Основні зобов'язання (договірні)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Основні зобов'язання (позадоговірні)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Фінансова звітність юридичної особи орендаря за останній звітний період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 xml:space="preserve">Фінансова звітність юридичної особи орендаря за </w:t>
            </w:r>
            <w:r w:rsidRPr="009E54D7">
              <w:rPr>
                <w:color w:val="000000"/>
                <w:sz w:val="20"/>
                <w:szCs w:val="20"/>
                <w:lang w:val="uk-UA"/>
              </w:rPr>
              <w:lastRenderedPageBreak/>
              <w:t>останній рік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Фінансова звітність юридичної особи орендаря за передостанній рік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Фінансова звітність юридичної особи орендаря за рік, що передує передостанньому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Інформація про кількість працівників, які перебували у трудових відносинах з юридичною особою орендаря станом на 31 грудня року, що передує поточному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Інвентаризаційний опис майна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Дата інвентаризаційного опису майна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Залишок амортизаційних відрахувань*, грн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Дата кінця періоду на який нараховано залишок амортизаційних відрахувань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Додаток 2 до Наказу ФДМУ від 09.03.2004 №436 "Про заходи щодо ефективного використання державного майна та контролю використання амортизаційних відрахувань на орендоване майно"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Інформація про місце, де зберігається істотна документація, з якою потенційні орендарі можуть ознайомитися з дати оприлюднення оголошення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b/>
                <w:bCs/>
                <w:color w:val="000000"/>
                <w:sz w:val="20"/>
                <w:szCs w:val="20"/>
                <w:lang w:val="uk-UA"/>
              </w:rPr>
              <w:t>Наявність істотної документації орендаря у місці її зберігання:</w:t>
            </w: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фінансова і податкова звітність за останні три роки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відомості про об’єкти основних засобів, що обліковуються на балансі юридичної особи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інформація про земельні ділянки, які перебувають у користуванні орендаря, разом із документами на них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пооб’єктні розшифровки статей балансу, якщо значення такої статті перевищує 500 тис. гривень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усі діючі дозвільні документи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чинні договори і правочини орендаря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договори, укладені орендарем протягом останніх трьох років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інформація про банківські рахунки орендаря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інформація про рахунки орендаря у цінних паперах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витяги з банківських рахунків орендаря за останні шість місяців, що передують даті оголошення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витяги з рахунків у цінних паперах орендаря за останні шість місяців, що передують даті оголошення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інформація про судові позови і претензії, заявлені або отримані орендарем протягом останніх трьох років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Повний перелік документів, які повинні зберігатися у місці, де зберігається істотна документація юридичної особи, на балансі якої перебуває єдиний майновий комплекс (його відокремлений структурний підрозділ), із зазначенням назви документа і його дати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Номер телефону працівника орендаря, відповідального за ознайомлення заінтересованих осіб з об'єктом оренди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lastRenderedPageBreak/>
              <w:t>Електронна адреса працівника орендаря, відповідального за ознайомлення заінтересованих осіб з об'єктом оренди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b/>
                <w:bCs/>
                <w:color w:val="000000"/>
                <w:sz w:val="20"/>
                <w:szCs w:val="20"/>
                <w:lang w:val="uk-UA"/>
              </w:rPr>
              <w:t>Умови та додаткові умови оренди</w:t>
            </w: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 xml:space="preserve">Строк оренди 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Стартова орендна плата без урахування ПДВ – для електронного аукціону, грн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Підприємство передається в оренду з додатковою умовою або без додаткових умов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Основні види діяльності підприємства, які повинні бути збережені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Види діяльності підприємства, що відповідають цільовому призначенню відповідного майна (пункт 29 Порядку)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Використання об'єкта оренди (або його частини) з метою надання послуг, пов'язаних із забезпеченням чи обслуговуванням діяльності таких закладів, їх працівників та відвідувачів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Вимоги до орендаря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sz w:val="20"/>
                <w:szCs w:val="20"/>
                <w:lang w:val="uk-UA"/>
              </w:rPr>
            </w:pPr>
            <w:r w:rsidRPr="009E54D7">
              <w:rPr>
                <w:sz w:val="20"/>
                <w:szCs w:val="20"/>
                <w:lang w:val="uk-UA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sz w:val="20"/>
                <w:szCs w:val="20"/>
                <w:lang w:val="uk-UA"/>
              </w:rPr>
            </w:pPr>
            <w:r w:rsidRPr="009E54D7">
              <w:rPr>
                <w:sz w:val="20"/>
                <w:szCs w:val="20"/>
                <w:lang w:val="uk-UA"/>
              </w:rPr>
              <w:t>Згода на передачу в суборенду частини ЄМК (Передача в суборенду ЄМК в цілому не допускається. Орендар може укладати договір суборенди лише з особами, які відповідають вимогам ст. 4 Закону у разі надання такої згоди орендодавцем)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b/>
                <w:bCs/>
                <w:color w:val="000000"/>
                <w:sz w:val="20"/>
                <w:szCs w:val="20"/>
                <w:lang w:val="uk-UA"/>
              </w:rPr>
              <w:t>Інформація про аукціон та його умови</w:t>
            </w: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Дата аукціону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sz w:val="20"/>
                <w:szCs w:val="20"/>
                <w:lang w:val="uk-UA"/>
              </w:rPr>
            </w:pPr>
            <w:r w:rsidRPr="009E54D7">
              <w:rPr>
                <w:sz w:val="20"/>
                <w:szCs w:val="20"/>
                <w:lang w:val="uk-UA"/>
              </w:rPr>
              <w:t>Дата аукціону __ _______ _______ року.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Спосіб аукціону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sz w:val="20"/>
                <w:szCs w:val="20"/>
                <w:lang w:val="uk-UA"/>
              </w:rPr>
            </w:pPr>
            <w:r w:rsidRPr="009E54D7">
              <w:rPr>
                <w:sz w:val="20"/>
                <w:szCs w:val="20"/>
                <w:lang w:val="uk-UA"/>
              </w:rPr>
              <w:t>аукціон на продовження договору оренди</w:t>
            </w: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Кінцевий строк подання заяви на участь в аукціоні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sz w:val="20"/>
                <w:szCs w:val="20"/>
                <w:lang w:val="uk-UA"/>
              </w:rPr>
            </w:pPr>
            <w:r w:rsidRPr="009E54D7">
              <w:rPr>
                <w:sz w:val="20"/>
                <w:szCs w:val="20"/>
                <w:lang w:val="uk-UA"/>
              </w:rPr>
              <w:t>Кінцевий строк подання заяви на участь в аукціоні __ _______ _______ року,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Розмір мінімального кроку підвищення стартової орендної плати під час аукціону, грн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Розмір гарантійного внеску (для чинного орендаря ), грн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Розмір гарантійного внеску (для інших учасників аукціону), грн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Розмір реєстраційного внеску, грн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Посилання на сторінку офіційного веб-</w:t>
            </w:r>
            <w:proofErr w:type="spellStart"/>
            <w:r w:rsidRPr="009E54D7">
              <w:rPr>
                <w:color w:val="000000"/>
                <w:sz w:val="20"/>
                <w:szCs w:val="20"/>
                <w:lang w:val="uk-UA"/>
              </w:rPr>
              <w:t>сайта</w:t>
            </w:r>
            <w:proofErr w:type="spellEnd"/>
            <w:r w:rsidRPr="009E54D7">
              <w:rPr>
                <w:color w:val="000000"/>
                <w:sz w:val="20"/>
                <w:szCs w:val="20"/>
                <w:lang w:val="uk-UA"/>
              </w:rPr>
              <w:t xml:space="preserve"> адміністратора, на якій зазначені реквізити рахунків операторів електронних майданчиків, відкритих для сплати потенційними орендарями гарантійних та реєстраційних внесків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600B73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 xml:space="preserve">Найменування установи (банку, казначейства), її місцезнаходження та номери рахунків у національній </w:t>
            </w:r>
            <w:r w:rsidRPr="009E54D7">
              <w:rPr>
                <w:color w:val="000000"/>
                <w:sz w:val="20"/>
                <w:szCs w:val="20"/>
                <w:lang w:val="uk-UA"/>
              </w:rPr>
              <w:lastRenderedPageBreak/>
              <w:t>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об'єкти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4D7" w:rsidRPr="009E54D7" w:rsidRDefault="009E54D7" w:rsidP="009E54D7">
            <w:pPr>
              <w:rPr>
                <w:sz w:val="20"/>
                <w:szCs w:val="20"/>
                <w:lang w:val="uk-UA"/>
              </w:rPr>
            </w:pPr>
            <w:r w:rsidRPr="009E54D7">
              <w:rPr>
                <w:sz w:val="20"/>
                <w:szCs w:val="20"/>
                <w:lang w:val="uk-UA"/>
              </w:rPr>
              <w:lastRenderedPageBreak/>
              <w:t>В національній валюті:</w:t>
            </w:r>
            <w:r w:rsidRPr="009E54D7">
              <w:rPr>
                <w:sz w:val="20"/>
                <w:szCs w:val="20"/>
                <w:lang w:val="uk-UA"/>
              </w:rPr>
              <w:br/>
              <w:t>Отримувач: [Заповнюється самостійно]</w:t>
            </w:r>
            <w:r w:rsidRPr="009E54D7">
              <w:rPr>
                <w:sz w:val="20"/>
                <w:szCs w:val="20"/>
                <w:lang w:val="uk-UA"/>
              </w:rPr>
              <w:br/>
            </w:r>
            <w:r w:rsidRPr="009E54D7">
              <w:rPr>
                <w:sz w:val="20"/>
                <w:szCs w:val="20"/>
                <w:lang w:val="uk-UA"/>
              </w:rPr>
              <w:lastRenderedPageBreak/>
              <w:t>Рахунок № [Заповнюється самостійно] (для перерахування реєстраційного та гарантійного внеску)</w:t>
            </w:r>
            <w:r w:rsidRPr="009E54D7">
              <w:rPr>
                <w:sz w:val="20"/>
                <w:szCs w:val="20"/>
                <w:lang w:val="uk-UA"/>
              </w:rPr>
              <w:br/>
              <w:t>Банк отримувача:[Заповнюється самостійно]</w:t>
            </w:r>
            <w:r w:rsidRPr="009E54D7">
              <w:rPr>
                <w:sz w:val="20"/>
                <w:szCs w:val="20"/>
                <w:lang w:val="uk-UA"/>
              </w:rPr>
              <w:br/>
              <w:t xml:space="preserve">Код за ЄДРПОУ[Заповнюється самостійно] </w:t>
            </w:r>
            <w:r w:rsidRPr="009E54D7">
              <w:rPr>
                <w:sz w:val="20"/>
                <w:szCs w:val="20"/>
                <w:lang w:val="uk-UA"/>
              </w:rPr>
              <w:br/>
              <w:t>Призначення платежу: (обов'язково вказати за що)</w:t>
            </w:r>
            <w:r w:rsidRPr="009E54D7">
              <w:rPr>
                <w:sz w:val="20"/>
                <w:szCs w:val="20"/>
                <w:lang w:val="uk-UA"/>
              </w:rPr>
              <w:br/>
              <w:t>в іноземній валюті:</w:t>
            </w:r>
            <w:r w:rsidRPr="009E54D7">
              <w:rPr>
                <w:sz w:val="20"/>
                <w:szCs w:val="20"/>
                <w:lang w:val="uk-UA"/>
              </w:rPr>
              <w:br/>
              <w:t>Найменування юридичної особи – [Заповнюється самостійно]</w:t>
            </w:r>
            <w:r w:rsidRPr="009E54D7">
              <w:rPr>
                <w:sz w:val="20"/>
                <w:szCs w:val="20"/>
                <w:lang w:val="uk-UA"/>
              </w:rPr>
              <w:br/>
              <w:t>Код за ЄДРПОУ юридичної особи –[Заповнюється самостійно]</w:t>
            </w:r>
            <w:r w:rsidRPr="009E54D7">
              <w:rPr>
                <w:sz w:val="20"/>
                <w:szCs w:val="20"/>
                <w:lang w:val="uk-UA"/>
              </w:rPr>
              <w:br/>
              <w:t>Валюта рахунку – EUR</w:t>
            </w:r>
            <w:r w:rsidRPr="009E54D7">
              <w:rPr>
                <w:sz w:val="20"/>
                <w:szCs w:val="20"/>
                <w:lang w:val="uk-UA"/>
              </w:rPr>
              <w:br/>
              <w:t>№ рахунку – [Заповнюється самостійно]</w:t>
            </w:r>
            <w:r w:rsidRPr="009E54D7">
              <w:rPr>
                <w:sz w:val="20"/>
                <w:szCs w:val="20"/>
                <w:lang w:val="uk-UA"/>
              </w:rPr>
              <w:br/>
              <w:t>Назва банку – [Заповнюється самостійно]</w:t>
            </w:r>
            <w:r w:rsidRPr="009E54D7">
              <w:rPr>
                <w:sz w:val="20"/>
                <w:szCs w:val="20"/>
                <w:lang w:val="uk-UA"/>
              </w:rPr>
              <w:br/>
              <w:t xml:space="preserve">Банк </w:t>
            </w:r>
            <w:proofErr w:type="spellStart"/>
            <w:r w:rsidRPr="009E54D7">
              <w:rPr>
                <w:sz w:val="20"/>
                <w:szCs w:val="20"/>
                <w:lang w:val="uk-UA"/>
              </w:rPr>
              <w:t>бенефіціара</w:t>
            </w:r>
            <w:proofErr w:type="spellEnd"/>
            <w:r w:rsidRPr="009E54D7">
              <w:rPr>
                <w:sz w:val="20"/>
                <w:szCs w:val="20"/>
                <w:lang w:val="uk-UA"/>
              </w:rPr>
              <w:t>[Заповнюється самостійно]</w:t>
            </w:r>
            <w:r w:rsidRPr="009E54D7">
              <w:rPr>
                <w:sz w:val="20"/>
                <w:szCs w:val="20"/>
                <w:lang w:val="uk-UA"/>
              </w:rPr>
              <w:br/>
              <w:t>Банк-посередник – [Заповнюється самостійно]</w:t>
            </w:r>
            <w:r w:rsidRPr="009E54D7">
              <w:rPr>
                <w:sz w:val="20"/>
                <w:szCs w:val="20"/>
                <w:lang w:val="uk-UA"/>
              </w:rPr>
              <w:br/>
              <w:t>Валюта рахунку – USD</w:t>
            </w:r>
            <w:r w:rsidRPr="009E54D7">
              <w:rPr>
                <w:sz w:val="20"/>
                <w:szCs w:val="20"/>
                <w:lang w:val="uk-UA"/>
              </w:rPr>
              <w:br/>
              <w:t>№ рахунку – [Заповнюється самостійно]</w:t>
            </w:r>
            <w:r w:rsidRPr="009E54D7">
              <w:rPr>
                <w:sz w:val="20"/>
                <w:szCs w:val="20"/>
                <w:lang w:val="uk-UA"/>
              </w:rPr>
              <w:br/>
              <w:t>Назва банку – [Заповнюється самостійно]</w:t>
            </w:r>
            <w:r w:rsidRPr="009E54D7">
              <w:rPr>
                <w:sz w:val="20"/>
                <w:szCs w:val="20"/>
                <w:lang w:val="uk-UA"/>
              </w:rPr>
              <w:br/>
              <w:t xml:space="preserve">Банк </w:t>
            </w:r>
            <w:proofErr w:type="spellStart"/>
            <w:r w:rsidRPr="009E54D7">
              <w:rPr>
                <w:sz w:val="20"/>
                <w:szCs w:val="20"/>
                <w:lang w:val="uk-UA"/>
              </w:rPr>
              <w:t>бенефіціара</w:t>
            </w:r>
            <w:proofErr w:type="spellEnd"/>
            <w:r w:rsidRPr="009E54D7">
              <w:rPr>
                <w:sz w:val="20"/>
                <w:szCs w:val="20"/>
                <w:lang w:val="uk-UA"/>
              </w:rPr>
              <w:t xml:space="preserve"> [Заповнюється самостійно]</w:t>
            </w:r>
            <w:r w:rsidRPr="009E54D7">
              <w:rPr>
                <w:sz w:val="20"/>
                <w:szCs w:val="20"/>
                <w:lang w:val="uk-UA"/>
              </w:rPr>
              <w:br/>
              <w:t>Банк-посередник –[Заповнюється самостійно]</w:t>
            </w:r>
            <w:r w:rsidRPr="009E54D7">
              <w:rPr>
                <w:sz w:val="20"/>
                <w:szCs w:val="20"/>
                <w:lang w:val="uk-UA"/>
              </w:rPr>
              <w:br/>
            </w:r>
            <w:proofErr w:type="spellStart"/>
            <w:r w:rsidRPr="009E54D7">
              <w:rPr>
                <w:sz w:val="20"/>
                <w:szCs w:val="20"/>
                <w:lang w:val="uk-UA"/>
              </w:rPr>
              <w:t>Purpose</w:t>
            </w:r>
            <w:proofErr w:type="spellEnd"/>
            <w:r w:rsidRPr="009E54D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E54D7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9E54D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E54D7">
              <w:rPr>
                <w:sz w:val="20"/>
                <w:szCs w:val="20"/>
                <w:lang w:val="uk-UA"/>
              </w:rPr>
              <w:t>payment</w:t>
            </w:r>
            <w:proofErr w:type="spellEnd"/>
            <w:r w:rsidRPr="009E54D7">
              <w:rPr>
                <w:sz w:val="20"/>
                <w:szCs w:val="20"/>
                <w:lang w:val="uk-UA"/>
              </w:rPr>
              <w:t>: (</w:t>
            </w:r>
            <w:proofErr w:type="spellStart"/>
            <w:r w:rsidRPr="009E54D7">
              <w:rPr>
                <w:sz w:val="20"/>
                <w:szCs w:val="20"/>
                <w:lang w:val="uk-UA"/>
              </w:rPr>
              <w:t>please</w:t>
            </w:r>
            <w:proofErr w:type="spellEnd"/>
            <w:r w:rsidRPr="009E54D7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E54D7">
              <w:rPr>
                <w:sz w:val="20"/>
                <w:szCs w:val="20"/>
                <w:lang w:val="uk-UA"/>
              </w:rPr>
              <w:t>indicate</w:t>
            </w:r>
            <w:proofErr w:type="spellEnd"/>
            <w:r w:rsidRPr="009E54D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E54D7">
              <w:rPr>
                <w:sz w:val="20"/>
                <w:szCs w:val="20"/>
                <w:lang w:val="uk-UA"/>
              </w:rPr>
              <w:t>without</w:t>
            </w:r>
            <w:proofErr w:type="spellEnd"/>
            <w:r w:rsidRPr="009E54D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E54D7">
              <w:rPr>
                <w:sz w:val="20"/>
                <w:szCs w:val="20"/>
                <w:lang w:val="uk-UA"/>
              </w:rPr>
              <w:t>fail</w:t>
            </w:r>
            <w:proofErr w:type="spellEnd"/>
            <w:r w:rsidRPr="009E54D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E54D7">
              <w:rPr>
                <w:sz w:val="20"/>
                <w:szCs w:val="20"/>
                <w:lang w:val="uk-UA"/>
              </w:rPr>
              <w:t>the</w:t>
            </w:r>
            <w:proofErr w:type="spellEnd"/>
            <w:r w:rsidRPr="009E54D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E54D7">
              <w:rPr>
                <w:sz w:val="20"/>
                <w:szCs w:val="20"/>
                <w:lang w:val="uk-UA"/>
              </w:rPr>
              <w:t>purpose</w:t>
            </w:r>
            <w:proofErr w:type="spellEnd"/>
            <w:r w:rsidRPr="009E54D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E54D7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9E54D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E54D7">
              <w:rPr>
                <w:sz w:val="20"/>
                <w:szCs w:val="20"/>
                <w:lang w:val="uk-UA"/>
              </w:rPr>
              <w:t>payment</w:t>
            </w:r>
            <w:proofErr w:type="spellEnd"/>
            <w:r w:rsidRPr="009E54D7">
              <w:rPr>
                <w:sz w:val="20"/>
                <w:szCs w:val="20"/>
                <w:lang w:val="uk-UA"/>
              </w:rPr>
              <w:t>)</w:t>
            </w: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lastRenderedPageBreak/>
              <w:t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9E54D7">
              <w:rPr>
                <w:color w:val="000000"/>
                <w:sz w:val="20"/>
                <w:szCs w:val="20"/>
                <w:lang w:val="uk-UA"/>
              </w:rPr>
              <w:t>Проєкт</w:t>
            </w:r>
            <w:proofErr w:type="spellEnd"/>
            <w:r w:rsidRPr="009E54D7">
              <w:rPr>
                <w:color w:val="000000"/>
                <w:sz w:val="20"/>
                <w:szCs w:val="20"/>
                <w:lang w:val="uk-UA"/>
              </w:rPr>
              <w:t xml:space="preserve"> договору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sz w:val="20"/>
                <w:szCs w:val="20"/>
                <w:lang w:val="uk-UA"/>
              </w:rPr>
            </w:pPr>
            <w:r w:rsidRPr="009E54D7">
              <w:rPr>
                <w:sz w:val="20"/>
                <w:szCs w:val="20"/>
                <w:lang w:val="uk-UA"/>
              </w:rPr>
              <w:t>Додається до оголошення про передачу нерухомого майна в оренду</w:t>
            </w: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b/>
                <w:bCs/>
                <w:color w:val="000000"/>
                <w:sz w:val="20"/>
                <w:szCs w:val="20"/>
                <w:lang w:val="uk-UA"/>
              </w:rPr>
              <w:t>Інша додаткова інформація</w:t>
            </w: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Чи зобов’язаний майбутній орендар компенсувати витрати, пов’язані з проведенням незалежної оцінки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Сума компенсації витрат, пов’язаних з проведенням незалежної оцінки, грн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Витрати, які зобов’язаний компенсувати орендар, пов’язані з укладенням охоронного договору, грн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Чи має новий орендар компенсувати вартість невід'ємних поліпшень: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Вартість здійснених невід'ємних поліпшень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Інші відомості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b/>
                <w:bCs/>
                <w:color w:val="000000"/>
                <w:sz w:val="20"/>
                <w:szCs w:val="20"/>
                <w:lang w:val="uk-UA"/>
              </w:rPr>
              <w:t>Інформація про чинний договір оренди, строк якого закінчується</w:t>
            </w: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Найменування орендаря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Дата укладення договору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Строк оренди договору, строк якого закінчується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Дата закінчення договору оренди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Цільове призначення об'єкта оренди відповідно до договору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Чинний орендар має </w:t>
            </w:r>
            <w:r w:rsidRPr="009E54D7">
              <w:rPr>
                <w:i/>
                <w:iCs/>
                <w:color w:val="000000"/>
                <w:sz w:val="20"/>
                <w:szCs w:val="20"/>
                <w:u w:val="single"/>
                <w:lang w:val="uk-UA"/>
              </w:rPr>
              <w:t>переважне право</w:t>
            </w:r>
            <w:r w:rsidRPr="009E54D7">
              <w:rPr>
                <w:color w:val="000000"/>
                <w:sz w:val="20"/>
                <w:szCs w:val="20"/>
                <w:lang w:val="uk-UA"/>
              </w:rPr>
              <w:t xml:space="preserve"> на продовження договору оренди: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це право реалізується шляхом участі чинного орендаря в аукціоні на продовження договору оренди</w:t>
            </w: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524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У випадку визнання аукціону на продовження договору оренди таким, за результатами якого об'єкт не було передано в оренду</w:t>
            </w:r>
          </w:p>
        </w:tc>
        <w:tc>
          <w:tcPr>
            <w:tcW w:w="4109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Чинний орендар втрачає своє переважне право та право на компенсацію вартості здійснених ним невід’ємних поліпшень, договір оренди з таким орендарем припиняється з дати закінчення строку договору та електронний аукціон, передбачений частиною одинадцятою статті 18 Закону, оголошується в електронній торговій системі на підставі затверджених умов та додаткових умов (у разі наявності) оренди майна.</w:t>
            </w:r>
            <w:r w:rsidRPr="009E54D7">
              <w:rPr>
                <w:color w:val="000000"/>
                <w:sz w:val="20"/>
                <w:szCs w:val="20"/>
                <w:lang w:val="uk-UA"/>
              </w:rPr>
              <w:br/>
            </w:r>
            <w:r w:rsidRPr="009E54D7">
              <w:rPr>
                <w:color w:val="000000"/>
                <w:sz w:val="20"/>
                <w:szCs w:val="20"/>
                <w:lang w:val="uk-UA"/>
              </w:rPr>
              <w:br/>
              <w:t>У разі визнання аукціону, передбаченого частиною одинадцятою статті 18 Закону, таким, що не відбувся, оголошуються аукціони, передбачені частинами одинадцятою та тринадцятою статті 13 Закону, крім випадку, передбаченого абзацом 6 п. 149 Порядку.</w:t>
            </w: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i/>
                <w:iCs/>
                <w:sz w:val="20"/>
                <w:szCs w:val="20"/>
                <w:lang w:val="uk-UA"/>
              </w:rPr>
            </w:pPr>
            <w:r w:rsidRPr="009E54D7">
              <w:rPr>
                <w:i/>
                <w:iCs/>
                <w:sz w:val="20"/>
                <w:szCs w:val="20"/>
                <w:lang w:val="uk-UA"/>
              </w:rPr>
              <w:t>Умовні скорочення:</w:t>
            </w:r>
            <w:r w:rsidRPr="009E54D7">
              <w:rPr>
                <w:i/>
                <w:iCs/>
                <w:sz w:val="20"/>
                <w:szCs w:val="20"/>
                <w:lang w:val="uk-UA"/>
              </w:rPr>
              <w:br/>
              <w:t>Закон - Закон України "Про оренду державного та комунального майна";</w:t>
            </w:r>
            <w:r w:rsidRPr="009E54D7">
              <w:rPr>
                <w:i/>
                <w:iCs/>
                <w:sz w:val="20"/>
                <w:szCs w:val="20"/>
                <w:lang w:val="uk-UA"/>
              </w:rPr>
              <w:br/>
              <w:t>Постанова - постанова Кабінету Міністрів України від 03.06.2020 № 483 "Деякі питання оренди державного та комунального майна";</w:t>
            </w:r>
            <w:r w:rsidRPr="009E54D7">
              <w:rPr>
                <w:i/>
                <w:iCs/>
                <w:sz w:val="20"/>
                <w:szCs w:val="20"/>
                <w:lang w:val="uk-UA"/>
              </w:rPr>
              <w:br/>
              <w:t>Порядок - Порядок передачі в оренду державного та комунального майна, затверджений Постановою.</w:t>
            </w: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i/>
                <w:iCs/>
                <w:sz w:val="20"/>
                <w:szCs w:val="20"/>
                <w:lang w:val="uk-UA"/>
              </w:rPr>
            </w:pPr>
            <w:r w:rsidRPr="009E54D7">
              <w:rPr>
                <w:i/>
                <w:iCs/>
                <w:sz w:val="20"/>
                <w:szCs w:val="20"/>
                <w:lang w:val="uk-UA"/>
              </w:rPr>
              <w:t>Реєстраційний внесок - сума коштів у розмірі 0,1 мінімальної заробітної плати, діючої станом на 1 січня поточного року, яка вноситься потенційним орендарем на відповідний рахунок оператора електронного майданчика за реєстрацію заяви на участь в аукціоні.</w:t>
            </w: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i/>
                <w:iCs/>
                <w:sz w:val="20"/>
                <w:szCs w:val="20"/>
                <w:lang w:val="uk-UA"/>
              </w:rPr>
            </w:pPr>
            <w:r w:rsidRPr="009E54D7">
              <w:rPr>
                <w:i/>
                <w:iCs/>
                <w:sz w:val="20"/>
                <w:szCs w:val="20"/>
                <w:lang w:val="uk-UA"/>
              </w:rPr>
              <w:t>* Залишок амортизаційних відрахувань не переходить іншому орендарю, а перераховується чинним орендарем договір з яким припинився, до державного бюджету</w:t>
            </w:r>
          </w:p>
        </w:tc>
      </w:tr>
    </w:tbl>
    <w:p w:rsidR="0078125B" w:rsidRPr="0078125B" w:rsidRDefault="0078125B">
      <w:pPr>
        <w:rPr>
          <w:lang w:val="uk-UA"/>
        </w:rPr>
      </w:pPr>
      <w:r w:rsidRPr="0078125B">
        <w:rPr>
          <w:lang w:val="uk-UA"/>
        </w:rPr>
        <w:br w:type="page"/>
      </w:r>
    </w:p>
    <w:tbl>
      <w:tblPr>
        <w:tblW w:w="935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1"/>
        <w:gridCol w:w="943"/>
      </w:tblGrid>
      <w:tr w:rsidR="009E54D7" w:rsidRPr="009E54D7" w:rsidTr="0078125B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bottom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4D7" w:rsidRPr="009E54D7" w:rsidRDefault="009E54D7" w:rsidP="009E54D7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E54D7">
              <w:rPr>
                <w:b/>
                <w:bCs/>
                <w:color w:val="000000"/>
                <w:lang w:val="uk-UA"/>
              </w:rPr>
              <w:lastRenderedPageBreak/>
              <w:t>Відомості про будівлі (споруди, приміщення) ЄМК підприємства чи його структурного підрозділу в обсязі, передбаченому для інформації про нерухоме майно*</w:t>
            </w: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b/>
                <w:bCs/>
                <w:color w:val="000000"/>
                <w:sz w:val="20"/>
                <w:szCs w:val="20"/>
                <w:lang w:val="uk-UA"/>
              </w:rPr>
              <w:t>Назва об’єкта нерухомості, що входить до складу ЄМК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Характеристика об’єкта оренди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Фотографічне зображення майна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Поверховий план об’єкта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Місцезнаходження об’єкта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Первісна балансова вартість, грн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Залишкова балансова вартість, грн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Загальна площа об’єкта, кв. м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Корисна площа об’єкта, кв. м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b/>
                <w:bCs/>
                <w:color w:val="000000"/>
                <w:sz w:val="20"/>
                <w:szCs w:val="20"/>
                <w:lang w:val="uk-UA"/>
              </w:rPr>
              <w:t>Технічний стан об'єкта нерухомості та інформація про сплату комунальних послуг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Технічний стан об'єкта оренди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Чи відкриті постачальниками комунальних послуг особові рахунки на об'єкт оренди чи на будівлю (споруду), до складу якої входить об'єкт оренди?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Чи приєднаний об'єкт оренди до електромережі?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Потужність електромережі (кВт)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Ступінь потужності електромережі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Водозабезпечення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Каналізація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Газифікація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Опалення (централізоване від зовнішніх мереж)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Опалення (автономне)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Лічильник на тепло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Вентиляція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Кондиціонування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Телекомунікації (телефонізація)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Телекомунікації (телебачення)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Телекомунікації (Інтернет)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Охоронна сигналізація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836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  <w:r w:rsidRPr="009E54D7">
              <w:rPr>
                <w:color w:val="000000"/>
                <w:sz w:val="20"/>
                <w:szCs w:val="20"/>
                <w:lang w:val="uk-UA"/>
              </w:rPr>
              <w:t>Пожежна сигналізація</w:t>
            </w:r>
          </w:p>
        </w:tc>
        <w:tc>
          <w:tcPr>
            <w:tcW w:w="990" w:type="dxa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4D7" w:rsidRPr="009E54D7" w:rsidTr="0078125B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4D7" w:rsidRPr="009E54D7" w:rsidRDefault="009E54D7" w:rsidP="009E54D7">
            <w:pPr>
              <w:rPr>
                <w:i/>
                <w:iCs/>
                <w:sz w:val="20"/>
                <w:szCs w:val="20"/>
                <w:lang w:val="uk-UA"/>
              </w:rPr>
            </w:pPr>
            <w:r w:rsidRPr="009E54D7">
              <w:rPr>
                <w:i/>
                <w:iCs/>
                <w:sz w:val="20"/>
                <w:szCs w:val="20"/>
                <w:lang w:val="uk-UA"/>
              </w:rPr>
              <w:t>Відомості про будівлі (споруди, приміщення) ЄМК підприємства чи його структурного підрозділу в обсязі, передбаченому для інформації про нерухоме майно, заповнюється окремо для кожного об'єкта нерухомості</w:t>
            </w:r>
          </w:p>
        </w:tc>
      </w:tr>
    </w:tbl>
    <w:p w:rsidR="00585FD1" w:rsidRPr="0078125B" w:rsidRDefault="00585FD1">
      <w:pPr>
        <w:rPr>
          <w:lang w:val="uk-UA"/>
        </w:rPr>
      </w:pPr>
    </w:p>
    <w:sectPr w:rsidR="00585FD1" w:rsidRPr="0078125B" w:rsidSect="00A4673B">
      <w:endnotePr>
        <w:numFmt w:val="decimal"/>
      </w:endnotePr>
      <w:pgSz w:w="11906" w:h="16838"/>
      <w:pgMar w:top="992" w:right="851" w:bottom="17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C1"/>
    <w:rsid w:val="000834F4"/>
    <w:rsid w:val="00116A46"/>
    <w:rsid w:val="003D00C1"/>
    <w:rsid w:val="00585FD1"/>
    <w:rsid w:val="00600B73"/>
    <w:rsid w:val="00691B61"/>
    <w:rsid w:val="0078125B"/>
    <w:rsid w:val="009E54D7"/>
    <w:rsid w:val="00CB5AAA"/>
    <w:rsid w:val="00E5096C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F50F1-C367-4A6E-837C-D1C71518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00C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D00C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7532</Words>
  <Characters>4294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УЛЯНИЦЬКА Анна Юріївна</dc:creator>
  <cp:keywords/>
  <dc:description/>
  <cp:lastModifiedBy>ПЄТУХОВА Ірина Володимирівна</cp:lastModifiedBy>
  <cp:revision>2</cp:revision>
  <cp:lastPrinted>2021-08-03T07:55:00Z</cp:lastPrinted>
  <dcterms:created xsi:type="dcterms:W3CDTF">2021-09-22T12:08:00Z</dcterms:created>
  <dcterms:modified xsi:type="dcterms:W3CDTF">2021-09-22T12:08:00Z</dcterms:modified>
</cp:coreProperties>
</file>