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7D01A" w14:textId="77777777" w:rsidR="005B567A" w:rsidRPr="007F0097" w:rsidRDefault="004019E1" w:rsidP="005B567A">
      <w:pPr>
        <w:jc w:val="center"/>
        <w:rPr>
          <w:rFonts w:ascii="Times New Roman" w:hAnsi="Times New Roman" w:cs="Times New Roman"/>
          <w:b/>
          <w:sz w:val="24"/>
          <w:szCs w:val="24"/>
        </w:rPr>
      </w:pPr>
      <w:r w:rsidRPr="007F0097">
        <w:rPr>
          <w:rFonts w:ascii="Times New Roman" w:hAnsi="Times New Roman" w:cs="Times New Roman"/>
          <w:b/>
          <w:sz w:val="24"/>
          <w:szCs w:val="24"/>
        </w:rPr>
        <w:t>Інформація щодо виконання вимог пункту 4-1 постанови КМУ від 11.10.2016 № 710, закупівля</w:t>
      </w:r>
      <w:r w:rsidRPr="007F0097">
        <w:rPr>
          <w:rFonts w:ascii="Times New Roman" w:hAnsi="Times New Roman" w:cs="Times New Roman"/>
          <w:sz w:val="24"/>
          <w:szCs w:val="24"/>
        </w:rPr>
        <w:t xml:space="preserve"> </w:t>
      </w:r>
      <w:r w:rsidRPr="005839B8">
        <w:rPr>
          <w:rFonts w:ascii="Times New Roman" w:hAnsi="Times New Roman" w:cs="Times New Roman"/>
          <w:bCs/>
          <w:i/>
          <w:iCs/>
          <w:sz w:val="24"/>
          <w:szCs w:val="24"/>
        </w:rPr>
        <w:t>UA-202</w:t>
      </w:r>
      <w:r w:rsidR="002E79FE" w:rsidRPr="005839B8">
        <w:rPr>
          <w:rFonts w:ascii="Times New Roman" w:hAnsi="Times New Roman" w:cs="Times New Roman"/>
          <w:bCs/>
          <w:i/>
          <w:iCs/>
          <w:sz w:val="24"/>
          <w:szCs w:val="24"/>
        </w:rPr>
        <w:t>6</w:t>
      </w:r>
      <w:r w:rsidRPr="005839B8">
        <w:rPr>
          <w:rFonts w:ascii="Times New Roman" w:hAnsi="Times New Roman" w:cs="Times New Roman"/>
          <w:bCs/>
          <w:i/>
          <w:iCs/>
          <w:sz w:val="24"/>
          <w:szCs w:val="24"/>
        </w:rPr>
        <w:t>-</w:t>
      </w:r>
      <w:r w:rsidR="002E79FE" w:rsidRPr="005839B8">
        <w:rPr>
          <w:rFonts w:ascii="Times New Roman" w:hAnsi="Times New Roman" w:cs="Times New Roman"/>
          <w:bCs/>
          <w:i/>
          <w:iCs/>
          <w:sz w:val="24"/>
          <w:szCs w:val="24"/>
        </w:rPr>
        <w:t>03</w:t>
      </w:r>
      <w:r w:rsidRPr="005839B8">
        <w:rPr>
          <w:rFonts w:ascii="Times New Roman" w:hAnsi="Times New Roman" w:cs="Times New Roman"/>
          <w:bCs/>
          <w:i/>
          <w:iCs/>
          <w:sz w:val="24"/>
          <w:szCs w:val="24"/>
        </w:rPr>
        <w:t>-</w:t>
      </w:r>
      <w:r w:rsidR="002E79FE" w:rsidRPr="005839B8">
        <w:rPr>
          <w:rFonts w:ascii="Times New Roman" w:hAnsi="Times New Roman" w:cs="Times New Roman"/>
          <w:bCs/>
          <w:i/>
          <w:iCs/>
          <w:sz w:val="24"/>
          <w:szCs w:val="24"/>
        </w:rPr>
        <w:t>17</w:t>
      </w:r>
      <w:r w:rsidRPr="005839B8">
        <w:rPr>
          <w:rFonts w:ascii="Times New Roman" w:hAnsi="Times New Roman" w:cs="Times New Roman"/>
          <w:bCs/>
          <w:i/>
          <w:iCs/>
          <w:sz w:val="24"/>
          <w:szCs w:val="24"/>
        </w:rPr>
        <w:t>-0</w:t>
      </w:r>
      <w:r w:rsidR="002E79FE" w:rsidRPr="005839B8">
        <w:rPr>
          <w:rFonts w:ascii="Times New Roman" w:hAnsi="Times New Roman" w:cs="Times New Roman"/>
          <w:bCs/>
          <w:i/>
          <w:iCs/>
          <w:sz w:val="24"/>
          <w:szCs w:val="24"/>
        </w:rPr>
        <w:t>14883</w:t>
      </w:r>
      <w:r w:rsidRPr="005839B8">
        <w:rPr>
          <w:rFonts w:ascii="Times New Roman" w:hAnsi="Times New Roman" w:cs="Times New Roman"/>
          <w:bCs/>
          <w:i/>
          <w:iCs/>
          <w:sz w:val="24"/>
          <w:szCs w:val="24"/>
        </w:rPr>
        <w:t>-</w:t>
      </w:r>
      <w:r w:rsidR="001464EA" w:rsidRPr="005839B8">
        <w:rPr>
          <w:rFonts w:ascii="Times New Roman" w:hAnsi="Times New Roman" w:cs="Times New Roman"/>
          <w:bCs/>
          <w:i/>
          <w:iCs/>
          <w:sz w:val="24"/>
          <w:szCs w:val="24"/>
          <w:lang w:val="en-US"/>
        </w:rPr>
        <w:t>a</w:t>
      </w:r>
    </w:p>
    <w:p w14:paraId="4A2724A6" w14:textId="77777777" w:rsidR="004019E1" w:rsidRPr="007F0097" w:rsidRDefault="00A0018F" w:rsidP="005B567A">
      <w:pPr>
        <w:jc w:val="center"/>
        <w:rPr>
          <w:rFonts w:ascii="Times New Roman" w:hAnsi="Times New Roman" w:cs="Times New Roman"/>
          <w:b/>
          <w:sz w:val="24"/>
          <w:szCs w:val="24"/>
        </w:rPr>
      </w:pPr>
      <w:r w:rsidRPr="007F0097">
        <w:rPr>
          <w:rFonts w:ascii="Times New Roman" w:hAnsi="Times New Roman" w:cs="Times New Roman"/>
          <w:b/>
          <w:sz w:val="24"/>
          <w:szCs w:val="24"/>
        </w:rPr>
        <w:t>«</w:t>
      </w:r>
      <w:r w:rsidR="007F61AF">
        <w:rPr>
          <w:rFonts w:ascii="Times New Roman" w:hAnsi="Times New Roman" w:cs="Times New Roman"/>
          <w:b/>
          <w:sz w:val="24"/>
          <w:szCs w:val="24"/>
        </w:rPr>
        <w:t>Електрична енергія</w:t>
      </w:r>
      <w:r w:rsidRPr="007F0097">
        <w:rPr>
          <w:rFonts w:ascii="Times New Roman" w:hAnsi="Times New Roman" w:cs="Times New Roman"/>
          <w:b/>
          <w:sz w:val="24"/>
          <w:szCs w:val="24"/>
        </w:rPr>
        <w:t>»</w:t>
      </w:r>
    </w:p>
    <w:p w14:paraId="5AB5DEC7" w14:textId="77777777" w:rsidR="0061330F" w:rsidRPr="007F0097" w:rsidRDefault="0061330F" w:rsidP="0061330F">
      <w:pPr>
        <w:pStyle w:val="a5"/>
        <w:numPr>
          <w:ilvl w:val="0"/>
          <w:numId w:val="3"/>
        </w:numPr>
        <w:rPr>
          <w:b/>
        </w:rPr>
      </w:pPr>
      <w:r w:rsidRPr="007F0097">
        <w:rPr>
          <w:b/>
        </w:rPr>
        <w:t>Назва предмета закупівлі</w:t>
      </w:r>
      <w:r w:rsidRPr="007F0097">
        <w:rPr>
          <w:b/>
          <w:lang w:val="uk-UA"/>
        </w:rPr>
        <w:t>:</w:t>
      </w:r>
    </w:p>
    <w:p w14:paraId="0E305668" w14:textId="77777777" w:rsidR="0061330F" w:rsidRPr="007F0097" w:rsidRDefault="00BC58D8" w:rsidP="0061330F">
      <w:pPr>
        <w:pStyle w:val="a5"/>
        <w:ind w:left="0" w:firstLine="709"/>
        <w:jc w:val="both"/>
        <w:rPr>
          <w:lang w:val="uk-UA"/>
        </w:rPr>
      </w:pPr>
      <w:r w:rsidRPr="007F0097">
        <w:rPr>
          <w:rFonts w:eastAsia="Times New Roman"/>
          <w:b/>
          <w:noProof/>
        </w:rPr>
        <w:t xml:space="preserve">Електрична енергія, </w:t>
      </w:r>
      <w:r w:rsidRPr="007F0097">
        <w:rPr>
          <w:b/>
          <w:bCs/>
          <w:noProof/>
        </w:rPr>
        <w:t xml:space="preserve">код ДК 021:2015:09310000-5 – Електрична енергія </w:t>
      </w:r>
      <w:r w:rsidRPr="007F0097">
        <w:rPr>
          <w:noProof/>
          <w:color w:val="000000"/>
        </w:rPr>
        <w:t>Єдиного закупівельного словника</w:t>
      </w:r>
    </w:p>
    <w:p w14:paraId="6F6F8CA6" w14:textId="77777777" w:rsidR="0061330F" w:rsidRPr="007F0097" w:rsidRDefault="00510637" w:rsidP="0061330F">
      <w:pPr>
        <w:pStyle w:val="a5"/>
        <w:ind w:left="0" w:firstLine="709"/>
        <w:jc w:val="both"/>
        <w:rPr>
          <w:lang w:val="uk-UA"/>
        </w:rPr>
      </w:pPr>
      <w:r w:rsidRPr="007F0097">
        <w:rPr>
          <w:lang w:val="uk-UA"/>
        </w:rPr>
        <w:t>Далі – Товар.</w:t>
      </w:r>
    </w:p>
    <w:p w14:paraId="2573B757" w14:textId="74BFBBAA" w:rsidR="0061330F" w:rsidRPr="007F0097" w:rsidRDefault="0061330F" w:rsidP="0061330F">
      <w:pPr>
        <w:pStyle w:val="a5"/>
        <w:numPr>
          <w:ilvl w:val="0"/>
          <w:numId w:val="3"/>
        </w:numPr>
        <w:jc w:val="both"/>
        <w:rPr>
          <w:b/>
        </w:rPr>
      </w:pPr>
      <w:r w:rsidRPr="007F0097">
        <w:rPr>
          <w:b/>
        </w:rPr>
        <w:t>Ідентифікатор закупівлі</w:t>
      </w:r>
      <w:r w:rsidRPr="007F0097">
        <w:rPr>
          <w:b/>
          <w:lang w:val="uk-UA"/>
        </w:rPr>
        <w:t xml:space="preserve">:  </w:t>
      </w:r>
    </w:p>
    <w:p w14:paraId="634D41F8" w14:textId="77777777" w:rsidR="0061330F" w:rsidRPr="007F0097" w:rsidRDefault="0061330F" w:rsidP="0061330F">
      <w:pPr>
        <w:pStyle w:val="a5"/>
        <w:ind w:left="928"/>
        <w:jc w:val="both"/>
      </w:pPr>
    </w:p>
    <w:p w14:paraId="25E8BE3B" w14:textId="77777777" w:rsidR="0061330F" w:rsidRPr="007F0097" w:rsidRDefault="0061330F" w:rsidP="0061330F">
      <w:pPr>
        <w:pStyle w:val="a5"/>
        <w:numPr>
          <w:ilvl w:val="0"/>
          <w:numId w:val="3"/>
        </w:numPr>
        <w:rPr>
          <w:b/>
        </w:rPr>
      </w:pPr>
      <w:r w:rsidRPr="007F0097">
        <w:rPr>
          <w:b/>
        </w:rPr>
        <w:t>Розрахунок очікуваної вартості предмета закупівлі</w:t>
      </w:r>
      <w:r w:rsidRPr="007F0097">
        <w:rPr>
          <w:b/>
          <w:lang w:val="uk-UA"/>
        </w:rPr>
        <w:t>:</w:t>
      </w:r>
    </w:p>
    <w:p w14:paraId="6CD6AFED" w14:textId="522CD49C" w:rsidR="00EA468D" w:rsidRPr="003177EF" w:rsidRDefault="003177EF" w:rsidP="00EA468D">
      <w:pPr>
        <w:pStyle w:val="a5"/>
        <w:ind w:left="928"/>
        <w:rPr>
          <w:b/>
          <w:lang w:val="uk-UA"/>
        </w:rPr>
      </w:pPr>
      <w:r>
        <w:rPr>
          <w:b/>
          <w:lang w:val="uk-UA"/>
        </w:rPr>
        <w:t xml:space="preserve">Розрахунок здійснюється на </w:t>
      </w:r>
      <w:r w:rsidR="00C13733">
        <w:rPr>
          <w:b/>
          <w:lang w:val="uk-UA"/>
        </w:rPr>
        <w:t>період до 31.12.</w:t>
      </w:r>
      <w:r>
        <w:rPr>
          <w:b/>
          <w:lang w:val="uk-UA"/>
        </w:rPr>
        <w:t>202</w:t>
      </w:r>
      <w:r w:rsidR="007B031E">
        <w:rPr>
          <w:b/>
          <w:lang w:val="uk-UA"/>
        </w:rPr>
        <w:t>6</w:t>
      </w:r>
      <w:r>
        <w:rPr>
          <w:b/>
          <w:lang w:val="uk-UA"/>
        </w:rPr>
        <w:t xml:space="preserve"> р</w:t>
      </w:r>
      <w:r w:rsidR="00C13733">
        <w:rPr>
          <w:b/>
          <w:lang w:val="uk-UA"/>
        </w:rPr>
        <w:t>оку для площадки</w:t>
      </w:r>
      <w:r w:rsidR="00BA4348">
        <w:rPr>
          <w:b/>
          <w:lang w:val="uk-UA"/>
        </w:rPr>
        <w:t xml:space="preserve"> </w:t>
      </w:r>
      <w:r w:rsidR="00C13733">
        <w:rPr>
          <w:b/>
          <w:lang w:val="uk-UA"/>
        </w:rPr>
        <w:t xml:space="preserve">вимірювання групи </w:t>
      </w:r>
      <w:r w:rsidR="00F85DAA">
        <w:rPr>
          <w:b/>
          <w:lang w:val="uk-UA"/>
        </w:rPr>
        <w:t>Б</w:t>
      </w:r>
      <w:r w:rsidR="00C13733">
        <w:rPr>
          <w:b/>
          <w:lang w:val="uk-UA"/>
        </w:rPr>
        <w:t>.</w:t>
      </w:r>
    </w:p>
    <w:p w14:paraId="032816C8" w14:textId="77777777" w:rsidR="00D71C48" w:rsidRPr="007F0097" w:rsidRDefault="00D71C48" w:rsidP="00D71C48">
      <w:pPr>
        <w:spacing w:after="0"/>
        <w:ind w:firstLine="425"/>
        <w:jc w:val="both"/>
        <w:rPr>
          <w:rFonts w:ascii="Times New Roman" w:hAnsi="Times New Roman" w:cs="Times New Roman"/>
          <w:sz w:val="24"/>
          <w:szCs w:val="24"/>
        </w:rPr>
      </w:pPr>
      <w:r w:rsidRPr="007F0097">
        <w:rPr>
          <w:rFonts w:ascii="Times New Roman" w:hAnsi="Times New Roman" w:cs="Times New Roman"/>
          <w:sz w:val="24"/>
          <w:szCs w:val="24"/>
        </w:rPr>
        <w:t xml:space="preserve">Розрахунок виконаний на підставі Методики розрахунку очікуваної вартості предмету закупівлі, затвердженої Наказом Міністерства розвитку економіки, торгівлі та сільського господарства України від 18.02.2020 № 275. </w:t>
      </w:r>
    </w:p>
    <w:p w14:paraId="33FE978D" w14:textId="6440115D" w:rsidR="00D606B2" w:rsidRPr="007F0097" w:rsidRDefault="00D606B2" w:rsidP="00D606B2">
      <w:pPr>
        <w:pStyle w:val="a5"/>
        <w:ind w:left="928"/>
        <w:rPr>
          <w:b/>
          <w:lang w:val="uk-UA"/>
        </w:rPr>
      </w:pPr>
      <w:r w:rsidRPr="007F0097">
        <w:rPr>
          <w:b/>
          <w:lang w:val="uk-UA"/>
        </w:rPr>
        <w:t xml:space="preserve">Обсяг закупівлі становить </w:t>
      </w:r>
      <w:r w:rsidR="00BA4348">
        <w:rPr>
          <w:b/>
          <w:lang w:val="uk-UA"/>
        </w:rPr>
        <w:t>3781</w:t>
      </w:r>
      <w:r w:rsidRPr="007F0097">
        <w:rPr>
          <w:b/>
          <w:lang w:val="uk-UA"/>
        </w:rPr>
        <w:t xml:space="preserve"> кВт*год.</w:t>
      </w:r>
    </w:p>
    <w:p w14:paraId="4908CC19" w14:textId="77777777" w:rsidR="001353DE" w:rsidRDefault="001353DE" w:rsidP="001353DE">
      <w:pPr>
        <w:pStyle w:val="a5"/>
        <w:ind w:left="-1276" w:firstLine="709"/>
        <w:jc w:val="both"/>
        <w:rPr>
          <w:lang w:val="uk-UA"/>
        </w:rPr>
      </w:pPr>
    </w:p>
    <w:p w14:paraId="718ABDAF" w14:textId="77777777" w:rsidR="00137E49" w:rsidRPr="00137E49" w:rsidRDefault="00137E49" w:rsidP="00137E49">
      <w:pPr>
        <w:pStyle w:val="a7"/>
        <w:ind w:firstLine="709"/>
        <w:jc w:val="both"/>
        <w:rPr>
          <w:rFonts w:ascii="Times New Roman" w:hAnsi="Times New Roman"/>
          <w:sz w:val="24"/>
          <w:szCs w:val="24"/>
        </w:rPr>
      </w:pPr>
      <w:r w:rsidRPr="00137E49">
        <w:rPr>
          <w:rFonts w:ascii="Times New Roman" w:hAnsi="Times New Roman"/>
          <w:sz w:val="24"/>
          <w:szCs w:val="24"/>
        </w:rPr>
        <w:t>Відповідно до пп. 2 п. 3.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w:t>
      </w:r>
    </w:p>
    <w:p w14:paraId="729BE446" w14:textId="77777777" w:rsidR="00137E49" w:rsidRPr="00137E49" w:rsidRDefault="00137E49" w:rsidP="00137E49">
      <w:pPr>
        <w:pStyle w:val="a7"/>
        <w:ind w:firstLine="709"/>
        <w:jc w:val="both"/>
        <w:rPr>
          <w:rFonts w:ascii="Times New Roman" w:hAnsi="Times New Roman"/>
          <w:sz w:val="24"/>
          <w:szCs w:val="24"/>
        </w:rPr>
      </w:pPr>
    </w:p>
    <w:p w14:paraId="61913B74" w14:textId="77777777" w:rsidR="00137E49" w:rsidRPr="00137E49" w:rsidRDefault="00137E49" w:rsidP="00BA4348">
      <w:pPr>
        <w:pStyle w:val="a7"/>
        <w:jc w:val="center"/>
        <w:rPr>
          <w:rFonts w:ascii="Times New Roman" w:hAnsi="Times New Roman"/>
          <w:sz w:val="24"/>
          <w:szCs w:val="24"/>
        </w:rPr>
      </w:pPr>
      <w:r w:rsidRPr="00137E49">
        <w:rPr>
          <w:rFonts w:ascii="Times New Roman" w:hAnsi="Times New Roman"/>
          <w:sz w:val="24"/>
          <w:szCs w:val="24"/>
        </w:rPr>
        <w:t xml:space="preserve">ОВ=(ЦФпрогн.рдн +Тпер + </w:t>
      </w:r>
      <w:r w:rsidRPr="00137E49">
        <w:rPr>
          <w:rFonts w:ascii="Times New Roman" w:hAnsi="Times New Roman"/>
          <w:sz w:val="24"/>
          <w:szCs w:val="24"/>
          <w:lang w:val="en-US"/>
        </w:rPr>
        <w:t>V</w:t>
      </w:r>
      <w:r w:rsidRPr="00137E49">
        <w:rPr>
          <w:rFonts w:ascii="Times New Roman" w:hAnsi="Times New Roman"/>
          <w:sz w:val="24"/>
          <w:szCs w:val="24"/>
        </w:rPr>
        <w:t xml:space="preserve">) х </w:t>
      </w:r>
      <w:r w:rsidRPr="00137E49">
        <w:rPr>
          <w:rFonts w:ascii="Times New Roman" w:hAnsi="Times New Roman"/>
          <w:sz w:val="24"/>
          <w:szCs w:val="24"/>
          <w:lang w:val="en-US"/>
        </w:rPr>
        <w:t>W</w:t>
      </w:r>
      <w:r w:rsidRPr="00137E49">
        <w:rPr>
          <w:rFonts w:ascii="Times New Roman" w:hAnsi="Times New Roman"/>
          <w:sz w:val="24"/>
          <w:szCs w:val="24"/>
        </w:rPr>
        <w:t xml:space="preserve"> х Р, де</w:t>
      </w:r>
    </w:p>
    <w:p w14:paraId="1BA2ABE2" w14:textId="77777777" w:rsidR="00137E49" w:rsidRPr="00137E49" w:rsidRDefault="00137E49" w:rsidP="00137E49">
      <w:pPr>
        <w:pStyle w:val="a7"/>
        <w:jc w:val="both"/>
        <w:rPr>
          <w:rFonts w:ascii="Times New Roman" w:hAnsi="Times New Roman"/>
          <w:sz w:val="24"/>
          <w:szCs w:val="24"/>
        </w:rPr>
      </w:pPr>
    </w:p>
    <w:p w14:paraId="4AA8AF4E" w14:textId="77777777"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ОВ – очікувана вартість закупівлі, грн;</w:t>
      </w:r>
    </w:p>
    <w:p w14:paraId="445A11A3" w14:textId="728DB3CB"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ЦФпрогн.рдн – ціна за 1кВт*год РДН л</w:t>
      </w:r>
      <w:r w:rsidR="00282638">
        <w:rPr>
          <w:rFonts w:ascii="Times New Roman" w:hAnsi="Times New Roman"/>
          <w:sz w:val="24"/>
          <w:szCs w:val="24"/>
        </w:rPr>
        <w:t xml:space="preserve">ютий 2026 для площадок вимірювання </w:t>
      </w:r>
      <w:r w:rsidR="00BA4348">
        <w:rPr>
          <w:rFonts w:ascii="Times New Roman" w:hAnsi="Times New Roman"/>
          <w:sz w:val="24"/>
          <w:szCs w:val="24"/>
        </w:rPr>
        <w:t>Б</w:t>
      </w:r>
      <w:r w:rsidRPr="00137E49">
        <w:rPr>
          <w:rFonts w:ascii="Times New Roman" w:hAnsi="Times New Roman"/>
          <w:sz w:val="24"/>
          <w:szCs w:val="24"/>
        </w:rPr>
        <w:t>, грн, без ПДВ (</w:t>
      </w:r>
      <w:r w:rsidR="00BA4348">
        <w:rPr>
          <w:rFonts w:ascii="Times New Roman" w:hAnsi="Times New Roman"/>
          <w:sz w:val="24"/>
          <w:szCs w:val="24"/>
        </w:rPr>
        <w:t>10,04828</w:t>
      </w:r>
      <w:r w:rsidRPr="00137E49">
        <w:rPr>
          <w:rFonts w:ascii="Times New Roman" w:hAnsi="Times New Roman"/>
          <w:sz w:val="24"/>
          <w:szCs w:val="24"/>
        </w:rPr>
        <w:t xml:space="preserve"> грн);</w:t>
      </w:r>
    </w:p>
    <w:p w14:paraId="4E636CEF" w14:textId="77777777"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Тпер -  тариф на послуги з передачі електричної енергії (0,7</w:t>
      </w:r>
      <w:r w:rsidR="00282638">
        <w:rPr>
          <w:rFonts w:ascii="Times New Roman" w:hAnsi="Times New Roman"/>
          <w:sz w:val="24"/>
          <w:szCs w:val="24"/>
        </w:rPr>
        <w:t>4291</w:t>
      </w:r>
      <w:r w:rsidRPr="00137E49">
        <w:rPr>
          <w:rFonts w:ascii="Times New Roman" w:hAnsi="Times New Roman"/>
          <w:sz w:val="24"/>
          <w:szCs w:val="24"/>
        </w:rPr>
        <w:t xml:space="preserve"> грн);</w:t>
      </w:r>
    </w:p>
    <w:p w14:paraId="5756FB0B" w14:textId="203DF3B3"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lang w:val="en-US"/>
        </w:rPr>
        <w:t>V</w:t>
      </w:r>
      <w:r w:rsidRPr="00137E49">
        <w:rPr>
          <w:rFonts w:ascii="Times New Roman" w:hAnsi="Times New Roman"/>
          <w:sz w:val="24"/>
          <w:szCs w:val="24"/>
        </w:rPr>
        <w:t xml:space="preserve"> – орієнтовна торгівельна надбавка за 1 кВт*год: ЦФпрогн.рдн *10% (</w:t>
      </w:r>
      <w:r w:rsidR="00BA4348">
        <w:rPr>
          <w:rFonts w:ascii="Times New Roman" w:hAnsi="Times New Roman"/>
          <w:sz w:val="24"/>
          <w:szCs w:val="24"/>
        </w:rPr>
        <w:t>1,004828</w:t>
      </w:r>
      <w:r w:rsidRPr="00137E49">
        <w:rPr>
          <w:rFonts w:ascii="Times New Roman" w:hAnsi="Times New Roman"/>
          <w:sz w:val="24"/>
          <w:szCs w:val="24"/>
        </w:rPr>
        <w:t xml:space="preserve"> грн);</w:t>
      </w:r>
    </w:p>
    <w:p w14:paraId="3EE9B641" w14:textId="7D8B8F12"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lang w:val="en-US"/>
        </w:rPr>
        <w:t>W</w:t>
      </w:r>
      <w:r w:rsidRPr="00137E49">
        <w:rPr>
          <w:rFonts w:ascii="Times New Roman" w:hAnsi="Times New Roman"/>
          <w:sz w:val="24"/>
          <w:szCs w:val="24"/>
        </w:rPr>
        <w:t xml:space="preserve"> – плановий обсяг закупівлі електричної енергії (</w:t>
      </w:r>
      <w:r w:rsidR="00BA4348">
        <w:rPr>
          <w:rFonts w:ascii="Times New Roman" w:hAnsi="Times New Roman"/>
          <w:sz w:val="24"/>
          <w:szCs w:val="24"/>
        </w:rPr>
        <w:t>3781</w:t>
      </w:r>
      <w:r w:rsidRPr="00137E49">
        <w:rPr>
          <w:rFonts w:ascii="Times New Roman" w:hAnsi="Times New Roman"/>
          <w:sz w:val="24"/>
          <w:szCs w:val="24"/>
        </w:rPr>
        <w:t xml:space="preserve"> кВт*год);</w:t>
      </w:r>
    </w:p>
    <w:p w14:paraId="2701AC9D" w14:textId="77777777"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Р – матиматичне вираження можливої ставки ПДВ, грн (20% дорівнює 1,2).</w:t>
      </w:r>
    </w:p>
    <w:p w14:paraId="0647C414" w14:textId="71713BD0" w:rsidR="00137E49" w:rsidRPr="00137E49" w:rsidRDefault="00137E49" w:rsidP="00137E49">
      <w:pPr>
        <w:pStyle w:val="a7"/>
        <w:jc w:val="both"/>
        <w:rPr>
          <w:rFonts w:ascii="Times New Roman" w:hAnsi="Times New Roman"/>
          <w:b/>
          <w:sz w:val="24"/>
          <w:szCs w:val="24"/>
        </w:rPr>
      </w:pPr>
      <w:r w:rsidRPr="00137E49">
        <w:rPr>
          <w:rFonts w:ascii="Times New Roman" w:hAnsi="Times New Roman"/>
          <w:b/>
          <w:sz w:val="24"/>
          <w:szCs w:val="24"/>
        </w:rPr>
        <w:t xml:space="preserve">Очікувана вартість закупівлі дорівнює – </w:t>
      </w:r>
      <w:r w:rsidR="00BA4348">
        <w:rPr>
          <w:rFonts w:ascii="Times New Roman" w:hAnsi="Times New Roman"/>
          <w:b/>
          <w:sz w:val="24"/>
          <w:szCs w:val="24"/>
        </w:rPr>
        <w:t>53 522</w:t>
      </w:r>
      <w:r w:rsidRPr="00137E49">
        <w:rPr>
          <w:rFonts w:ascii="Times New Roman" w:hAnsi="Times New Roman"/>
          <w:b/>
          <w:sz w:val="24"/>
          <w:szCs w:val="24"/>
        </w:rPr>
        <w:t xml:space="preserve"> грн </w:t>
      </w:r>
      <w:r w:rsidR="00BA4348">
        <w:rPr>
          <w:rFonts w:ascii="Times New Roman" w:hAnsi="Times New Roman"/>
          <w:b/>
          <w:sz w:val="24"/>
          <w:szCs w:val="24"/>
        </w:rPr>
        <w:t xml:space="preserve">00 коп </w:t>
      </w:r>
      <w:r w:rsidRPr="00137E49">
        <w:rPr>
          <w:rFonts w:ascii="Times New Roman" w:hAnsi="Times New Roman"/>
          <w:b/>
          <w:sz w:val="24"/>
          <w:szCs w:val="24"/>
        </w:rPr>
        <w:t>з ПДВ:</w:t>
      </w:r>
    </w:p>
    <w:p w14:paraId="0A39D9DB" w14:textId="77777777" w:rsidR="00137E49" w:rsidRPr="00137E49" w:rsidRDefault="00137E49" w:rsidP="00137E49">
      <w:pPr>
        <w:pStyle w:val="a7"/>
        <w:jc w:val="both"/>
        <w:rPr>
          <w:rFonts w:ascii="Times New Roman" w:hAnsi="Times New Roman"/>
          <w:sz w:val="24"/>
          <w:szCs w:val="24"/>
        </w:rPr>
      </w:pPr>
    </w:p>
    <w:p w14:paraId="68676EF0" w14:textId="3A172545"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w:t>
      </w:r>
      <w:r w:rsidR="00BA4348">
        <w:rPr>
          <w:rFonts w:ascii="Times New Roman" w:hAnsi="Times New Roman"/>
          <w:sz w:val="24"/>
          <w:szCs w:val="24"/>
        </w:rPr>
        <w:t>10,04828</w:t>
      </w:r>
      <w:r w:rsidR="001549EB" w:rsidRPr="00137E49">
        <w:rPr>
          <w:rFonts w:ascii="Times New Roman" w:hAnsi="Times New Roman"/>
          <w:sz w:val="24"/>
          <w:szCs w:val="24"/>
        </w:rPr>
        <w:t xml:space="preserve"> </w:t>
      </w:r>
      <w:r w:rsidRPr="00137E49">
        <w:rPr>
          <w:rFonts w:ascii="Times New Roman" w:hAnsi="Times New Roman"/>
          <w:sz w:val="24"/>
          <w:szCs w:val="24"/>
        </w:rPr>
        <w:t>+0,7</w:t>
      </w:r>
      <w:r w:rsidR="001549EB">
        <w:rPr>
          <w:rFonts w:ascii="Times New Roman" w:hAnsi="Times New Roman"/>
          <w:sz w:val="24"/>
          <w:szCs w:val="24"/>
        </w:rPr>
        <w:t xml:space="preserve">4291 + </w:t>
      </w:r>
      <w:r w:rsidR="00BA4348">
        <w:rPr>
          <w:rFonts w:ascii="Times New Roman" w:hAnsi="Times New Roman"/>
          <w:sz w:val="24"/>
          <w:szCs w:val="24"/>
        </w:rPr>
        <w:t>1,004828</w:t>
      </w:r>
      <w:r w:rsidRPr="00137E49">
        <w:rPr>
          <w:rFonts w:ascii="Times New Roman" w:hAnsi="Times New Roman"/>
          <w:sz w:val="24"/>
          <w:szCs w:val="24"/>
        </w:rPr>
        <w:t xml:space="preserve">) х </w:t>
      </w:r>
      <w:r w:rsidR="00BA4348">
        <w:rPr>
          <w:rFonts w:ascii="Times New Roman" w:hAnsi="Times New Roman"/>
          <w:sz w:val="24"/>
          <w:szCs w:val="24"/>
        </w:rPr>
        <w:t>3721</w:t>
      </w:r>
      <w:r w:rsidRPr="00137E49">
        <w:rPr>
          <w:rFonts w:ascii="Times New Roman" w:hAnsi="Times New Roman"/>
          <w:sz w:val="24"/>
          <w:szCs w:val="24"/>
        </w:rPr>
        <w:t xml:space="preserve"> х 1,2 = </w:t>
      </w:r>
      <w:r w:rsidR="00BA4348">
        <w:rPr>
          <w:rFonts w:ascii="Times New Roman" w:hAnsi="Times New Roman"/>
          <w:sz w:val="24"/>
          <w:szCs w:val="24"/>
        </w:rPr>
        <w:t>53 522</w:t>
      </w:r>
      <w:r w:rsidR="001549EB">
        <w:rPr>
          <w:rFonts w:ascii="Times New Roman" w:hAnsi="Times New Roman"/>
          <w:sz w:val="24"/>
          <w:szCs w:val="24"/>
        </w:rPr>
        <w:t>,00</w:t>
      </w:r>
      <w:r w:rsidR="00BB7DFB">
        <w:rPr>
          <w:rFonts w:ascii="Times New Roman" w:hAnsi="Times New Roman"/>
          <w:sz w:val="24"/>
          <w:szCs w:val="24"/>
        </w:rPr>
        <w:t xml:space="preserve"> </w:t>
      </w:r>
      <w:r w:rsidRPr="00137E49">
        <w:rPr>
          <w:rFonts w:ascii="Times New Roman" w:hAnsi="Times New Roman"/>
          <w:sz w:val="24"/>
          <w:szCs w:val="24"/>
        </w:rPr>
        <w:t>грн. з ПДВ.</w:t>
      </w:r>
    </w:p>
    <w:p w14:paraId="6317D8DC" w14:textId="77777777" w:rsidR="00137E49" w:rsidRPr="00137E49" w:rsidRDefault="00137E49" w:rsidP="00137E49">
      <w:pPr>
        <w:pStyle w:val="a7"/>
        <w:jc w:val="both"/>
        <w:rPr>
          <w:rFonts w:ascii="Times New Roman" w:hAnsi="Times New Roman"/>
          <w:sz w:val="24"/>
          <w:szCs w:val="24"/>
        </w:rPr>
      </w:pPr>
    </w:p>
    <w:p w14:paraId="24E74A70" w14:textId="661F615B" w:rsidR="00137E49" w:rsidRPr="00137E49" w:rsidRDefault="00BA4348" w:rsidP="00137E49">
      <w:pPr>
        <w:pStyle w:val="a7"/>
        <w:jc w:val="both"/>
        <w:rPr>
          <w:rFonts w:ascii="Times New Roman" w:hAnsi="Times New Roman"/>
          <w:b/>
          <w:sz w:val="24"/>
          <w:szCs w:val="24"/>
        </w:rPr>
      </w:pPr>
      <w:r>
        <w:rPr>
          <w:rFonts w:ascii="Times New Roman" w:hAnsi="Times New Roman"/>
          <w:b/>
          <w:sz w:val="24"/>
          <w:szCs w:val="24"/>
        </w:rPr>
        <w:t>14,155</w:t>
      </w:r>
      <w:r w:rsidR="00137E49" w:rsidRPr="00137E49">
        <w:rPr>
          <w:rFonts w:ascii="Times New Roman" w:hAnsi="Times New Roman"/>
          <w:b/>
          <w:sz w:val="24"/>
          <w:szCs w:val="24"/>
        </w:rPr>
        <w:t xml:space="preserve"> грн за 1 кВт*год з ПДВ.</w:t>
      </w:r>
    </w:p>
    <w:p w14:paraId="581F6E59" w14:textId="77777777" w:rsidR="001353DE" w:rsidRPr="00137E49" w:rsidRDefault="001353DE" w:rsidP="00137E49">
      <w:pPr>
        <w:pStyle w:val="a5"/>
        <w:ind w:left="0" w:firstLine="709"/>
        <w:jc w:val="both"/>
        <w:rPr>
          <w:lang w:val="uk-UA"/>
        </w:rPr>
      </w:pPr>
    </w:p>
    <w:p w14:paraId="48D926FF" w14:textId="77777777" w:rsidR="0061330F" w:rsidRPr="007F0097" w:rsidRDefault="0061330F" w:rsidP="0061330F">
      <w:pPr>
        <w:pStyle w:val="a5"/>
        <w:numPr>
          <w:ilvl w:val="0"/>
          <w:numId w:val="3"/>
        </w:numPr>
        <w:rPr>
          <w:b/>
        </w:rPr>
      </w:pPr>
      <w:r w:rsidRPr="007F0097">
        <w:rPr>
          <w:b/>
          <w:lang w:val="uk-UA"/>
        </w:rPr>
        <w:t>Обгрунтування технічних та якісних характеристик п</w:t>
      </w:r>
      <w:r w:rsidRPr="007F0097">
        <w:rPr>
          <w:b/>
        </w:rPr>
        <w:t>редмета закупівлі</w:t>
      </w:r>
      <w:r w:rsidR="00C74FC2" w:rsidRPr="007F0097">
        <w:rPr>
          <w:b/>
          <w:lang w:val="uk-UA"/>
        </w:rPr>
        <w:t>:</w:t>
      </w:r>
    </w:p>
    <w:p w14:paraId="4DB9D63C" w14:textId="77777777" w:rsidR="007F0097" w:rsidRPr="007F0097" w:rsidRDefault="00FE5DDC" w:rsidP="00FE5DDC">
      <w:pPr>
        <w:pStyle w:val="a5"/>
        <w:ind w:left="928"/>
        <w:rPr>
          <w:b/>
          <w:bCs/>
          <w:color w:val="000000"/>
        </w:rPr>
      </w:pPr>
      <w:r w:rsidRPr="007F0097">
        <w:rPr>
          <w:bCs/>
          <w:color w:val="000000"/>
        </w:rPr>
        <w:t xml:space="preserve"> </w:t>
      </w:r>
    </w:p>
    <w:tbl>
      <w:tblPr>
        <w:tblW w:w="9684" w:type="dxa"/>
        <w:tblInd w:w="-49" w:type="dxa"/>
        <w:tblLayout w:type="fixed"/>
        <w:tblCellMar>
          <w:left w:w="10" w:type="dxa"/>
          <w:right w:w="10" w:type="dxa"/>
        </w:tblCellMar>
        <w:tblLook w:val="04A0" w:firstRow="1" w:lastRow="0" w:firstColumn="1" w:lastColumn="0" w:noHBand="0" w:noVBand="1"/>
      </w:tblPr>
      <w:tblGrid>
        <w:gridCol w:w="709"/>
        <w:gridCol w:w="3163"/>
        <w:gridCol w:w="3260"/>
        <w:gridCol w:w="2552"/>
      </w:tblGrid>
      <w:tr w:rsidR="007F0097" w:rsidRPr="007F0097" w14:paraId="55122E22" w14:textId="77777777" w:rsidTr="00BF4AED">
        <w:trPr>
          <w:trHeight w:val="335"/>
        </w:trPr>
        <w:tc>
          <w:tcPr>
            <w:tcW w:w="709"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vAlign w:val="center"/>
          </w:tcPr>
          <w:p w14:paraId="6D5C8E37" w14:textId="77777777"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 з/п</w:t>
            </w:r>
          </w:p>
        </w:tc>
        <w:tc>
          <w:tcPr>
            <w:tcW w:w="3163"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vAlign w:val="center"/>
          </w:tcPr>
          <w:p w14:paraId="12C8CCB1" w14:textId="77777777"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Найменування товару</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14:paraId="3C616DC1" w14:textId="77777777"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Період поставки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14:paraId="00BC5B96" w14:textId="77777777"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Кількість, кВт*год</w:t>
            </w:r>
          </w:p>
        </w:tc>
      </w:tr>
      <w:tr w:rsidR="007F0097" w:rsidRPr="007F0097" w14:paraId="5D109556" w14:textId="77777777" w:rsidTr="00BF4AED">
        <w:trPr>
          <w:trHeight w:val="242"/>
        </w:trPr>
        <w:tc>
          <w:tcPr>
            <w:tcW w:w="709"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14:paraId="3580A160" w14:textId="77777777" w:rsidR="007F0097" w:rsidRPr="007F0097" w:rsidRDefault="007F0097" w:rsidP="00576D26">
            <w:pPr>
              <w:pStyle w:val="Standard"/>
              <w:suppressAutoHyphens w:val="0"/>
              <w:jc w:val="center"/>
              <w:rPr>
                <w:rFonts w:ascii="Times New Roman" w:hAnsi="Times New Roman" w:cs="Times New Roman"/>
                <w:lang w:val="uk-UA"/>
              </w:rPr>
            </w:pPr>
            <w:r w:rsidRPr="007F0097">
              <w:rPr>
                <w:rFonts w:ascii="Times New Roman" w:hAnsi="Times New Roman" w:cs="Times New Roman"/>
                <w:lang w:val="uk-UA"/>
              </w:rPr>
              <w:t>1</w:t>
            </w:r>
          </w:p>
        </w:tc>
        <w:tc>
          <w:tcPr>
            <w:tcW w:w="3163"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14:paraId="22BBA8B5" w14:textId="77777777" w:rsidR="007F0097" w:rsidRDefault="007F0097" w:rsidP="00576D26">
            <w:pPr>
              <w:pStyle w:val="Standard"/>
              <w:suppressAutoHyphens w:val="0"/>
              <w:jc w:val="center"/>
              <w:rPr>
                <w:rFonts w:ascii="Times New Roman" w:hAnsi="Times New Roman" w:cs="Times New Roman"/>
                <w:lang w:val="uk-UA"/>
              </w:rPr>
            </w:pPr>
            <w:r w:rsidRPr="007F0097">
              <w:rPr>
                <w:rFonts w:ascii="Times New Roman" w:hAnsi="Times New Roman" w:cs="Times New Roman"/>
                <w:lang w:val="uk-UA"/>
              </w:rPr>
              <w:t>Електрична енергія</w:t>
            </w:r>
          </w:p>
          <w:p w14:paraId="1443F083" w14:textId="31E86B11" w:rsidR="00BF4AED" w:rsidRPr="007F0097" w:rsidRDefault="00BF4AED" w:rsidP="00576D26">
            <w:pPr>
              <w:pStyle w:val="Standard"/>
              <w:suppressAutoHyphens w:val="0"/>
              <w:jc w:val="center"/>
              <w:rPr>
                <w:rFonts w:ascii="Times New Roman" w:hAnsi="Times New Roman" w:cs="Times New Roman"/>
                <w:lang w:val="uk-UA"/>
              </w:rPr>
            </w:pP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tcPr>
          <w:p w14:paraId="0D6E9361" w14:textId="08EFA179" w:rsidR="007F0097" w:rsidRPr="007F0097" w:rsidRDefault="00BF4AED" w:rsidP="00BF4AED">
            <w:pPr>
              <w:pStyle w:val="Standard"/>
              <w:suppressAutoHyphens w:val="0"/>
              <w:jc w:val="center"/>
              <w:rPr>
                <w:rFonts w:ascii="Times New Roman" w:hAnsi="Times New Roman" w:cs="Times New Roman"/>
                <w:lang w:val="uk-UA"/>
              </w:rPr>
            </w:pPr>
            <w:bookmarkStart w:id="0" w:name="_GoBack"/>
            <w:bookmarkEnd w:id="0"/>
            <w:r>
              <w:rPr>
                <w:rFonts w:ascii="Times New Roman" w:hAnsi="Times New Roman" w:cs="Times New Roman"/>
                <w:lang w:val="uk-UA"/>
              </w:rPr>
              <w:t>до</w:t>
            </w:r>
            <w:r w:rsidR="007F0097" w:rsidRPr="007F0097">
              <w:rPr>
                <w:rFonts w:ascii="Times New Roman" w:hAnsi="Times New Roman" w:cs="Times New Roman"/>
                <w:lang w:val="uk-UA"/>
              </w:rPr>
              <w:t xml:space="preserve"> 31.12.202</w:t>
            </w:r>
            <w:r w:rsidR="007B031E">
              <w:rPr>
                <w:rFonts w:ascii="Times New Roman" w:hAnsi="Times New Roman" w:cs="Times New Roman"/>
                <w:lang w:val="uk-UA"/>
              </w:rPr>
              <w:t>6</w:t>
            </w:r>
            <w:r w:rsidR="007F0097" w:rsidRPr="007F0097">
              <w:rPr>
                <w:rFonts w:ascii="Times New Roman" w:hAnsi="Times New Roman" w:cs="Times New Roman"/>
                <w:lang w:val="uk-UA"/>
              </w:rPr>
              <w:t>р.</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14:paraId="6618B625" w14:textId="212B0165" w:rsidR="007F0097" w:rsidRPr="007F0097" w:rsidRDefault="00BA4348" w:rsidP="008C37AE">
            <w:pPr>
              <w:pStyle w:val="Standard"/>
              <w:suppressAutoHyphens w:val="0"/>
              <w:jc w:val="center"/>
              <w:rPr>
                <w:rFonts w:ascii="Times New Roman" w:hAnsi="Times New Roman" w:cs="Times New Roman"/>
                <w:lang w:val="uk-UA"/>
              </w:rPr>
            </w:pPr>
            <w:r>
              <w:rPr>
                <w:rFonts w:ascii="Times New Roman" w:hAnsi="Times New Roman" w:cs="Times New Roman"/>
                <w:lang w:val="uk-UA"/>
              </w:rPr>
              <w:t>3721</w:t>
            </w:r>
          </w:p>
        </w:tc>
      </w:tr>
    </w:tbl>
    <w:p w14:paraId="603DF3A9" w14:textId="77777777" w:rsidR="007F0097" w:rsidRPr="007F0097" w:rsidRDefault="007F0097" w:rsidP="007F0097">
      <w:pPr>
        <w:jc w:val="center"/>
        <w:textAlignment w:val="baseline"/>
        <w:rPr>
          <w:rFonts w:ascii="Times New Roman" w:hAnsi="Times New Roman" w:cs="Times New Roman"/>
          <w:b/>
          <w:bCs/>
          <w:caps/>
          <w:color w:val="000000"/>
          <w:sz w:val="24"/>
          <w:szCs w:val="24"/>
        </w:rPr>
      </w:pPr>
    </w:p>
    <w:p w14:paraId="43B9780E" w14:textId="77777777" w:rsidR="007F0097" w:rsidRPr="007F0097" w:rsidRDefault="007F0097" w:rsidP="007F0097">
      <w:pPr>
        <w:ind w:right="-283"/>
        <w:jc w:val="center"/>
        <w:textAlignment w:val="baseline"/>
        <w:rPr>
          <w:rFonts w:ascii="Times New Roman" w:hAnsi="Times New Roman" w:cs="Times New Roman"/>
          <w:b/>
          <w:bCs/>
          <w:caps/>
          <w:color w:val="000000"/>
          <w:sz w:val="24"/>
          <w:szCs w:val="24"/>
        </w:rPr>
      </w:pPr>
      <w:r w:rsidRPr="007F0097">
        <w:rPr>
          <w:rFonts w:ascii="Times New Roman" w:hAnsi="Times New Roman" w:cs="Times New Roman"/>
          <w:b/>
          <w:bCs/>
          <w:caps/>
          <w:color w:val="000000"/>
          <w:sz w:val="24"/>
          <w:szCs w:val="24"/>
        </w:rPr>
        <w:t>вимоги до предмета закупівлі:</w:t>
      </w:r>
    </w:p>
    <w:p w14:paraId="3D3F8CE0" w14:textId="77777777" w:rsidR="007F0097" w:rsidRPr="007F0097" w:rsidRDefault="007F0097" w:rsidP="007F0097">
      <w:pPr>
        <w:spacing w:before="120"/>
        <w:ind w:left="-142" w:right="-283" w:firstLine="568"/>
        <w:jc w:val="both"/>
        <w:rPr>
          <w:rFonts w:ascii="Times New Roman" w:hAnsi="Times New Roman" w:cs="Times New Roman"/>
          <w:color w:val="000000"/>
          <w:sz w:val="24"/>
          <w:szCs w:val="24"/>
        </w:rPr>
      </w:pPr>
      <w:r w:rsidRPr="007F0097">
        <w:rPr>
          <w:rFonts w:ascii="Times New Roman" w:hAnsi="Times New Roman" w:cs="Times New Roman"/>
          <w:color w:val="000000"/>
          <w:sz w:val="24"/>
          <w:szCs w:val="24"/>
        </w:rPr>
        <w:t>Технічні, якісні характеристики електричної енергії (далі – товар) повинні відповідати встановленим/зареєстрованим діючим нормативним актам чинного законодавства України (державним стандартам (технічним умовам)).</w:t>
      </w:r>
    </w:p>
    <w:p w14:paraId="4A0C3468" w14:textId="77777777" w:rsidR="007F0097" w:rsidRPr="007F0097" w:rsidRDefault="007F0097" w:rsidP="007F0097">
      <w:pPr>
        <w:spacing w:before="120"/>
        <w:ind w:left="-142" w:right="-283" w:firstLine="568"/>
        <w:jc w:val="both"/>
        <w:rPr>
          <w:rFonts w:ascii="Times New Roman" w:hAnsi="Times New Roman" w:cs="Times New Roman"/>
          <w:noProof/>
          <w:sz w:val="24"/>
          <w:szCs w:val="24"/>
        </w:rPr>
      </w:pPr>
      <w:r w:rsidRPr="007F0097">
        <w:rPr>
          <w:rFonts w:ascii="Times New Roman" w:hAnsi="Times New Roman" w:cs="Times New Roman"/>
          <w:color w:val="000000"/>
          <w:sz w:val="24"/>
          <w:szCs w:val="24"/>
        </w:rPr>
        <w:t>Товар повинен відповідати технічним вимогам до предмета закупівлі, що визначені наступними нормативно-правовими актами: Закон України «Про публічні закупівлі» від 19.09.2019 р. № 114-IX; Закон України «Про ринок електричної енергії» від 13.04.2017 № 2019-</w:t>
      </w:r>
      <w:r w:rsidRPr="007F0097">
        <w:rPr>
          <w:rFonts w:ascii="Times New Roman" w:hAnsi="Times New Roman" w:cs="Times New Roman"/>
          <w:color w:val="000000"/>
          <w:sz w:val="24"/>
          <w:szCs w:val="24"/>
        </w:rPr>
        <w:lastRenderedPageBreak/>
        <w:t xml:space="preserve">VIII, Постанова Національної комісії, що здійснює державне регулювання у сферах енергетики та комунальних послуг (НКРЕКП) від 14.03.2018 №312 «Про затвердження Правил роздрібного ринку електричної енергії», Порядок забезпечення стандартів якості електропостачання та надання компенсацій споживачам за їх недотримання, затверджений постановою НКРЕКП від 12.06.2018 р. № 375, Кодекс комерційного обліку електричної енергії, Кодекс системи розподілу, Кодекс системи передачі, 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w:t>
      </w:r>
      <w:r w:rsidRPr="007F0097">
        <w:rPr>
          <w:rFonts w:ascii="Times New Roman" w:hAnsi="Times New Roman" w:cs="Times New Roman"/>
          <w:noProof/>
          <w:color w:val="000000"/>
          <w:sz w:val="24"/>
          <w:szCs w:val="24"/>
        </w:rPr>
        <w:t>електричної енергії».</w:t>
      </w:r>
    </w:p>
    <w:p w14:paraId="51435B1D" w14:textId="77777777" w:rsidR="007F0097" w:rsidRPr="007F0097" w:rsidRDefault="007F0097" w:rsidP="007F0097">
      <w:pPr>
        <w:spacing w:before="60"/>
        <w:ind w:left="-142" w:right="-283" w:firstLine="568"/>
        <w:jc w:val="both"/>
        <w:rPr>
          <w:rFonts w:ascii="Times New Roman" w:hAnsi="Times New Roman" w:cs="Times New Roman"/>
          <w:noProof/>
          <w:sz w:val="24"/>
          <w:szCs w:val="24"/>
        </w:rPr>
      </w:pPr>
      <w:r w:rsidRPr="007F0097">
        <w:rPr>
          <w:rFonts w:ascii="Times New Roman" w:hAnsi="Times New Roman" w:cs="Times New Roman"/>
          <w:noProof/>
          <w:color w:val="000000"/>
          <w:sz w:val="24"/>
          <w:szCs w:val="24"/>
        </w:rPr>
        <w:t>Оцінка відповідності показників якості електричної енергії проводиться на проміжку розрахункового періоду рівного 24 годинам.</w:t>
      </w:r>
    </w:p>
    <w:p w14:paraId="200B3F81" w14:textId="77777777" w:rsidR="007F0097" w:rsidRPr="007F0097" w:rsidRDefault="007F0097" w:rsidP="007F0097">
      <w:pPr>
        <w:spacing w:before="60"/>
        <w:ind w:left="-142" w:right="-283" w:firstLine="568"/>
        <w:jc w:val="both"/>
        <w:rPr>
          <w:rFonts w:ascii="Times New Roman" w:hAnsi="Times New Roman" w:cs="Times New Roman"/>
          <w:bCs/>
          <w:noProof/>
          <w:color w:val="000000"/>
          <w:sz w:val="24"/>
          <w:szCs w:val="24"/>
        </w:rPr>
      </w:pPr>
      <w:r w:rsidRPr="007F0097">
        <w:rPr>
          <w:rFonts w:ascii="Times New Roman" w:hAnsi="Times New Roman" w:cs="Times New Roman"/>
          <w:bCs/>
          <w:noProof/>
          <w:color w:val="000000"/>
          <w:sz w:val="24"/>
          <w:szCs w:val="24"/>
        </w:rPr>
        <w:t>Вартість електричної енергії визначена без урахування вартості послуг на розподіл та компенсації перетікань реактивної електроенергії. Оплата оператору систем розподілу – здійснюється Споживачем самостійно по відповідному договору з оператором системи розподілу.</w:t>
      </w:r>
    </w:p>
    <w:p w14:paraId="6A8FF4C7" w14:textId="77777777" w:rsidR="007F0097" w:rsidRPr="007F0097" w:rsidRDefault="007F0097" w:rsidP="007F0097">
      <w:pPr>
        <w:spacing w:before="60"/>
        <w:ind w:left="-142" w:right="-283" w:firstLine="568"/>
        <w:jc w:val="both"/>
        <w:rPr>
          <w:rFonts w:ascii="Times New Roman" w:hAnsi="Times New Roman" w:cs="Times New Roman"/>
          <w:noProof/>
          <w:color w:val="000000"/>
          <w:sz w:val="24"/>
          <w:szCs w:val="24"/>
        </w:rPr>
      </w:pPr>
      <w:r w:rsidRPr="007F0097">
        <w:rPr>
          <w:rFonts w:ascii="Times New Roman" w:hAnsi="Times New Roman" w:cs="Times New Roman"/>
          <w:noProof/>
          <w:color w:val="000000"/>
          <w:sz w:val="24"/>
          <w:szCs w:val="24"/>
        </w:rPr>
        <w:t xml:space="preserve">Постачання електричної енергії споживачам здійснюється електропостачальниками, які отримали відповідну ліцензію на право провадження господарської діяльності з постачання електроенергії споживачу. </w:t>
      </w:r>
    </w:p>
    <w:p w14:paraId="2FAE69FC" w14:textId="77777777" w:rsidR="007F0097" w:rsidRDefault="007F0097" w:rsidP="007F0097">
      <w:pPr>
        <w:spacing w:before="60"/>
        <w:ind w:left="-142" w:right="-283" w:firstLine="568"/>
        <w:jc w:val="both"/>
        <w:rPr>
          <w:rFonts w:ascii="Times New Roman" w:eastAsia="Times New Roman" w:hAnsi="Times New Roman" w:cs="Times New Roman"/>
          <w:noProof/>
          <w:color w:val="000000"/>
          <w:sz w:val="24"/>
          <w:szCs w:val="24"/>
        </w:rPr>
      </w:pPr>
      <w:r w:rsidRPr="007F0097">
        <w:rPr>
          <w:rFonts w:ascii="Times New Roman" w:eastAsia="Times New Roman" w:hAnsi="Times New Roman" w:cs="Times New Roman"/>
          <w:noProof/>
          <w:color w:val="000000"/>
          <w:sz w:val="24"/>
          <w:szCs w:val="24"/>
        </w:rPr>
        <w:t>Для забезпечення безперервного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5124AD68" w14:textId="6D3A7A86" w:rsidR="00CE2C00" w:rsidRPr="00CE2C00" w:rsidRDefault="00CE2C00" w:rsidP="00CE2C00">
      <w:pPr>
        <w:tabs>
          <w:tab w:val="left" w:pos="142"/>
          <w:tab w:val="left" w:pos="6330"/>
        </w:tabs>
        <w:ind w:left="-142" w:right="-283" w:firstLine="709"/>
        <w:jc w:val="both"/>
        <w:rPr>
          <w:rFonts w:ascii="Times New Roman" w:hAnsi="Times New Roman" w:cs="Times New Roman"/>
          <w:b/>
          <w:noProof/>
          <w:sz w:val="24"/>
          <w:szCs w:val="24"/>
          <w:u w:val="single"/>
        </w:rPr>
      </w:pPr>
      <w:r w:rsidRPr="00CE2C00">
        <w:rPr>
          <w:rFonts w:ascii="Times New Roman" w:hAnsi="Times New Roman" w:cs="Times New Roman"/>
          <w:noProof/>
          <w:sz w:val="24"/>
          <w:szCs w:val="24"/>
        </w:rPr>
        <w:t xml:space="preserve">Місце поставки електричної енергії для об’єктів </w:t>
      </w:r>
      <w:r w:rsidR="00BA4348">
        <w:rPr>
          <w:rFonts w:ascii="Times New Roman" w:hAnsi="Times New Roman" w:cs="Times New Roman"/>
          <w:noProof/>
          <w:sz w:val="24"/>
          <w:szCs w:val="24"/>
        </w:rPr>
        <w:t>Регіонального відділення Фонду державного майна України по Дніпропетровській, Запорізькій та Кіровоградської області</w:t>
      </w:r>
      <w:r w:rsidRPr="00CE2C00">
        <w:rPr>
          <w:rFonts w:ascii="Times New Roman" w:hAnsi="Times New Roman" w:cs="Times New Roman"/>
          <w:noProof/>
          <w:sz w:val="24"/>
          <w:szCs w:val="24"/>
        </w:rPr>
        <w:t xml:space="preserve">, які розташовані на території </w:t>
      </w:r>
      <w:r w:rsidRPr="00CE2C00">
        <w:rPr>
          <w:rFonts w:ascii="Times New Roman" w:hAnsi="Times New Roman" w:cs="Times New Roman"/>
          <w:b/>
          <w:noProof/>
          <w:sz w:val="24"/>
          <w:szCs w:val="24"/>
        </w:rPr>
        <w:t xml:space="preserve">м. </w:t>
      </w:r>
      <w:r w:rsidR="00BA4348">
        <w:rPr>
          <w:rFonts w:ascii="Times New Roman" w:hAnsi="Times New Roman" w:cs="Times New Roman"/>
          <w:b/>
          <w:noProof/>
          <w:sz w:val="24"/>
          <w:szCs w:val="24"/>
        </w:rPr>
        <w:t>Кропивницький</w:t>
      </w:r>
      <w:r w:rsidRPr="00CE2C00">
        <w:rPr>
          <w:rFonts w:ascii="Times New Roman" w:hAnsi="Times New Roman" w:cs="Times New Roman"/>
          <w:b/>
          <w:noProof/>
          <w:sz w:val="24"/>
          <w:szCs w:val="24"/>
        </w:rPr>
        <w:t xml:space="preserve"> </w:t>
      </w:r>
    </w:p>
    <w:p w14:paraId="071D45DA" w14:textId="77777777" w:rsidR="00CE2C00" w:rsidRPr="00CE2C00" w:rsidRDefault="00CE2C00" w:rsidP="00CE2C00">
      <w:pPr>
        <w:ind w:right="-283" w:firstLine="709"/>
        <w:jc w:val="both"/>
        <w:rPr>
          <w:rFonts w:ascii="Times New Roman" w:hAnsi="Times New Roman" w:cs="Times New Roman"/>
          <w:b/>
          <w:bCs/>
          <w:noProof/>
          <w:color w:val="000000"/>
          <w:sz w:val="24"/>
          <w:szCs w:val="24"/>
          <w:u w:val="single"/>
        </w:rPr>
      </w:pPr>
      <w:r w:rsidRPr="00CE2C00">
        <w:rPr>
          <w:rFonts w:ascii="Times New Roman" w:hAnsi="Times New Roman" w:cs="Times New Roman"/>
          <w:b/>
          <w:bCs/>
          <w:noProof/>
          <w:color w:val="000000"/>
          <w:sz w:val="24"/>
          <w:szCs w:val="24"/>
          <w:u w:val="single"/>
        </w:rPr>
        <w:t>Оператори розподілу:</w:t>
      </w:r>
    </w:p>
    <w:p w14:paraId="090D7239" w14:textId="05BDF1EE" w:rsidR="00CE2C00" w:rsidRPr="00CE2C00" w:rsidRDefault="00BA4348" w:rsidP="00CE2C00">
      <w:pPr>
        <w:ind w:right="-283" w:firstLine="709"/>
        <w:jc w:val="both"/>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Пр</w:t>
      </w:r>
      <w:r w:rsidR="00CE2C00" w:rsidRPr="00CE2C00">
        <w:rPr>
          <w:rFonts w:ascii="Times New Roman" w:hAnsi="Times New Roman" w:cs="Times New Roman"/>
          <w:b/>
          <w:bCs/>
          <w:noProof/>
          <w:color w:val="000000"/>
          <w:sz w:val="24"/>
          <w:szCs w:val="24"/>
        </w:rPr>
        <w:t>АТ «</w:t>
      </w:r>
      <w:r>
        <w:rPr>
          <w:rFonts w:ascii="Times New Roman" w:hAnsi="Times New Roman" w:cs="Times New Roman"/>
          <w:b/>
          <w:bCs/>
          <w:noProof/>
          <w:color w:val="000000"/>
          <w:sz w:val="24"/>
          <w:szCs w:val="24"/>
        </w:rPr>
        <w:t>Кіровоградобленерго</w:t>
      </w:r>
      <w:r w:rsidR="00CE2C00" w:rsidRPr="00CE2C00">
        <w:rPr>
          <w:rFonts w:ascii="Times New Roman" w:hAnsi="Times New Roman" w:cs="Times New Roman"/>
          <w:b/>
          <w:bCs/>
          <w:noProof/>
          <w:color w:val="000000"/>
          <w:sz w:val="24"/>
          <w:szCs w:val="24"/>
        </w:rPr>
        <w:t>»;</w:t>
      </w:r>
    </w:p>
    <w:p w14:paraId="63E3A6C2" w14:textId="09E1544A" w:rsidR="00CE2C00" w:rsidRPr="00CE2C00" w:rsidRDefault="00CE2C00" w:rsidP="00CE2C00">
      <w:pPr>
        <w:ind w:right="-283" w:firstLine="709"/>
        <w:jc w:val="both"/>
        <w:rPr>
          <w:rFonts w:ascii="Times New Roman" w:hAnsi="Times New Roman" w:cs="Times New Roman"/>
          <w:b/>
          <w:bCs/>
          <w:noProof/>
          <w:color w:val="000000"/>
          <w:sz w:val="24"/>
          <w:szCs w:val="24"/>
        </w:rPr>
      </w:pPr>
    </w:p>
    <w:tbl>
      <w:tblPr>
        <w:tblW w:w="0" w:type="auto"/>
        <w:tblInd w:w="-5" w:type="dxa"/>
        <w:tblCellMar>
          <w:left w:w="10" w:type="dxa"/>
          <w:right w:w="10" w:type="dxa"/>
        </w:tblCellMar>
        <w:tblLook w:val="04A0" w:firstRow="1" w:lastRow="0" w:firstColumn="1" w:lastColumn="0" w:noHBand="0" w:noVBand="1"/>
      </w:tblPr>
      <w:tblGrid>
        <w:gridCol w:w="4834"/>
        <w:gridCol w:w="4516"/>
      </w:tblGrid>
      <w:tr w:rsidR="00CE2C00" w:rsidRPr="00CE2C00" w14:paraId="4D4B8A0F" w14:textId="77777777" w:rsidTr="00CE2C00">
        <w:trPr>
          <w:trHeight w:val="1"/>
        </w:trPr>
        <w:tc>
          <w:tcPr>
            <w:tcW w:w="4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14734" w14:textId="77777777" w:rsidR="00CE2C00" w:rsidRPr="00CE2C00" w:rsidRDefault="00CE2C00" w:rsidP="00E85BD1">
            <w:pPr>
              <w:spacing w:before="20"/>
              <w:jc w:val="both"/>
              <w:rPr>
                <w:rFonts w:ascii="Times New Roman" w:eastAsia="Times New Roman" w:hAnsi="Times New Roman" w:cs="Times New Roman"/>
                <w:noProof/>
                <w:snapToGrid w:val="0"/>
                <w:sz w:val="24"/>
                <w:szCs w:val="24"/>
              </w:rPr>
            </w:pPr>
            <w:r w:rsidRPr="00CE2C00">
              <w:rPr>
                <w:rFonts w:ascii="Times New Roman" w:eastAsia="Times New Roman" w:hAnsi="Times New Roman" w:cs="Times New Roman"/>
                <w:noProof/>
                <w:snapToGrid w:val="0"/>
                <w:sz w:val="24"/>
                <w:szCs w:val="24"/>
              </w:rPr>
              <w:t>ЕІС-код точки (точок) комерційного обліку</w:t>
            </w:r>
          </w:p>
        </w:tc>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748AB" w14:textId="62D01E98" w:rsidR="00CE2C00" w:rsidRPr="00BA4348" w:rsidRDefault="00BA4348" w:rsidP="00E85BD1">
            <w:pPr>
              <w:spacing w:before="20"/>
              <w:jc w:val="both"/>
              <w:rPr>
                <w:rFonts w:ascii="Times New Roman" w:hAnsi="Times New Roman" w:cs="Times New Roman"/>
                <w:noProof/>
                <w:snapToGrid w:val="0"/>
                <w:sz w:val="24"/>
                <w:szCs w:val="24"/>
                <w:lang w:val="en-US"/>
              </w:rPr>
            </w:pPr>
            <w:r>
              <w:rPr>
                <w:rFonts w:ascii="Times New Roman" w:hAnsi="Times New Roman" w:cs="Times New Roman"/>
                <w:noProof/>
                <w:snapToGrid w:val="0"/>
                <w:sz w:val="24"/>
                <w:szCs w:val="24"/>
              </w:rPr>
              <w:t>62</w:t>
            </w:r>
            <w:r>
              <w:rPr>
                <w:rFonts w:ascii="Times New Roman" w:hAnsi="Times New Roman" w:cs="Times New Roman"/>
                <w:noProof/>
                <w:snapToGrid w:val="0"/>
                <w:sz w:val="24"/>
                <w:szCs w:val="24"/>
                <w:lang w:val="en-US"/>
              </w:rPr>
              <w:t>Z37457719623337</w:t>
            </w:r>
          </w:p>
        </w:tc>
      </w:tr>
    </w:tbl>
    <w:p w14:paraId="65FC354B" w14:textId="77777777" w:rsidR="00CE2C00" w:rsidRPr="0066720F" w:rsidRDefault="00CE2C00" w:rsidP="00CE2C00">
      <w:pPr>
        <w:ind w:right="-283" w:firstLine="709"/>
        <w:jc w:val="both"/>
        <w:rPr>
          <w:rFonts w:cs="Times New Roman"/>
          <w:bCs/>
          <w:noProof/>
          <w:color w:val="000000"/>
        </w:rPr>
      </w:pPr>
    </w:p>
    <w:p w14:paraId="179561E7" w14:textId="77777777" w:rsidR="00417FF2" w:rsidRDefault="00417FF2" w:rsidP="007F0097">
      <w:pPr>
        <w:spacing w:before="60"/>
        <w:ind w:left="-142" w:right="-283" w:firstLine="568"/>
        <w:jc w:val="both"/>
        <w:rPr>
          <w:rFonts w:ascii="Times New Roman" w:eastAsia="Times New Roman" w:hAnsi="Times New Roman" w:cs="Times New Roman"/>
          <w:noProof/>
          <w:color w:val="000000"/>
          <w:sz w:val="24"/>
          <w:szCs w:val="24"/>
        </w:rPr>
      </w:pPr>
    </w:p>
    <w:p w14:paraId="58D9A4B9" w14:textId="77777777" w:rsidR="00417FF2" w:rsidRPr="007F0097" w:rsidRDefault="00417FF2" w:rsidP="007F0097">
      <w:pPr>
        <w:spacing w:before="60"/>
        <w:ind w:left="-142" w:right="-283" w:firstLine="568"/>
        <w:jc w:val="both"/>
        <w:rPr>
          <w:rFonts w:ascii="Times New Roman" w:hAnsi="Times New Roman" w:cs="Times New Roman"/>
          <w:noProof/>
          <w:color w:val="000000"/>
          <w:sz w:val="24"/>
          <w:szCs w:val="24"/>
        </w:rPr>
      </w:pPr>
    </w:p>
    <w:sectPr w:rsidR="00417FF2" w:rsidRPr="007F0097"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4C"/>
    <w:rsid w:val="000224DF"/>
    <w:rsid w:val="0005100B"/>
    <w:rsid w:val="0005550E"/>
    <w:rsid w:val="00076EBB"/>
    <w:rsid w:val="0009756D"/>
    <w:rsid w:val="000B32B5"/>
    <w:rsid w:val="001323C5"/>
    <w:rsid w:val="001353DE"/>
    <w:rsid w:val="00137E49"/>
    <w:rsid w:val="001464EA"/>
    <w:rsid w:val="001549EB"/>
    <w:rsid w:val="001719F9"/>
    <w:rsid w:val="002473AF"/>
    <w:rsid w:val="00282638"/>
    <w:rsid w:val="00284AC9"/>
    <w:rsid w:val="002973BA"/>
    <w:rsid w:val="002E79FE"/>
    <w:rsid w:val="00301AED"/>
    <w:rsid w:val="003177EF"/>
    <w:rsid w:val="00323772"/>
    <w:rsid w:val="003353A5"/>
    <w:rsid w:val="00356C06"/>
    <w:rsid w:val="003D1F64"/>
    <w:rsid w:val="003F2FDE"/>
    <w:rsid w:val="004019E1"/>
    <w:rsid w:val="00416E6C"/>
    <w:rsid w:val="00417FF2"/>
    <w:rsid w:val="00435B55"/>
    <w:rsid w:val="00443595"/>
    <w:rsid w:val="004571DF"/>
    <w:rsid w:val="004A10A6"/>
    <w:rsid w:val="004B7A9A"/>
    <w:rsid w:val="004C584C"/>
    <w:rsid w:val="004E4ECE"/>
    <w:rsid w:val="004F34E7"/>
    <w:rsid w:val="00510637"/>
    <w:rsid w:val="00525223"/>
    <w:rsid w:val="00542754"/>
    <w:rsid w:val="005839B8"/>
    <w:rsid w:val="00596C20"/>
    <w:rsid w:val="005B567A"/>
    <w:rsid w:val="005D4DDD"/>
    <w:rsid w:val="00612756"/>
    <w:rsid w:val="0061330F"/>
    <w:rsid w:val="006414CD"/>
    <w:rsid w:val="00663A03"/>
    <w:rsid w:val="006E602C"/>
    <w:rsid w:val="00713B65"/>
    <w:rsid w:val="00716F39"/>
    <w:rsid w:val="00766F28"/>
    <w:rsid w:val="007B031E"/>
    <w:rsid w:val="007C0753"/>
    <w:rsid w:val="007E3C20"/>
    <w:rsid w:val="007F0097"/>
    <w:rsid w:val="007F5A9B"/>
    <w:rsid w:val="007F61AF"/>
    <w:rsid w:val="00872B91"/>
    <w:rsid w:val="00896C61"/>
    <w:rsid w:val="008C37AE"/>
    <w:rsid w:val="008E185F"/>
    <w:rsid w:val="00954F26"/>
    <w:rsid w:val="00997611"/>
    <w:rsid w:val="009E2D90"/>
    <w:rsid w:val="00A0018F"/>
    <w:rsid w:val="00A06EEF"/>
    <w:rsid w:val="00A16E62"/>
    <w:rsid w:val="00A30BC0"/>
    <w:rsid w:val="00AD1C24"/>
    <w:rsid w:val="00B87060"/>
    <w:rsid w:val="00BA4348"/>
    <w:rsid w:val="00BA4EE9"/>
    <w:rsid w:val="00BB7DFB"/>
    <w:rsid w:val="00BC58D8"/>
    <w:rsid w:val="00BD0B35"/>
    <w:rsid w:val="00BF4AED"/>
    <w:rsid w:val="00C13733"/>
    <w:rsid w:val="00C153D7"/>
    <w:rsid w:val="00C20BCD"/>
    <w:rsid w:val="00C4496A"/>
    <w:rsid w:val="00C74FC2"/>
    <w:rsid w:val="00CC0C4D"/>
    <w:rsid w:val="00CC0D2F"/>
    <w:rsid w:val="00CE2C00"/>
    <w:rsid w:val="00D30677"/>
    <w:rsid w:val="00D3279A"/>
    <w:rsid w:val="00D606B2"/>
    <w:rsid w:val="00D71C48"/>
    <w:rsid w:val="00D77574"/>
    <w:rsid w:val="00D83908"/>
    <w:rsid w:val="00DB66A8"/>
    <w:rsid w:val="00E765BA"/>
    <w:rsid w:val="00E91964"/>
    <w:rsid w:val="00EA468D"/>
    <w:rsid w:val="00EC4892"/>
    <w:rsid w:val="00EE00F9"/>
    <w:rsid w:val="00EE445F"/>
    <w:rsid w:val="00F4496A"/>
    <w:rsid w:val="00F85DAA"/>
    <w:rsid w:val="00FC00B5"/>
    <w:rsid w:val="00FC0C82"/>
    <w:rsid w:val="00FE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2E98"/>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msonormalcxspmiddle">
    <w:name w:val="msonormalcxspmiddle"/>
    <w:basedOn w:val="a"/>
    <w:rsid w:val="00FE5DDC"/>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Standard">
    <w:name w:val="Standard"/>
    <w:rsid w:val="007F009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2Exact">
    <w:name w:val="Основной текст (2) Exact"/>
    <w:rsid w:val="007F0097"/>
    <w:rPr>
      <w:rFonts w:ascii="Times New Roman" w:eastAsia="Times New Roman" w:hAnsi="Times New Roman" w:cs="Times New Roman"/>
      <w:b w:val="0"/>
      <w:bCs w:val="0"/>
      <w:i w:val="0"/>
      <w:iCs w:val="0"/>
      <w:smallCaps w:val="0"/>
      <w:strike w:val="0"/>
      <w:u w:val="none"/>
    </w:rPr>
  </w:style>
  <w:style w:type="character" w:customStyle="1" w:styleId="rvts0">
    <w:name w:val="rvts0"/>
    <w:rsid w:val="007F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30a</cp:lastModifiedBy>
  <cp:revision>4</cp:revision>
  <dcterms:created xsi:type="dcterms:W3CDTF">2026-03-23T13:29:00Z</dcterms:created>
  <dcterms:modified xsi:type="dcterms:W3CDTF">2026-03-31T13:29:00Z</dcterms:modified>
</cp:coreProperties>
</file>